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乐业公寓一号楼提升改造工程固定家具采购及安装项目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
      <w:pPr>
        <w:pStyle w:val="6"/>
        <w:rPr>
          <w:rFonts w:ascii="Times New Roman" w:hAnsi="Times New Roman" w:cs="Times New Roman"/>
          <w:szCs w:val="21"/>
        </w:rPr>
      </w:pPr>
    </w:p>
    <w:p>
      <w:pPr>
        <w:pStyle w:val="6"/>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安徽</w:t>
      </w:r>
      <w:r>
        <w:rPr>
          <w:rFonts w:hint="eastAsia" w:ascii="Times New Roman" w:hAnsi="Times New Roman" w:eastAsia="黑体" w:cs="Times New Roman"/>
          <w:sz w:val="32"/>
          <w:szCs w:val="32"/>
          <w:u w:val="single"/>
          <w:lang w:val="en-US" w:eastAsia="zh-CN"/>
        </w:rPr>
        <w:t>省经工物资</w:t>
      </w:r>
      <w:r>
        <w:rPr>
          <w:rFonts w:ascii="Times New Roman" w:hAnsi="Times New Roman" w:eastAsia="黑体" w:cs="Times New Roman"/>
          <w:sz w:val="32"/>
          <w:szCs w:val="32"/>
          <w:u w:val="single"/>
        </w:rPr>
        <w:t>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hint="eastAsia" w:ascii="Times New Roman" w:hAnsi="Times New Roman" w:eastAsia="黑体" w:cs="Times New Roman"/>
          <w:sz w:val="32"/>
          <w:szCs w:val="32"/>
          <w:highlight w:val="none"/>
          <w:u w:val="single"/>
          <w:lang w:val="en-US" w:eastAsia="zh-CN"/>
        </w:rPr>
        <w:t>3</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39</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40</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6496_WPSOffice_Level2"/>
      <w:bookmarkStart w:id="2" w:name="_Toc525632585"/>
      <w:bookmarkStart w:id="3" w:name="_Toc13871"/>
      <w:bookmarkStart w:id="4" w:name="_Toc24354_WPSOffice_Level2"/>
      <w:bookmarkStart w:id="5" w:name="_Toc4489_WPSOffice_Level2"/>
      <w:bookmarkStart w:id="6" w:name="_Toc12765"/>
      <w:bookmarkStart w:id="7" w:name="_Toc10395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乐业公寓一号楼提升改造工程固定家具采购及安装项目</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安徽</w:t>
      </w:r>
      <w:r>
        <w:rPr>
          <w:rFonts w:hint="eastAsia" w:ascii="宋体" w:hAnsi="宋体" w:eastAsia="宋体" w:cs="宋体"/>
          <w:sz w:val="21"/>
          <w:szCs w:val="21"/>
          <w:u w:val="single"/>
          <w:lang w:val="en-US" w:eastAsia="zh-CN"/>
        </w:rPr>
        <w:t xml:space="preserve">省经工物资有限公司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乐业公寓一号楼提升改造工程</w:t>
      </w:r>
      <w:r>
        <w:rPr>
          <w:rFonts w:hint="eastAsia" w:ascii="宋体" w:hAnsi="宋体" w:eastAsia="宋体" w:cs="宋体"/>
          <w:sz w:val="21"/>
          <w:szCs w:val="21"/>
          <w:u w:val="single"/>
          <w:lang w:eastAsia="zh-CN"/>
        </w:rPr>
        <w:t>固定家具</w:t>
      </w:r>
      <w:r>
        <w:rPr>
          <w:rFonts w:hint="eastAsia" w:ascii="宋体" w:hAnsi="宋体" w:eastAsia="宋体" w:cs="宋体"/>
          <w:sz w:val="21"/>
          <w:szCs w:val="21"/>
          <w:u w:val="single"/>
        </w:rPr>
        <w:t>采购及安装</w:t>
      </w:r>
      <w:r>
        <w:rPr>
          <w:rFonts w:hint="eastAsia" w:ascii="宋体" w:hAnsi="宋体" w:eastAsia="宋体" w:cs="宋体"/>
          <w:kern w:val="0"/>
          <w:sz w:val="21"/>
          <w:szCs w:val="21"/>
          <w:highlight w:val="none"/>
          <w:u w:val="none"/>
          <w:lang w:eastAsia="zh-CN"/>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23266_WPSOffice_Level2"/>
      <w:bookmarkStart w:id="9" w:name="_Toc525632586"/>
      <w:bookmarkStart w:id="10" w:name="_Toc17858_WPSOffice_Level2"/>
      <w:bookmarkStart w:id="11" w:name="_Toc8128_WPSOffice_Level2"/>
      <w:bookmarkStart w:id="12" w:name="_Toc10274"/>
      <w:bookmarkStart w:id="13" w:name="_Toc18367_WPSOffice_Level2"/>
      <w:bookmarkStart w:id="14" w:name="_Toc18453"/>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木饰面、窗套、阳台柜等，具体详见第五章供货要求及清单。</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无。产品参数详见工程量清单。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2.5 合同包划分：</w:t>
      </w:r>
      <w:r>
        <w:rPr>
          <w:rFonts w:hint="eastAsia" w:ascii="宋体" w:hAnsi="宋体" w:eastAsia="宋体" w:cs="宋体"/>
          <w:szCs w:val="21"/>
          <w:u w:val="single"/>
          <w:lang w:val="en-US" w:eastAsia="zh-CN"/>
        </w:rPr>
        <w:t xml:space="preserve">  1个采购包。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 xml:space="preserve"> 最高限价：</w:t>
      </w:r>
      <w:bookmarkEnd w:id="17"/>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288万元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1"/>
          <w:szCs w:val="21"/>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个日历天内交货并安装</w:t>
      </w:r>
      <w:r>
        <w:rPr>
          <w:rFonts w:hint="eastAsia" w:ascii="宋体" w:hAnsi="宋体" w:eastAsia="宋体" w:cs="宋体"/>
          <w:kern w:val="0"/>
          <w:sz w:val="21"/>
          <w:szCs w:val="21"/>
          <w:highlight w:val="none"/>
          <w:u w:val="single"/>
          <w:lang w:val="en-US" w:eastAsia="zh-CN"/>
        </w:rPr>
        <w:t>完成</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3714"/>
      <w:bookmarkStart w:id="19" w:name="_Toc22379_WPSOffice_Level2"/>
      <w:bookmarkStart w:id="20" w:name="_Toc29516_WPSOffice_Level2"/>
      <w:bookmarkStart w:id="21" w:name="_Toc525632587"/>
      <w:bookmarkStart w:id="22" w:name="_Toc6388"/>
      <w:bookmarkStart w:id="23" w:name="_Toc31673_WPSOffice_Level2"/>
      <w:bookmarkStart w:id="24" w:name="_Toc1622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b/>
          <w:bCs/>
          <w:szCs w:val="22"/>
          <w:highlight w:val="none"/>
        </w:rPr>
        <w:t>具有独立完成本项目相关能力</w:t>
      </w:r>
      <w:r>
        <w:rPr>
          <w:rFonts w:hint="eastAsia" w:ascii="宋体" w:hAnsi="宋体" w:eastAsia="宋体" w:cs="宋体"/>
          <w:b/>
          <w:bCs/>
          <w:szCs w:val="22"/>
          <w:highlight w:val="none"/>
          <w:lang w:eastAsia="zh-CN"/>
        </w:rPr>
        <w:t>，</w:t>
      </w: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6"/>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至少提供1个自2021年10月1日以来，单项合同额不低于200万元的家具供应</w:t>
      </w:r>
      <w:r>
        <w:rPr>
          <w:rFonts w:hint="eastAsia" w:ascii="Times New Roman" w:hAnsi="Times New Roman" w:cs="Times New Roman"/>
          <w:b/>
          <w:bCs/>
          <w:color w:val="auto"/>
          <w:szCs w:val="21"/>
          <w:highlight w:val="none"/>
          <w:u w:val="single"/>
          <w:lang w:val="en-US" w:eastAsia="zh-CN"/>
        </w:rPr>
        <w:t>合同业绩，投标人若为代理商，可提供授权厂家的业绩合同，但必须提供生产厂家的授权委托书扫描件。</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18"/>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525632588"/>
      <w:bookmarkStart w:id="27" w:name="_Toc4751"/>
      <w:bookmarkStart w:id="28" w:name="_Toc2996_WPSOffice_Level2"/>
      <w:bookmarkStart w:id="29" w:name="_Toc4109_WPSOffice_Level2"/>
      <w:bookmarkStart w:id="30" w:name="_Toc29452_WPSOffice_Level2"/>
      <w:bookmarkStart w:id="31" w:name="_Toc25666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pStyle w:val="15"/>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726"/>
      <w:bookmarkStart w:id="33" w:name="_Toc525632589"/>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22719"/>
      <w:bookmarkStart w:id="35" w:name="_Toc525632591"/>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 </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3</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7</w:t>
      </w:r>
      <w:bookmarkStart w:id="154" w:name="_GoBack"/>
      <w:bookmarkEnd w:id="154"/>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10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lang w:val="en-US" w:eastAsia="zh-CN" w:bidi="ar-SA"/>
        </w:rPr>
        <w:t>，供应商的法定代表人或其授权代理人应在文件递交截止时间前，将响应文件递交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速时代广场C1栋1008安徽省经工物资有限公司</w:t>
      </w:r>
      <w:r>
        <w:rPr>
          <w:rFonts w:hint="eastAsia" w:ascii="宋体" w:hAnsi="宋体" w:eastAsia="宋体" w:cs="宋体"/>
          <w:kern w:val="2"/>
          <w:sz w:val="21"/>
          <w:szCs w:val="21"/>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rPr>
        <w:t>安徽</w:t>
      </w:r>
      <w:r>
        <w:rPr>
          <w:rFonts w:hint="eastAsia" w:ascii="Times New Roman" w:hAnsi="Times New Roman" w:eastAsia="宋体" w:cs="Times New Roman"/>
          <w:kern w:val="2"/>
          <w:sz w:val="21"/>
          <w:szCs w:val="22"/>
          <w:highlight w:val="none"/>
          <w:u w:val="single"/>
          <w:lang w:val="en-US" w:eastAsia="zh-CN"/>
        </w:rPr>
        <w:t>省经工物资有限公司</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10000.00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壹万元整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“乐叶公寓固定家具采购项目”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pStyle w:val="15"/>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525632592"/>
      <w:bookmarkStart w:id="37" w:name="_Toc20572_WPSOffice_Level2"/>
      <w:bookmarkStart w:id="38" w:name="_Toc321_WPSOffice_Level2"/>
      <w:bookmarkStart w:id="39" w:name="_Toc8501"/>
      <w:bookmarkStart w:id="40" w:name="_Toc26829"/>
      <w:bookmarkStart w:id="41" w:name="_Toc28571_WPSOffice_Level2"/>
      <w:bookmarkStart w:id="42" w:name="_Toc14943_WPSOffice_Level2"/>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w:t>
      </w:r>
      <w:r>
        <w:rPr>
          <w:rFonts w:hint="eastAsia" w:ascii="宋体" w:hAnsi="宋体" w:eastAsia="宋体" w:cs="宋体"/>
          <w:kern w:val="2"/>
          <w:sz w:val="21"/>
          <w:szCs w:val="21"/>
        </w:rPr>
        <w:t>安徽</w:t>
      </w:r>
      <w:r>
        <w:rPr>
          <w:rFonts w:hint="eastAsia" w:ascii="宋体" w:hAnsi="宋体" w:eastAsia="宋体" w:cs="宋体"/>
          <w:kern w:val="2"/>
          <w:sz w:val="21"/>
          <w:szCs w:val="21"/>
          <w:lang w:val="en-US" w:eastAsia="zh-CN"/>
        </w:rPr>
        <w:t>省经工物资有限公司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55466811"/>
      <w:bookmarkStart w:id="45" w:name="_Toc29381_WPSOffice_Level2"/>
      <w:bookmarkStart w:id="46" w:name="_Toc16069"/>
      <w:bookmarkStart w:id="47" w:name="_Toc26656928"/>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2572"/>
        <w:gridCol w:w="5609"/>
      </w:tblGrid>
      <w:tr>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spacing w:line="480" w:lineRule="exact"/>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80" w:lineRule="exact"/>
              <w:rPr>
                <w:rFonts w:hint="eastAsia" w:ascii="Times New Roman" w:hAnsi="Times New Roman" w:cs="Times New Roman"/>
                <w:highlight w:val="yellow"/>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snapToGrid w:val="0"/>
              <w:spacing w:line="480" w:lineRule="exact"/>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snapToGrid w:val="0"/>
              <w:spacing w:line="480" w:lineRule="exact"/>
              <w:rPr>
                <w:rFonts w:hint="eastAsia"/>
                <w:lang w:val="en-US" w:eastAsia="zh-CN"/>
              </w:rPr>
            </w:pPr>
            <w:r>
              <w:rPr>
                <w:rFonts w:hint="eastAsia"/>
                <w:lang w:val="en-US" w:eastAsia="zh-CN"/>
              </w:rPr>
              <w:t>（1）异议人的名称、地址及有效联系方式；</w:t>
            </w:r>
          </w:p>
          <w:p>
            <w:pPr>
              <w:snapToGrid w:val="0"/>
              <w:spacing w:line="480" w:lineRule="exact"/>
              <w:rPr>
                <w:rFonts w:hint="eastAsia"/>
                <w:lang w:val="en-US" w:eastAsia="zh-CN"/>
              </w:rPr>
            </w:pPr>
            <w:r>
              <w:rPr>
                <w:rFonts w:hint="eastAsia"/>
                <w:lang w:val="en-US" w:eastAsia="zh-CN"/>
              </w:rPr>
              <w:t>（2）异议事项的基本事实；</w:t>
            </w:r>
          </w:p>
          <w:p>
            <w:pPr>
              <w:snapToGrid w:val="0"/>
              <w:spacing w:line="480" w:lineRule="exact"/>
              <w:rPr>
                <w:rFonts w:hint="eastAsia"/>
                <w:lang w:val="en-US" w:eastAsia="zh-CN"/>
              </w:rPr>
            </w:pPr>
            <w:r>
              <w:rPr>
                <w:rFonts w:hint="eastAsia"/>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eastAsia"/>
                <w:b/>
                <w:bCs/>
                <w:highlight w:val="none"/>
                <w:lang w:val="en-US" w:eastAsia="zh-CN"/>
              </w:rPr>
            </w:pPr>
            <w:r>
              <w:rPr>
                <w:rFonts w:hint="eastAsia" w:asciiTheme="minorHAnsi" w:eastAsiaTheme="minorEastAsia"/>
                <w:b/>
                <w:bCs/>
                <w:highlight w:val="none"/>
                <w:lang w:val="en-US" w:eastAsia="zh-CN"/>
              </w:rPr>
              <w:t>1.拟中标单位须提供材料小样</w:t>
            </w:r>
            <w:r>
              <w:rPr>
                <w:rFonts w:hint="eastAsia" w:ascii="Times New Roman" w:eastAsia="宋体"/>
                <w:b/>
                <w:bCs/>
                <w:highlight w:val="none"/>
                <w:lang w:val="en-US" w:eastAsia="zh-CN"/>
              </w:rPr>
              <w:t>，</w:t>
            </w:r>
            <w:r>
              <w:rPr>
                <w:rFonts w:hint="eastAsia" w:asciiTheme="minorHAnsi" w:eastAsiaTheme="minorEastAsia"/>
                <w:b/>
                <w:bCs/>
                <w:highlight w:val="none"/>
                <w:lang w:val="en-US" w:eastAsia="zh-CN"/>
              </w:rPr>
              <w:t>安装工艺、材质要求、油漆效果等须经采购人确认，</w:t>
            </w:r>
            <w:r>
              <w:rPr>
                <w:rFonts w:hint="eastAsia" w:ascii="Times New Roman" w:eastAsia="宋体"/>
                <w:b/>
                <w:bCs/>
                <w:highlight w:val="none"/>
                <w:lang w:val="en-US" w:eastAsia="zh-CN"/>
              </w:rPr>
              <w:t>如达不到采购人要求的：</w:t>
            </w:r>
          </w:p>
          <w:p>
            <w:pPr>
              <w:snapToGrid w:val="0"/>
              <w:spacing w:line="360" w:lineRule="auto"/>
              <w:ind w:firstLine="420" w:firstLineChars="200"/>
              <w:rPr>
                <w:rFonts w:hint="eastAsia"/>
                <w:lang w:val="en-US" w:eastAsia="zh-CN"/>
              </w:rPr>
            </w:pPr>
            <w:r>
              <w:rPr>
                <w:rFonts w:hint="eastAsia" w:asciiTheme="minorHAnsi" w:eastAsiaTheme="minorEastAsia"/>
                <w:lang w:val="en-US" w:eastAsia="zh-CN"/>
              </w:rPr>
              <w:t>1）采购人有权终止合同，并依据合同规定追究法律责任。</w:t>
            </w:r>
          </w:p>
          <w:p>
            <w:pPr>
              <w:snapToGrid w:val="0"/>
              <w:spacing w:line="360" w:lineRule="auto"/>
              <w:ind w:firstLine="420" w:firstLineChars="200"/>
              <w:rPr>
                <w:rFonts w:hint="eastAsia" w:asciiTheme="minorHAnsi" w:eastAsiaTheme="minorEastAsia"/>
                <w:lang w:val="en-US" w:eastAsia="zh-CN"/>
              </w:rPr>
            </w:pPr>
            <w:r>
              <w:rPr>
                <w:rFonts w:hint="eastAsia" w:asciiTheme="minorHAnsi" w:eastAsiaTheme="minorEastAsia"/>
                <w:lang w:val="en-US" w:eastAsia="zh-CN"/>
              </w:rPr>
              <w:t>2）采购人有权将违约行为有权按照约定进行处罚。</w:t>
            </w:r>
          </w:p>
          <w:p>
            <w:pPr>
              <w:pStyle w:val="6"/>
              <w:ind w:firstLine="420" w:firstLineChars="200"/>
              <w:rPr>
                <w:rFonts w:hint="default"/>
                <w:lang w:val="en-US" w:eastAsia="zh-CN"/>
              </w:rPr>
            </w:pPr>
            <w:r>
              <w:rPr>
                <w:rFonts w:hint="eastAsia"/>
                <w:lang w:val="en-US" w:eastAsia="zh-CN"/>
              </w:rPr>
              <w:t>3）</w:t>
            </w:r>
            <w:r>
              <w:rPr>
                <w:rFonts w:hint="eastAsia" w:asciiTheme="minorHAnsi" w:eastAsiaTheme="minorEastAsia"/>
                <w:lang w:val="en-US" w:eastAsia="zh-CN"/>
              </w:rPr>
              <w:t>采购人有权</w:t>
            </w:r>
            <w:r>
              <w:rPr>
                <w:rFonts w:hint="eastAsia"/>
                <w:lang w:val="en-US" w:eastAsia="zh-CN"/>
              </w:rPr>
              <w:t>将未完成的工程量移交给第三方实施（另一包段优先），供应商应无条件配合相关移交工作。</w:t>
            </w:r>
          </w:p>
          <w:p>
            <w:pPr>
              <w:spacing w:line="360" w:lineRule="auto"/>
              <w:ind w:firstLine="420" w:firstLineChars="200"/>
              <w:jc w:val="both"/>
              <w:textAlignment w:val="top"/>
              <w:rPr>
                <w:rFonts w:hint="eastAsia"/>
                <w:lang w:val="en-US" w:eastAsia="zh-CN"/>
              </w:rPr>
            </w:pPr>
            <w:r>
              <w:rPr>
                <w:rFonts w:hint="eastAsia" w:asciiTheme="minorHAnsi" w:eastAsiaTheme="minorEastAsia"/>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6"/>
              <w:spacing w:line="360" w:lineRule="auto"/>
              <w:ind w:firstLine="420" w:firstLineChars="200"/>
              <w:rPr>
                <w:rFonts w:hint="default" w:cstheme="minorBidi"/>
                <w:b/>
                <w:bCs/>
                <w:kern w:val="2"/>
                <w:sz w:val="21"/>
                <w:szCs w:val="24"/>
                <w:lang w:val="en-US" w:eastAsia="zh-CN" w:bidi="ar-SA"/>
              </w:rPr>
            </w:pPr>
            <w:r>
              <w:rPr>
                <w:rFonts w:hint="eastAsia" w:cstheme="minorBidi"/>
                <w:b/>
                <w:bCs/>
                <w:kern w:val="2"/>
                <w:sz w:val="21"/>
                <w:szCs w:val="24"/>
                <w:lang w:val="en-US" w:eastAsia="zh-CN" w:bidi="ar-SA"/>
              </w:rPr>
              <w:t>3</w:t>
            </w:r>
            <w:r>
              <w:rPr>
                <w:rFonts w:hint="eastAsia" w:asciiTheme="minorHAnsi" w:hAnsiTheme="minorHAnsi" w:eastAsiaTheme="minorEastAsia" w:cstheme="minorBidi"/>
                <w:b/>
                <w:bCs/>
                <w:kern w:val="2"/>
                <w:sz w:val="21"/>
                <w:szCs w:val="24"/>
                <w:lang w:val="en-US" w:eastAsia="zh-CN" w:bidi="ar-SA"/>
              </w:rPr>
              <w:t>.报价完全考虑</w:t>
            </w:r>
            <w:r>
              <w:rPr>
                <w:rFonts w:hint="eastAsia" w:cstheme="minorBidi"/>
                <w:b/>
                <w:bCs/>
                <w:kern w:val="2"/>
                <w:sz w:val="21"/>
                <w:szCs w:val="24"/>
                <w:lang w:val="en-US" w:eastAsia="zh-CN" w:bidi="ar-SA"/>
              </w:rPr>
              <w:t>报价</w:t>
            </w:r>
            <w:r>
              <w:rPr>
                <w:rFonts w:hint="eastAsia" w:asciiTheme="minorHAnsi" w:hAnsiTheme="minorHAnsi" w:eastAsiaTheme="minorEastAsia" w:cstheme="minorBidi"/>
                <w:b/>
                <w:bCs/>
                <w:kern w:val="2"/>
                <w:sz w:val="21"/>
                <w:szCs w:val="24"/>
                <w:lang w:val="en-US" w:eastAsia="zh-CN" w:bidi="ar-SA"/>
              </w:rPr>
              <w:t>清单</w:t>
            </w:r>
            <w:r>
              <w:rPr>
                <w:rFonts w:hint="eastAsia" w:cstheme="minorBidi"/>
                <w:b/>
                <w:bCs/>
                <w:kern w:val="2"/>
                <w:sz w:val="21"/>
                <w:szCs w:val="24"/>
                <w:lang w:val="en-US" w:eastAsia="zh-CN" w:bidi="ar-SA"/>
              </w:rPr>
              <w:t>要求</w:t>
            </w:r>
            <w:r>
              <w:rPr>
                <w:rFonts w:hint="eastAsia" w:asciiTheme="minorHAnsi" w:hAnsiTheme="minorHAnsi" w:eastAsiaTheme="minorEastAsia" w:cstheme="minorBidi"/>
                <w:b/>
                <w:bCs/>
                <w:kern w:val="2"/>
                <w:sz w:val="21"/>
                <w:szCs w:val="24"/>
                <w:lang w:val="en-US" w:eastAsia="zh-CN" w:bidi="ar-SA"/>
              </w:rPr>
              <w:t>内容</w:t>
            </w:r>
            <w:r>
              <w:rPr>
                <w:rFonts w:hint="eastAsia" w:cstheme="minorBidi"/>
                <w:b/>
                <w:bCs/>
                <w:kern w:val="2"/>
                <w:sz w:val="21"/>
                <w:szCs w:val="24"/>
                <w:lang w:val="en-US" w:eastAsia="zh-CN" w:bidi="ar-SA"/>
              </w:rPr>
              <w:t>，含清单内要求的品牌，材质，工艺，辅材等。</w:t>
            </w:r>
          </w:p>
          <w:p>
            <w:pPr>
              <w:pStyle w:val="6"/>
              <w:spacing w:line="360" w:lineRule="auto"/>
              <w:ind w:firstLine="420" w:firstLineChars="200"/>
              <w:rPr>
                <w:rFonts w:hint="default" w:cstheme="minorBidi"/>
                <w:b/>
                <w:bCs/>
                <w:kern w:val="2"/>
                <w:sz w:val="21"/>
                <w:szCs w:val="24"/>
                <w:lang w:val="en-US" w:eastAsia="zh-CN" w:bidi="ar-SA"/>
              </w:rPr>
            </w:pPr>
            <w:r>
              <w:rPr>
                <w:rFonts w:hint="eastAsia" w:cstheme="minorBidi"/>
                <w:b/>
                <w:bCs/>
                <w:kern w:val="2"/>
                <w:sz w:val="21"/>
                <w:szCs w:val="24"/>
                <w:lang w:val="en-US" w:eastAsia="zh-CN" w:bidi="ar-SA"/>
              </w:rPr>
              <w:t>4.中标单位须承担样板间的制作安装费用，最终结算样板间计入结算清单。</w:t>
            </w:r>
          </w:p>
          <w:p>
            <w:pPr>
              <w:spacing w:line="360" w:lineRule="auto"/>
              <w:ind w:firstLine="420" w:firstLineChars="200"/>
              <w:rPr>
                <w:rFonts w:hint="default" w:ascii="Times New Roman" w:eastAsia="宋体"/>
                <w:b/>
                <w:bCs/>
                <w:lang w:val="en-US" w:eastAsia="zh-CN"/>
              </w:rPr>
            </w:pPr>
            <w:r>
              <w:rPr>
                <w:rFonts w:hint="eastAsia" w:ascii="Times New Roman" w:eastAsia="宋体"/>
                <w:b/>
                <w:bCs/>
                <w:lang w:val="en-US" w:eastAsia="zh-CN"/>
              </w:rPr>
              <w:t>5.水电费：投标人进场后，施工水电费计量、缴纳方式与物业与管理单位协商，费用请投标人综合考虑在报价范围之内。</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9067720"/>
      <w:bookmarkStart w:id="50" w:name="_Toc26656938"/>
      <w:bookmarkStart w:id="51" w:name="_Toc14201207"/>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6"/>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同额不低于200万元</w:t>
            </w:r>
            <w:r>
              <w:rPr>
                <w:rFonts w:hint="eastAsia"/>
                <w:lang w:val="en-US" w:eastAsia="zh-CN"/>
              </w:rPr>
              <w:t>的家具供应合同业绩。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6"/>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pPr>
              <w:pStyle w:val="30"/>
              <w:rPr>
                <w:rFonts w:hint="eastAsia"/>
              </w:rPr>
            </w:pPr>
          </w:p>
        </w:tc>
      </w:tr>
    </w:tbl>
    <w:p>
      <w:pPr>
        <w:pStyle w:val="30"/>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pPr>
        <w:spacing w:line="440" w:lineRule="exact"/>
        <w:ind w:firstLine="42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3834"/>
      <w:bookmarkStart w:id="54" w:name="_Toc447808662"/>
      <w:bookmarkStart w:id="55" w:name="_Toc152042304"/>
      <w:bookmarkStart w:id="56" w:name="_Toc152045528"/>
      <w:bookmarkStart w:id="57" w:name="_Toc14847"/>
      <w:bookmarkStart w:id="58" w:name="_Toc457482536"/>
      <w:bookmarkStart w:id="59" w:name="_Toc144974496"/>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6"/>
      </w:pPr>
    </w:p>
    <w:p>
      <w:pPr>
        <w:pStyle w:val="6"/>
      </w:pPr>
    </w:p>
    <w:p>
      <w:pPr>
        <w:pStyle w:val="6"/>
      </w:pPr>
    </w:p>
    <w:p>
      <w:pPr>
        <w:pStyle w:val="6"/>
      </w:pPr>
    </w:p>
    <w:p>
      <w:pPr>
        <w:pStyle w:val="6"/>
      </w:pPr>
    </w:p>
    <w:p>
      <w:pPr>
        <w:pStyle w:val="6"/>
      </w:pPr>
    </w:p>
    <w:p>
      <w:pPr>
        <w:pStyle w:val="34"/>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40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40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通过第一个信封详细评审的投标人数量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 xml:space="preserve">家通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过评审，进入第二个信封报价文件开启和评审。如出现第一个信封 </w:t>
            </w:r>
          </w:p>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得分相同的情况，按照施工组织设计得分高低依次排列。</w:t>
            </w:r>
          </w:p>
        </w:tc>
      </w:tr>
    </w:tbl>
    <w:tbl>
      <w:tblPr>
        <w:tblStyle w:val="19"/>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899"/>
        <w:gridCol w:w="165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pPr>
              <w:pStyle w:val="6"/>
              <w:adjustRightInd w:val="0"/>
              <w:snapToGrid w:val="0"/>
              <w:rPr>
                <w:rFonts w:hint="eastAsia" w:ascii="宋体" w:hAnsi="宋体" w:eastAsia="宋体" w:cs="宋体"/>
                <w:sz w:val="21"/>
                <w:szCs w:val="21"/>
                <w:highlight w:val="none"/>
              </w:rPr>
            </w:pPr>
          </w:p>
        </w:tc>
        <w:tc>
          <w:tcPr>
            <w:tcW w:w="490" w:type="pct"/>
            <w:vMerge w:val="restart"/>
            <w:vAlign w:val="center"/>
          </w:tcPr>
          <w:p>
            <w:pPr>
              <w:pStyle w:val="6"/>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6"/>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6"/>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16 </w:t>
            </w:r>
            <w:r>
              <w:rPr>
                <w:rFonts w:hint="eastAsia" w:ascii="宋体" w:hAnsi="宋体" w:eastAsia="宋体" w:cs="宋体"/>
                <w:color w:val="auto"/>
                <w:sz w:val="21"/>
                <w:szCs w:val="21"/>
                <w:highlight w:val="none"/>
              </w:rPr>
              <w:t>分。</w:t>
            </w:r>
          </w:p>
          <w:p>
            <w:pPr>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备注：类似业绩指自2021年1月1日以来，单项合同额不低于200万元的家具供应合同业绩，投标人若为代理商，可提供授权厂家的业绩合同，但必须提供生产厂家的授权委托书扫描件。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kern w:val="0"/>
                <w:sz w:val="24"/>
              </w:rPr>
              <w:t>提供</w:t>
            </w:r>
            <w:r>
              <w:rPr>
                <w:rFonts w:hint="eastAsia" w:ascii="宋体" w:hAnsi="宋体"/>
                <w:kern w:val="0"/>
                <w:sz w:val="24"/>
                <w:lang w:val="en-US" w:eastAsia="zh-CN"/>
              </w:rPr>
              <w:t>生产厂家检测合格期内</w:t>
            </w:r>
            <w:r>
              <w:rPr>
                <w:rFonts w:hint="eastAsia" w:ascii="宋体" w:hAnsi="宋体"/>
                <w:kern w:val="0"/>
                <w:sz w:val="24"/>
              </w:rPr>
              <w:t>经权威检测机构</w:t>
            </w:r>
            <w:r>
              <w:rPr>
                <w:rFonts w:hint="eastAsia" w:ascii="宋体" w:hAnsi="宋体"/>
                <w:kern w:val="0"/>
                <w:sz w:val="24"/>
                <w:lang w:val="en-US" w:eastAsia="zh-CN"/>
              </w:rPr>
              <w:t>出具的原材料（油漆、原木等）检测</w:t>
            </w:r>
            <w:r>
              <w:rPr>
                <w:rFonts w:hint="eastAsia" w:ascii="宋体" w:hAnsi="宋体"/>
                <w:kern w:val="0"/>
                <w:sz w:val="24"/>
              </w:rPr>
              <w:t>合格报告</w:t>
            </w:r>
            <w:r>
              <w:rPr>
                <w:rFonts w:hint="eastAsia" w:ascii="宋体" w:hAnsi="宋体"/>
                <w:kern w:val="0"/>
                <w:sz w:val="24"/>
                <w:lang w:eastAsia="zh-CN"/>
              </w:rPr>
              <w:t>，</w:t>
            </w:r>
            <w:r>
              <w:rPr>
                <w:rFonts w:hint="eastAsia" w:ascii="宋体" w:hAnsi="宋体"/>
                <w:kern w:val="0"/>
                <w:sz w:val="24"/>
                <w:lang w:val="en-US" w:eastAsia="zh-CN"/>
              </w:rPr>
              <w:t>每提供一项得10分，满分20分</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6"/>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rPr>
              <w:t>分）</w:t>
            </w:r>
          </w:p>
        </w:tc>
        <w:tc>
          <w:tcPr>
            <w:tcW w:w="3114" w:type="pct"/>
            <w:vAlign w:val="center"/>
          </w:tcPr>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3、针对本项目的材料使用的技术服务与培训方案具体、详细，可行性最优，针对性强得8-10分；一般得6-8分，较差得基础分6分。</w:t>
            </w:r>
          </w:p>
          <w:p>
            <w:pPr>
              <w:pStyle w:val="6"/>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4、针对本项目售后服务方案（包括备品备件、设备损坏维修及更换、应急处理、售后服务响应等内容）具体、详细，可行性最优，针对性强得8-10分；一般得6-8分，较差得基础分6分。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6"/>
        <w:rPr>
          <w:rFonts w:hint="default"/>
        </w:rPr>
      </w:pPr>
    </w:p>
    <w:p>
      <w:pPr>
        <w:rPr>
          <w:rFonts w:hint="default"/>
        </w:rPr>
      </w:pPr>
    </w:p>
    <w:p>
      <w:pPr>
        <w:pStyle w:val="6"/>
        <w:rPr>
          <w:rFonts w:hint="default"/>
        </w:rPr>
      </w:pPr>
    </w:p>
    <w:p>
      <w:pPr>
        <w:pStyle w:val="6"/>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rPr>
          <w:rFonts w:ascii="Times New Roman" w:hAnsi="Times New Roman" w:eastAsia="宋体" w:cs="Times New Roman"/>
        </w:rPr>
      </w:pPr>
    </w:p>
    <w:p>
      <w:pPr>
        <w:spacing w:line="408"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2"/>
        <w:numPr>
          <w:ilvl w:val="255"/>
          <w:numId w:val="0"/>
        </w:numPr>
        <w:spacing w:before="312" w:after="312"/>
        <w:ind w:left="402"/>
        <w:outlineLvl w:val="9"/>
        <w:rPr>
          <w:rFonts w:hint="eastAsia" w:ascii="Times New Roman" w:hAnsi="Times New Roman" w:eastAsia="宋体" w:cs="Times New Roman"/>
        </w:rPr>
      </w:pPr>
    </w:p>
    <w:p>
      <w:pPr>
        <w:rPr>
          <w:rFonts w:hint="eastAsia" w:ascii="Times New Roman" w:hAnsi="Times New Roman" w:eastAsia="宋体" w:cs="Times New Roman"/>
        </w:rPr>
      </w:pPr>
    </w:p>
    <w:p>
      <w:pPr>
        <w:pStyle w:val="6"/>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2.预付款支付比例或金额：合同额的10%。</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3.根据工程形象进度，按完成合格工程量按月支付，每月 25 日前报监理单位、跟踪审计单位、建设单位审核确认本月完成工程量后，次月支付已完成审核合格工程量造价的80%，付至合同价款的80%停止支付；结算审计完成后付至审定价款的97%，其余3%为工程质保金，缺陷责任期满（监理单位、业主单位、使用单位签字确认）后一次性付清。如质保金以银行保函、保证保险、担保公司担保等的形式保证，结算审核完成后尾款一次付清。</w:t>
      </w:r>
    </w:p>
    <w:p>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甲方向乙方支付合同价款前，乙方需提交的合法有效的增值税专用发票（13%），如若虚假或虚开，乙方应承担一切责任且需补开合法有效的增值税专用发票(税率13%)。</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1.甲方通知乙方测量后，乙方须在2日内提供深化图纸、进度计划经甲方确认，确认后</w:t>
      </w:r>
      <w:r>
        <w:rPr>
          <w:rFonts w:hint="eastAsia" w:ascii="仿宋_GB2312" w:hAnsi="仿宋_GB2312" w:eastAsia="仿宋_GB2312" w:cs="仿宋_GB2312"/>
          <w:color w:val="auto"/>
          <w:sz w:val="28"/>
          <w:szCs w:val="28"/>
          <w:lang w:val="en-US" w:eastAsia="zh-CN"/>
        </w:rPr>
        <w:t>乙方须按进度节点实施，若进度节点滞后，需支付甲方逾期价款每日1%（合同金额）的违约金，进度节点滞后（因乙方原因）超过3日的，甲方有权解除合同，或将乙方承担的一部分供货安装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w:t>
      </w:r>
      <w:r>
        <w:rPr>
          <w:rFonts w:hint="eastAsia" w:ascii="仿宋_GB2312" w:hAnsi="仿宋_GB2312" w:eastAsia="仿宋_GB2312" w:cs="仿宋_GB2312"/>
          <w:color w:val="auto"/>
          <w:sz w:val="28"/>
          <w:szCs w:val="28"/>
          <w:highlight w:val="none"/>
          <w:lang w:val="en-US" w:eastAsia="zh-CN"/>
        </w:rPr>
        <w:t>的货物不符合约定标准（</w:t>
      </w:r>
      <w:r>
        <w:rPr>
          <w:rFonts w:hint="eastAsia" w:ascii="仿宋_GB2312" w:hAnsi="仿宋_GB2312" w:eastAsia="仿宋_GB2312" w:cs="仿宋_GB2312"/>
          <w:b/>
          <w:bCs/>
          <w:color w:val="auto"/>
          <w:sz w:val="28"/>
          <w:szCs w:val="28"/>
          <w:highlight w:val="none"/>
          <w:lang w:val="en-US" w:eastAsia="zh-CN"/>
        </w:rPr>
        <w:t>1.现场已做样板间，安装工艺、材质要求等须和确定的样板间一致2.使用品牌满足采购清单要求3.使用材料达到国家环保等级要求，其中板材类达到国标E0级</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甲方可解除合同，乙方须</w:t>
      </w:r>
      <w:r>
        <w:rPr>
          <w:rFonts w:hint="eastAsia" w:ascii="仿宋_GB2312" w:hAnsi="仿宋_GB2312" w:eastAsia="仿宋_GB2312" w:cs="仿宋_GB2312"/>
          <w:color w:val="auto"/>
          <w:sz w:val="28"/>
          <w:szCs w:val="28"/>
          <w:highlight w:val="none"/>
          <w:lang w:val="en-US" w:eastAsia="zh-CN"/>
        </w:rPr>
        <w:t>按合同</w:t>
      </w:r>
      <w:r>
        <w:rPr>
          <w:rFonts w:hint="eastAsia" w:ascii="仿宋_GB2312" w:hAnsi="仿宋_GB2312" w:eastAsia="仿宋_GB2312" w:cs="仿宋_GB2312"/>
          <w:color w:val="auto"/>
          <w:sz w:val="28"/>
          <w:szCs w:val="28"/>
          <w:lang w:val="en-US" w:eastAsia="zh-CN"/>
        </w:rPr>
        <w:t>总价款20%向甲方支付违约金，并向甲方赔偿因此造成的全部损失，同时承担甲方由此支付的诉讼费、律师费等实现债权的费用；甲方有权将未完成的工程量移交给第三方实施，乙方应无条件配合相关移交工作。</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6"/>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5.本项目涉及部分货物的局部或尺寸的细微调整，需进行优化设计、深化图纸，合同单价不予调整。</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6"/>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17"/>
        <w:rPr>
          <w:rFonts w:hint="eastAsia"/>
          <w:lang w:val="en-US" w:eastAsia="zh-CN"/>
        </w:rPr>
      </w:pPr>
    </w:p>
    <w:p>
      <w:pPr>
        <w:pStyle w:val="17"/>
        <w:rPr>
          <w:rFonts w:hint="eastAsia"/>
          <w:lang w:val="en-US" w:eastAsia="zh-CN"/>
        </w:rPr>
      </w:pPr>
    </w:p>
    <w:p>
      <w:pPr>
        <w:pStyle w:val="9"/>
        <w:adjustRightInd w:val="0"/>
        <w:snapToGrid w:val="0"/>
        <w:jc w:val="center"/>
        <w:rPr>
          <w:rFonts w:ascii="Times New Roman" w:hAnsi="Times New Roman" w:cs="Times New Roman"/>
        </w:rPr>
      </w:pPr>
    </w:p>
    <w:p>
      <w:pPr>
        <w:pStyle w:val="2"/>
        <w:numPr>
          <w:ilvl w:val="0"/>
          <w:numId w:val="0"/>
        </w:numPr>
        <w:spacing w:before="312" w:after="312"/>
        <w:ind w:leftChars="0"/>
        <w:jc w:val="center"/>
        <w:rPr>
          <w:rFonts w:hint="eastAsia" w:ascii="Times New Roman" w:hAnsi="Times New Roman" w:eastAsia="宋体" w:cs="Times New Roman"/>
          <w:lang w:val="en-US" w:eastAsia="zh-CN"/>
        </w:rPr>
      </w:pPr>
    </w:p>
    <w:p>
      <w:pPr>
        <w:rPr>
          <w:rFonts w:hint="eastAsia"/>
          <w:lang w:val="en-US" w:eastAsia="zh-CN"/>
        </w:rPr>
      </w:pPr>
    </w:p>
    <w:p>
      <w:pPr>
        <w:pStyle w:val="2"/>
        <w:numPr>
          <w:ilvl w:val="0"/>
          <w:numId w:val="0"/>
        </w:numPr>
        <w:spacing w:before="312" w:after="312"/>
        <w:ind w:leftChars="0"/>
        <w:jc w:val="center"/>
        <w:rPr>
          <w:rFonts w:hint="eastAsia" w:ascii="Times New Roman" w:hAnsi="Times New Roman" w:eastAsia="宋体" w:cs="Times New Roman"/>
          <w:lang w:val="en-US" w:eastAsia="zh-CN"/>
        </w:rPr>
      </w:pPr>
    </w:p>
    <w:p>
      <w:pPr>
        <w:pStyle w:val="30"/>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详见附件</w:t>
      </w: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包</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32044_WPSOffice_Level1"/>
      <w:bookmarkStart w:id="64" w:name="_Toc10484_WPSOffice_Level1"/>
      <w:bookmarkStart w:id="65" w:name="_Toc17394_WPSOffice_Level1"/>
      <w:bookmarkStart w:id="66" w:name="_Toc29687_WPSOffice_Level1"/>
      <w:bookmarkStart w:id="67" w:name="_Toc191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25232_WPSOffice_Level2"/>
      <w:bookmarkStart w:id="6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2351_WPSOffice_Level2"/>
      <w:bookmarkStart w:id="73" w:name="_Toc21974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6353_WPSOffice_Level1"/>
      <w:bookmarkStart w:id="75" w:name="_Toc5842_WPSOffice_Level1"/>
      <w:bookmarkStart w:id="76" w:name="_Toc11424_WPSOffice_Level1"/>
      <w:bookmarkStart w:id="77" w:name="_Toc30529_WPSOffice_Level1"/>
      <w:bookmarkStart w:id="78" w:name="_Toc23368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31927_WPSOffice_Level1"/>
      <w:bookmarkStart w:id="81" w:name="_Toc21229_WPSOffice_Level1"/>
      <w:bookmarkStart w:id="82" w:name="_Toc32729_WPSOffice_Level1"/>
      <w:bookmarkStart w:id="83" w:name="_Toc5317_WPSOffice_Level1"/>
      <w:bookmarkStart w:id="84" w:name="_Toc30428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3356_WPSOffice_Level1"/>
      <w:bookmarkStart w:id="86" w:name="_Toc21853_WPSOffice_Level1"/>
      <w:bookmarkStart w:id="87" w:name="_Toc4728_WPSOffice_Level1"/>
      <w:bookmarkStart w:id="88" w:name="_Toc25965_WPSOffice_Level1"/>
      <w:bookmarkStart w:id="89"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23744_WPSOffice_Level1"/>
      <w:bookmarkStart w:id="91" w:name="_Toc7453_WPSOffice_Level1"/>
      <w:bookmarkStart w:id="92" w:name="_Toc29870_WPSOffice_Level1"/>
      <w:bookmarkStart w:id="93" w:name="_Toc10608_WPSOffice_Level1"/>
      <w:bookmarkStart w:id="94"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24262_WPSOffice_Level1"/>
      <w:bookmarkStart w:id="96" w:name="_Toc12459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20930_WPSOffice_Level1"/>
      <w:bookmarkStart w:id="98" w:name="_Toc927_WPSOffice_Level1"/>
      <w:bookmarkStart w:id="99"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25973_WPSOffice_Level1"/>
      <w:bookmarkStart w:id="101" w:name="_Toc5885_WPSOffice_Level1"/>
      <w:bookmarkStart w:id="102" w:name="_Toc16988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8312_WPSOffice_Level1"/>
      <w:bookmarkStart w:id="104" w:name="_Toc1362_WPSOffice_Level1"/>
      <w:bookmarkStart w:id="105" w:name="_Toc1687_WPSOffice_Level1"/>
      <w:bookmarkStart w:id="106" w:name="_Toc1017_WPSOffice_Level1"/>
      <w:bookmarkStart w:id="107" w:name="_Toc2765_WPSOffice_Level1"/>
      <w:bookmarkStart w:id="108" w:name="_Toc397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4"/>
        <w:outlineLvl w:val="9"/>
        <w:rPr>
          <w:rFonts w:ascii="Times New Roman" w:hAnsi="Times New Roman" w:eastAsia="黑体" w:cs="Times New Roman"/>
          <w:sz w:val="20"/>
          <w:szCs w:val="20"/>
        </w:rPr>
      </w:pPr>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21740_WPSOffice_Level1"/>
      <w:bookmarkStart w:id="110" w:name="_Toc32350_WPSOffice_Level1"/>
      <w:bookmarkStart w:id="111" w:name="_Toc14563_WPSOffice_Level1"/>
      <w:bookmarkStart w:id="112" w:name="_Toc4951_WPSOffice_Level1"/>
      <w:bookmarkStart w:id="113" w:name="_Toc18668_WPSOffice_Level1"/>
      <w:bookmarkStart w:id="114" w:name="_Toc1996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20803_WPSOffice_Level2"/>
      <w:bookmarkStart w:id="116" w:name="_Toc515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headerReference r:id="rId12" w:type="default"/>
          <w:footerReference r:id="rId13"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4567_WPSOffice_Level1"/>
      <w:bookmarkStart w:id="120" w:name="_Toc24530_WPSOffice_Level1"/>
      <w:bookmarkStart w:id="121" w:name="_Toc28828_WPSOffice_Level1"/>
      <w:bookmarkStart w:id="122" w:name="_Toc27513_WPSOffice_Level1"/>
      <w:bookmarkStart w:id="123" w:name="_Toc26364_WPSOffice_Level1"/>
      <w:bookmarkStart w:id="124" w:name="_Toc32085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19015_WPSOffice_Level1"/>
      <w:bookmarkStart w:id="126" w:name="_Toc10436_WPSOffice_Level1"/>
      <w:bookmarkStart w:id="127" w:name="_Toc17124_WPSOffice_Level1"/>
      <w:bookmarkStart w:id="128" w:name="_Toc7738_WPSOffice_Level1"/>
      <w:bookmarkStart w:id="129" w:name="_Toc31445_WPSOffice_Level1"/>
      <w:bookmarkStart w:id="130" w:name="_Toc1064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7600_WPSOffice_Level2"/>
      <w:bookmarkStart w:id="132" w:name="_Toc2807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18547_WPSOffice_Level1"/>
      <w:bookmarkStart w:id="134" w:name="_Toc3912"/>
      <w:bookmarkStart w:id="135" w:name="_Toc5072_WPSOffice_Level1"/>
      <w:bookmarkStart w:id="136" w:name="_Toc1452_WPSOffice_Level1"/>
      <w:bookmarkStart w:id="137" w:name="_Toc3772_WPSOffice_Level1"/>
      <w:bookmarkStart w:id="138" w:name="_Toc19004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3893_WPSOffice_Level1"/>
      <w:bookmarkStart w:id="140" w:name="_Toc5889_WPSOffice_Level1"/>
      <w:bookmarkStart w:id="141" w:name="_Toc26594_WPSOffice_Level1"/>
      <w:bookmarkStart w:id="142" w:name="_Toc5403_WPSOffice_Level1"/>
      <w:bookmarkStart w:id="143" w:name="_Toc10810_WPSOffice_Level1"/>
      <w:bookmarkStart w:id="144" w:name="_Toc12019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6"/>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6"/>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6"/>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2428_WPSOffice_Level1"/>
      <w:bookmarkStart w:id="147" w:name="_Toc13165_WPSOffice_Level1"/>
      <w:bookmarkStart w:id="148" w:name="_Toc31963_WPSOffice_Level1"/>
      <w:bookmarkStart w:id="149" w:name="_Toc19034_WPSOffice_Level1"/>
      <w:bookmarkStart w:id="150" w:name="_Toc5957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6"/>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0"/>
        <w:rPr>
          <w:rFonts w:hint="default" w:ascii="Times New Roman" w:hAnsi="Times New Roman"/>
          <w:color w:val="auto"/>
          <w:szCs w:val="28"/>
        </w:rPr>
      </w:pPr>
    </w:p>
    <w:p>
      <w:pPr>
        <w:pStyle w:val="30"/>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包</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162490440"/>
      <w:bookmarkStart w:id="152" w:name="_Toc272486050"/>
      <w:bookmarkStart w:id="153" w:name="_Toc15342123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3"/>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val="0"/>
          <w:bCs/>
          <w:sz w:val="28"/>
          <w:szCs w:val="24"/>
          <w:highlight w:val="none"/>
        </w:rPr>
        <w:t xml:space="preserve">B.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w:t>
      </w:r>
      <w:r>
        <w:rPr>
          <w:rFonts w:hint="eastAsia" w:ascii="宋体" w:hAnsi="宋体" w:cs="宋体"/>
          <w:bCs/>
          <w:sz w:val="24"/>
          <w:szCs w:val="24"/>
          <w:highlight w:val="none"/>
          <w:lang w:val="en-US" w:eastAsia="zh-CN"/>
        </w:rPr>
        <w:t>附件：</w:t>
      </w:r>
      <w:r>
        <w:rPr>
          <w:rFonts w:hint="eastAsia" w:ascii="宋体" w:hAnsi="宋体" w:cs="宋体"/>
          <w:bCs/>
          <w:sz w:val="24"/>
          <w:szCs w:val="24"/>
          <w:highlight w:val="none"/>
        </w:rPr>
        <w:t>工程量清单”的要求逐项填报工程量清单，包括但不限于工程量清单说明、投标报价说明及工程量清单各项表格。</w:t>
      </w:r>
    </w:p>
    <w:p>
      <w:pPr>
        <w:pStyle w:val="17"/>
        <w:rPr>
          <w:rFonts w:hint="eastAsia"/>
          <w:b/>
          <w:bCs/>
          <w:sz w:val="28"/>
          <w:szCs w:val="28"/>
          <w:lang w:val="en-US" w:eastAsia="zh-CN"/>
        </w:rPr>
      </w:pPr>
    </w:p>
    <w:p>
      <w:pPr>
        <w:pStyle w:val="17"/>
        <w:rPr>
          <w:rFonts w:hint="eastAsia"/>
          <w:lang w:val="en-US" w:eastAsia="zh-CN"/>
        </w:rPr>
      </w:pP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D7502-60D4-4D21-9EBB-C5C2F63B3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99D422-EDF7-4680-8AF2-B1FE82B68D7E}"/>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40876725-2C14-4A70-B457-A7FDBB813861}"/>
  </w:font>
  <w:font w:name="华文楷体">
    <w:panose1 w:val="02010600040101010101"/>
    <w:charset w:val="86"/>
    <w:family w:val="auto"/>
    <w:pitch w:val="default"/>
    <w:sig w:usb0="00000287" w:usb1="080F0000" w:usb2="00000000" w:usb3="00000000" w:csb0="0004009F" w:csb1="DFD70000"/>
    <w:embedRegular r:id="rId4" w:fontKey="{1963B5FC-21A9-4400-B062-FA0C1998577F}"/>
  </w:font>
  <w:font w:name="仿宋_GB2312">
    <w:panose1 w:val="02010609030101010101"/>
    <w:charset w:val="86"/>
    <w:family w:val="modern"/>
    <w:pitch w:val="default"/>
    <w:sig w:usb0="00000001" w:usb1="080E0000" w:usb2="00000000" w:usb3="00000000" w:csb0="00040000" w:csb1="00000000"/>
    <w:embedRegular r:id="rId5" w:fontKey="{06A26625-199A-4A0C-A179-CF41D2390BE5}"/>
  </w:font>
  <w:font w:name="楷体">
    <w:panose1 w:val="02010609060101010101"/>
    <w:charset w:val="86"/>
    <w:family w:val="auto"/>
    <w:pitch w:val="default"/>
    <w:sig w:usb0="800002BF" w:usb1="38CF7CFA" w:usb2="00000016" w:usb3="00000000" w:csb0="00040001" w:csb1="00000000"/>
    <w:embedRegular r:id="rId6" w:fontKey="{B1CD7D64-AD4B-49B9-88A3-04169563A8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6F4D02A4"/>
    <w:rsid w:val="0022317B"/>
    <w:rsid w:val="00302DB5"/>
    <w:rsid w:val="00302F3A"/>
    <w:rsid w:val="005607D6"/>
    <w:rsid w:val="00653222"/>
    <w:rsid w:val="00691F7C"/>
    <w:rsid w:val="00724BD4"/>
    <w:rsid w:val="007C6E94"/>
    <w:rsid w:val="00E8570D"/>
    <w:rsid w:val="023E3C6A"/>
    <w:rsid w:val="028D5673"/>
    <w:rsid w:val="02D346A3"/>
    <w:rsid w:val="038863C7"/>
    <w:rsid w:val="03A9557F"/>
    <w:rsid w:val="045E338A"/>
    <w:rsid w:val="04701D1E"/>
    <w:rsid w:val="04E034BC"/>
    <w:rsid w:val="05F94BA8"/>
    <w:rsid w:val="06341F34"/>
    <w:rsid w:val="068727A0"/>
    <w:rsid w:val="07063EDC"/>
    <w:rsid w:val="073835B2"/>
    <w:rsid w:val="076958CF"/>
    <w:rsid w:val="09210464"/>
    <w:rsid w:val="0A2E7496"/>
    <w:rsid w:val="0A466107"/>
    <w:rsid w:val="0A941F2B"/>
    <w:rsid w:val="0AAD73BC"/>
    <w:rsid w:val="0BA10DDD"/>
    <w:rsid w:val="0BDD422F"/>
    <w:rsid w:val="0C425774"/>
    <w:rsid w:val="0DBD0BDC"/>
    <w:rsid w:val="0DE02F17"/>
    <w:rsid w:val="0EBA46A3"/>
    <w:rsid w:val="0EBB2DAD"/>
    <w:rsid w:val="0F531ACB"/>
    <w:rsid w:val="0F6F4854"/>
    <w:rsid w:val="0F9F0794"/>
    <w:rsid w:val="0FBE1FCA"/>
    <w:rsid w:val="0FD4370B"/>
    <w:rsid w:val="103E486A"/>
    <w:rsid w:val="106D5B52"/>
    <w:rsid w:val="1090350E"/>
    <w:rsid w:val="10944070"/>
    <w:rsid w:val="10A6372F"/>
    <w:rsid w:val="10DA535D"/>
    <w:rsid w:val="110D2AFF"/>
    <w:rsid w:val="11DF30C9"/>
    <w:rsid w:val="129325F3"/>
    <w:rsid w:val="12FA3B2F"/>
    <w:rsid w:val="13431F92"/>
    <w:rsid w:val="13E11194"/>
    <w:rsid w:val="144A391D"/>
    <w:rsid w:val="150E5893"/>
    <w:rsid w:val="15133F2C"/>
    <w:rsid w:val="15C3657D"/>
    <w:rsid w:val="163D1F3A"/>
    <w:rsid w:val="16414AC9"/>
    <w:rsid w:val="167C0AF5"/>
    <w:rsid w:val="188C4113"/>
    <w:rsid w:val="189E5E26"/>
    <w:rsid w:val="191A46EE"/>
    <w:rsid w:val="19647370"/>
    <w:rsid w:val="19DE1C05"/>
    <w:rsid w:val="1A185E2C"/>
    <w:rsid w:val="1A3C6E09"/>
    <w:rsid w:val="1A657CD8"/>
    <w:rsid w:val="1AA97D25"/>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1FE64151"/>
    <w:rsid w:val="20220D88"/>
    <w:rsid w:val="202D724A"/>
    <w:rsid w:val="20432E03"/>
    <w:rsid w:val="20CE712B"/>
    <w:rsid w:val="20E701EC"/>
    <w:rsid w:val="2211172D"/>
    <w:rsid w:val="22456F98"/>
    <w:rsid w:val="22A243CB"/>
    <w:rsid w:val="23610B8C"/>
    <w:rsid w:val="241D716E"/>
    <w:rsid w:val="25CC7C14"/>
    <w:rsid w:val="2613091A"/>
    <w:rsid w:val="265909F3"/>
    <w:rsid w:val="26E81DCB"/>
    <w:rsid w:val="27621A0B"/>
    <w:rsid w:val="279E7B84"/>
    <w:rsid w:val="27B103DE"/>
    <w:rsid w:val="285445B2"/>
    <w:rsid w:val="28D24D9C"/>
    <w:rsid w:val="28FE7045"/>
    <w:rsid w:val="2941798C"/>
    <w:rsid w:val="294C5129"/>
    <w:rsid w:val="295C70D0"/>
    <w:rsid w:val="2A8F70B0"/>
    <w:rsid w:val="2AE43776"/>
    <w:rsid w:val="2B1D5459"/>
    <w:rsid w:val="2D141CF6"/>
    <w:rsid w:val="2D984126"/>
    <w:rsid w:val="2E0A4375"/>
    <w:rsid w:val="2E6740D2"/>
    <w:rsid w:val="2ED8288A"/>
    <w:rsid w:val="300246FB"/>
    <w:rsid w:val="30793AE8"/>
    <w:rsid w:val="319B3695"/>
    <w:rsid w:val="32164205"/>
    <w:rsid w:val="32332253"/>
    <w:rsid w:val="324271A8"/>
    <w:rsid w:val="333F226C"/>
    <w:rsid w:val="33C26030"/>
    <w:rsid w:val="35201A23"/>
    <w:rsid w:val="35843E04"/>
    <w:rsid w:val="35B540D6"/>
    <w:rsid w:val="361938E0"/>
    <w:rsid w:val="36C144C3"/>
    <w:rsid w:val="388C7CC2"/>
    <w:rsid w:val="38B92676"/>
    <w:rsid w:val="39B20761"/>
    <w:rsid w:val="39F257E0"/>
    <w:rsid w:val="3A1F1997"/>
    <w:rsid w:val="3B096510"/>
    <w:rsid w:val="3B414529"/>
    <w:rsid w:val="3B47240E"/>
    <w:rsid w:val="3B7C2F21"/>
    <w:rsid w:val="3B8A41D3"/>
    <w:rsid w:val="3BC00DC4"/>
    <w:rsid w:val="3C651D50"/>
    <w:rsid w:val="3CF7310E"/>
    <w:rsid w:val="3E103B9E"/>
    <w:rsid w:val="3E2829E9"/>
    <w:rsid w:val="3E5113D8"/>
    <w:rsid w:val="3FB452E6"/>
    <w:rsid w:val="3FF744E4"/>
    <w:rsid w:val="403D54CD"/>
    <w:rsid w:val="408028ED"/>
    <w:rsid w:val="41212AAF"/>
    <w:rsid w:val="4178455B"/>
    <w:rsid w:val="41B873F1"/>
    <w:rsid w:val="41BB6E00"/>
    <w:rsid w:val="41CF3C5E"/>
    <w:rsid w:val="41FB71FC"/>
    <w:rsid w:val="425D1BF0"/>
    <w:rsid w:val="426A68F1"/>
    <w:rsid w:val="426B29F2"/>
    <w:rsid w:val="42754E3B"/>
    <w:rsid w:val="42E414A5"/>
    <w:rsid w:val="42ED38B0"/>
    <w:rsid w:val="442716E3"/>
    <w:rsid w:val="44623B29"/>
    <w:rsid w:val="44CB7E92"/>
    <w:rsid w:val="44D53D34"/>
    <w:rsid w:val="4551727C"/>
    <w:rsid w:val="45E82159"/>
    <w:rsid w:val="460C19D8"/>
    <w:rsid w:val="46767799"/>
    <w:rsid w:val="475036EC"/>
    <w:rsid w:val="476304E5"/>
    <w:rsid w:val="48407E8B"/>
    <w:rsid w:val="486A70F8"/>
    <w:rsid w:val="48941C0A"/>
    <w:rsid w:val="48EF63BC"/>
    <w:rsid w:val="48F03833"/>
    <w:rsid w:val="4A304D72"/>
    <w:rsid w:val="4ADA08DD"/>
    <w:rsid w:val="4B302190"/>
    <w:rsid w:val="4C0D05F0"/>
    <w:rsid w:val="4C6063F0"/>
    <w:rsid w:val="4D237C5B"/>
    <w:rsid w:val="4DB33731"/>
    <w:rsid w:val="4DB34E9F"/>
    <w:rsid w:val="4E040F77"/>
    <w:rsid w:val="4F0478A8"/>
    <w:rsid w:val="4F570614"/>
    <w:rsid w:val="4F7A3E56"/>
    <w:rsid w:val="5051384E"/>
    <w:rsid w:val="50932863"/>
    <w:rsid w:val="50C64757"/>
    <w:rsid w:val="51801680"/>
    <w:rsid w:val="524B7D2C"/>
    <w:rsid w:val="525E7F64"/>
    <w:rsid w:val="528B597C"/>
    <w:rsid w:val="53C77F81"/>
    <w:rsid w:val="55CE5FAF"/>
    <w:rsid w:val="568D4A8B"/>
    <w:rsid w:val="5787376C"/>
    <w:rsid w:val="581A249A"/>
    <w:rsid w:val="58340631"/>
    <w:rsid w:val="588621CE"/>
    <w:rsid w:val="588927B2"/>
    <w:rsid w:val="58AC03AC"/>
    <w:rsid w:val="58B3037A"/>
    <w:rsid w:val="598F3C15"/>
    <w:rsid w:val="5A1256BA"/>
    <w:rsid w:val="5AB51CCA"/>
    <w:rsid w:val="5AB57322"/>
    <w:rsid w:val="5AB86B82"/>
    <w:rsid w:val="5BC0596D"/>
    <w:rsid w:val="5BE5635E"/>
    <w:rsid w:val="5C03587B"/>
    <w:rsid w:val="5C4805D9"/>
    <w:rsid w:val="5DA53F1B"/>
    <w:rsid w:val="5DC63FF9"/>
    <w:rsid w:val="5FC627A0"/>
    <w:rsid w:val="5FD076A0"/>
    <w:rsid w:val="60CC0666"/>
    <w:rsid w:val="61393910"/>
    <w:rsid w:val="61DA4AD9"/>
    <w:rsid w:val="629D4803"/>
    <w:rsid w:val="62AE498D"/>
    <w:rsid w:val="63D57455"/>
    <w:rsid w:val="63FF44D2"/>
    <w:rsid w:val="64774677"/>
    <w:rsid w:val="64AB0CD1"/>
    <w:rsid w:val="64D84E1A"/>
    <w:rsid w:val="65675ED4"/>
    <w:rsid w:val="6683497C"/>
    <w:rsid w:val="66B21CD0"/>
    <w:rsid w:val="676E5CC7"/>
    <w:rsid w:val="67E14BAB"/>
    <w:rsid w:val="67EE0AE5"/>
    <w:rsid w:val="67F71E56"/>
    <w:rsid w:val="684C44B3"/>
    <w:rsid w:val="68880F3A"/>
    <w:rsid w:val="690F1726"/>
    <w:rsid w:val="6A2D5CB0"/>
    <w:rsid w:val="6ABA6C3B"/>
    <w:rsid w:val="6BB90159"/>
    <w:rsid w:val="6C111246"/>
    <w:rsid w:val="6C124248"/>
    <w:rsid w:val="6C6B059F"/>
    <w:rsid w:val="6CA00B62"/>
    <w:rsid w:val="6CFE27E3"/>
    <w:rsid w:val="6D274D94"/>
    <w:rsid w:val="6D955447"/>
    <w:rsid w:val="6DD01AB0"/>
    <w:rsid w:val="6DEB139F"/>
    <w:rsid w:val="6E8B3FD1"/>
    <w:rsid w:val="6E9D5013"/>
    <w:rsid w:val="6F0D11E7"/>
    <w:rsid w:val="6F4D02A4"/>
    <w:rsid w:val="6FDB7D0C"/>
    <w:rsid w:val="706B3710"/>
    <w:rsid w:val="706B4417"/>
    <w:rsid w:val="70784F6A"/>
    <w:rsid w:val="70B2470E"/>
    <w:rsid w:val="71817101"/>
    <w:rsid w:val="71943263"/>
    <w:rsid w:val="71B80224"/>
    <w:rsid w:val="720B21A0"/>
    <w:rsid w:val="72775B5D"/>
    <w:rsid w:val="72E163D5"/>
    <w:rsid w:val="730651BF"/>
    <w:rsid w:val="751540E3"/>
    <w:rsid w:val="757762DF"/>
    <w:rsid w:val="76085468"/>
    <w:rsid w:val="764861AD"/>
    <w:rsid w:val="765A1D4D"/>
    <w:rsid w:val="772B58B2"/>
    <w:rsid w:val="77822AD2"/>
    <w:rsid w:val="7846297D"/>
    <w:rsid w:val="791E0B39"/>
    <w:rsid w:val="79487052"/>
    <w:rsid w:val="79E06FD9"/>
    <w:rsid w:val="7A2B3BCE"/>
    <w:rsid w:val="7AC3206E"/>
    <w:rsid w:val="7AFF6ACD"/>
    <w:rsid w:val="7B436E21"/>
    <w:rsid w:val="7C796F1F"/>
    <w:rsid w:val="7CAA6238"/>
    <w:rsid w:val="7DA02855"/>
    <w:rsid w:val="7DC73E5B"/>
    <w:rsid w:val="7DC73F51"/>
    <w:rsid w:val="7E134C71"/>
    <w:rsid w:val="7EB34E00"/>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after="120"/>
    </w:pPr>
  </w:style>
  <w:style w:type="paragraph" w:styleId="7">
    <w:name w:val="Body Text Indent"/>
    <w:basedOn w:val="1"/>
    <w:next w:val="8"/>
    <w:link w:val="36"/>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Plain Text"/>
    <w:basedOn w:val="1"/>
    <w:link w:val="37"/>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6"/>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autoRedefine/>
    <w:qFormat/>
    <w:uiPriority w:val="0"/>
    <w:rPr>
      <w:rFonts w:hint="eastAsia" w:ascii="宋体" w:hAnsi="宋体" w:eastAsia="宋体" w:cs="宋体"/>
      <w:color w:val="000000"/>
      <w:sz w:val="22"/>
      <w:szCs w:val="22"/>
      <w:u w:val="none"/>
    </w:rPr>
  </w:style>
  <w:style w:type="character" w:customStyle="1" w:styleId="43">
    <w:name w:val="font51"/>
    <w:basedOn w:val="21"/>
    <w:autoRedefine/>
    <w:qFormat/>
    <w:uiPriority w:val="0"/>
    <w:rPr>
      <w:rFonts w:hint="eastAsia" w:ascii="宋体" w:hAnsi="宋体" w:eastAsia="宋体" w:cs="宋体"/>
      <w:color w:val="000000"/>
      <w:sz w:val="22"/>
      <w:szCs w:val="22"/>
      <w:u w:val="none"/>
    </w:rPr>
  </w:style>
  <w:style w:type="character" w:customStyle="1" w:styleId="44">
    <w:name w:val="font91"/>
    <w:basedOn w:val="21"/>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19721</Words>
  <Characters>20662</Characters>
  <Lines>180</Lines>
  <Paragraphs>50</Paragraphs>
  <TotalTime>9</TotalTime>
  <ScaleCrop>false</ScaleCrop>
  <LinksUpToDate>false</LinksUpToDate>
  <CharactersWithSpaces>28010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2023-10-11T07:52:00Z</cp:lastPrinted>
  <dcterms:modified xsi:type="dcterms:W3CDTF">2024-03-02T04:46:15Z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2AAEB5952734441BA7966A5222AFAB2B_13</vt:lpwstr>
  </property>
</Properties>
</file>