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交控建工2024年第一季度钢材采购项目</w:t>
      </w:r>
    </w:p>
    <w:p>
      <w:pPr>
        <w:spacing w:line="540" w:lineRule="exact"/>
        <w:ind w:firstLine="420"/>
        <w:rPr>
          <w:rFonts w:ascii="Times New Roman" w:hAnsi="Times New Roman" w:cs="Times New Roman"/>
          <w:szCs w:val="21"/>
        </w:rPr>
      </w:pPr>
    </w:p>
    <w:p>
      <w:pPr>
        <w:pStyle w:val="6"/>
        <w:rPr>
          <w:rFonts w:ascii="Times New Roman" w:hAnsi="Times New Roman" w:cs="Times New Roman"/>
          <w:szCs w:val="21"/>
        </w:rPr>
      </w:pPr>
    </w:p>
    <w:p/>
    <w:p>
      <w:pPr>
        <w:pStyle w:val="6"/>
        <w:rPr>
          <w:rFonts w:ascii="Times New Roman" w:hAnsi="Times New Roman" w:cs="Times New Roman"/>
          <w:szCs w:val="21"/>
        </w:rPr>
      </w:pPr>
    </w:p>
    <w:p>
      <w:pPr>
        <w:pStyle w:val="6"/>
        <w:rPr>
          <w:rFonts w:ascii="Times New Roman" w:hAnsi="Times New Roman" w:cs="Times New Roman"/>
          <w:szCs w:val="21"/>
        </w:rPr>
      </w:pPr>
    </w:p>
    <w:p>
      <w:pPr>
        <w:pStyle w:val="11"/>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安徽</w:t>
      </w:r>
      <w:r>
        <w:rPr>
          <w:rFonts w:hint="eastAsia" w:ascii="Times New Roman" w:hAnsi="Times New Roman" w:eastAsia="黑体" w:cs="Times New Roman"/>
          <w:sz w:val="32"/>
          <w:szCs w:val="32"/>
          <w:u w:val="single"/>
          <w:lang w:val="en-US" w:eastAsia="zh-CN"/>
        </w:rPr>
        <w:t>省经工物资</w:t>
      </w:r>
      <w:r>
        <w:rPr>
          <w:rFonts w:ascii="Times New Roman" w:hAnsi="Times New Roman" w:eastAsia="黑体" w:cs="Times New Roman"/>
          <w:sz w:val="32"/>
          <w:szCs w:val="32"/>
          <w:u w:val="single"/>
        </w:rPr>
        <w:t>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3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sdt>
      <w:sdtPr>
        <w:rPr>
          <w:rFonts w:ascii="宋体" w:hAnsi="宋体" w:eastAsia="宋体" w:cstheme="minorBidi"/>
          <w:kern w:val="2"/>
          <w:sz w:val="21"/>
          <w:szCs w:val="24"/>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_Toc23966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_Toc23966 \h </w:instrText>
          </w:r>
          <w:r>
            <w:fldChar w:fldCharType="separate"/>
          </w:r>
          <w:r>
            <w:t>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_Toc26240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_Toc2394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_Toc25343 </w:instrText>
          </w:r>
          <w:r>
            <w:rPr>
              <w:rFonts w:ascii="宋体" w:hAnsi="宋体" w:eastAsia="宋体"/>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_Toc24422 </w:instrText>
          </w:r>
          <w:r>
            <w:rPr>
              <w:rFonts w:ascii="宋体" w:hAnsi="宋体" w:eastAsia="宋体"/>
            </w:rPr>
            <w:fldChar w:fldCharType="separate"/>
          </w:r>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35</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_Toc7773 </w:instrText>
          </w:r>
          <w:r>
            <w:rPr>
              <w:rFonts w:ascii="宋体" w:hAnsi="宋体" w:eastAsia="宋体"/>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_Toc7773 \h </w:instrText>
          </w:r>
          <w:r>
            <w:fldChar w:fldCharType="separate"/>
          </w:r>
          <w:r>
            <w:t>36</w:t>
          </w:r>
          <w:r>
            <w:fldChar w:fldCharType="end"/>
          </w:r>
          <w:r>
            <w:rPr>
              <w:rFonts w:ascii="宋体" w:hAnsi="宋体" w:eastAsia="宋体"/>
            </w:rPr>
            <w:fldChar w:fldCharType="end"/>
          </w: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jc w:val="center"/>
        <w:rPr>
          <w:rFonts w:ascii="宋体" w:hAnsi="宋体" w:eastAsia="宋体"/>
        </w:rPr>
      </w:pPr>
    </w:p>
    <w:p>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keepNext/>
        <w:keepLines/>
        <w:pageBreakBefore w:val="0"/>
        <w:widowControl w:val="0"/>
        <w:numPr>
          <w:ilvl w:val="0"/>
          <w:numId w:val="2"/>
        </w:numPr>
        <w:kinsoku/>
        <w:wordWrap/>
        <w:overflowPunct/>
        <w:topLinePunct w:val="0"/>
        <w:autoSpaceDE/>
        <w:autoSpaceDN/>
        <w:bidi w:val="0"/>
        <w:adjustRightInd/>
        <w:snapToGrid w:val="0"/>
        <w:spacing w:before="120" w:after="120" w:line="44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525632585"/>
      <w:bookmarkStart w:id="2" w:name="_Toc24354_WPSOffice_Level2"/>
      <w:bookmarkStart w:id="3" w:name="_Toc12765"/>
      <w:bookmarkStart w:id="4" w:name="_Toc13871"/>
      <w:bookmarkStart w:id="5" w:name="_Toc6496_WPSOffice_Level2"/>
      <w:bookmarkStart w:id="6" w:name="_Toc10395_WPSOffice_Level2"/>
      <w:bookmarkStart w:id="7" w:name="_Toc4489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pPr>
        <w:pageBreakBefore w:val="0"/>
        <w:widowControl/>
        <w:kinsoku/>
        <w:wordWrap/>
        <w:overflowPunct/>
        <w:topLinePunct w:val="0"/>
        <w:autoSpaceDE/>
        <w:autoSpaceDN/>
        <w:bidi w:val="0"/>
        <w:adjustRightInd/>
        <w:spacing w:line="440" w:lineRule="exact"/>
        <w:ind w:left="10" w:leftChars="0" w:firstLine="410" w:firstLineChars="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交控建工2024年第一季度钢材采购项目</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宋体" w:hAnsi="宋体" w:eastAsia="宋体" w:cs="宋体"/>
          <w:sz w:val="21"/>
          <w:szCs w:val="21"/>
          <w:u w:val="single"/>
        </w:rPr>
        <w:t xml:space="preserve"> 安徽</w:t>
      </w:r>
      <w:r>
        <w:rPr>
          <w:rFonts w:hint="eastAsia" w:ascii="宋体" w:hAnsi="宋体" w:eastAsia="宋体" w:cs="宋体"/>
          <w:sz w:val="21"/>
          <w:szCs w:val="21"/>
          <w:u w:val="single"/>
          <w:lang w:val="en-US" w:eastAsia="zh-CN"/>
        </w:rPr>
        <w:t xml:space="preserve">省经工物资有限公司 </w:t>
      </w:r>
    </w:p>
    <w:p>
      <w:pPr>
        <w:pageBreakBefore w:val="0"/>
        <w:widowControl/>
        <w:kinsoku/>
        <w:wordWrap/>
        <w:overflowPunct/>
        <w:topLinePunct w:val="0"/>
        <w:autoSpaceDE/>
        <w:autoSpaceDN/>
        <w:bidi w:val="0"/>
        <w:adjustRightInd/>
        <w:spacing w:line="440" w:lineRule="exact"/>
        <w:ind w:left="10" w:leftChars="0" w:firstLine="41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固镇至蚌埠高速公路王庄服务区、蔡村服务区；沪渝国家高速公路安徽省广德至宣城段；亳州至蒙城高速公路涡阳至蒙城段钢材采购。</w:t>
      </w:r>
      <w:r>
        <w:rPr>
          <w:rFonts w:hint="eastAsia" w:ascii="仿宋" w:hAnsi="仿宋" w:eastAsia="仿宋" w:cs="仿宋"/>
          <w:color w:val="000000"/>
          <w:kern w:val="0"/>
          <w:sz w:val="28"/>
          <w:szCs w:val="28"/>
          <w:lang w:val="en-US" w:eastAsia="zh-CN" w:bidi="ar"/>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4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17858_WPSOffice_Level2"/>
      <w:bookmarkStart w:id="9" w:name="_Toc23266_WPSOffice_Level2"/>
      <w:bookmarkStart w:id="10" w:name="_Toc18367_WPSOffice_Level2"/>
      <w:bookmarkStart w:id="11" w:name="_Toc18453"/>
      <w:bookmarkStart w:id="12" w:name="_Toc525632586"/>
      <w:bookmarkStart w:id="13" w:name="_Toc8128_WPSOffice_Level2"/>
      <w:bookmarkStart w:id="14" w:name="_Toc10274"/>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pPr>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w:t>
      </w:r>
      <w:r>
        <w:rPr>
          <w:rFonts w:hint="eastAsia" w:ascii="宋体" w:hAnsi="宋体" w:eastAsia="宋体" w:cs="宋体"/>
          <w:szCs w:val="21"/>
          <w:highlight w:val="none"/>
          <w:u w:val="single"/>
          <w:lang w:val="en-US" w:eastAsia="zh-CN"/>
        </w:rPr>
        <w:t>钢材。</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详见工程量清单。符合 </w:t>
      </w:r>
      <w:r>
        <w:rPr>
          <w:rFonts w:hint="default" w:ascii="宋体" w:hAnsi="宋体" w:eastAsia="宋体" w:cs="宋体"/>
          <w:szCs w:val="21"/>
          <w:u w:val="single"/>
          <w:lang w:val="en-US" w:eastAsia="zh-CN"/>
        </w:rPr>
        <w:t>GB1499.2-2007</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US" w:eastAsia="zh-CN"/>
        </w:rPr>
        <w:t xml:space="preserve">GB1499.1-2008 </w:t>
      </w:r>
      <w:r>
        <w:rPr>
          <w:rFonts w:hint="eastAsia" w:ascii="宋体" w:hAnsi="宋体" w:eastAsia="宋体" w:cs="宋体"/>
          <w:szCs w:val="21"/>
          <w:u w:val="single"/>
          <w:lang w:val="en-US" w:eastAsia="zh-CN"/>
        </w:rPr>
        <w:t>的相关规定。</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highlight w:val="yellow"/>
          <w:lang w:val="en-US" w:eastAsia="zh-CN"/>
        </w:rPr>
      </w:pPr>
      <w:r>
        <w:rPr>
          <w:rFonts w:hint="eastAsia" w:ascii="宋体" w:hAnsi="宋体" w:eastAsia="宋体" w:cs="宋体"/>
          <w:szCs w:val="21"/>
          <w:lang w:val="en-US" w:eastAsia="zh-CN"/>
        </w:rPr>
        <w:t xml:space="preserve">2.5 合同包划分：  1个包。 </w:t>
      </w:r>
      <w:r>
        <w:rPr>
          <w:rFonts w:hint="eastAsia" w:ascii="宋体" w:hAnsi="宋体" w:eastAsia="宋体" w:cs="宋体"/>
          <w:szCs w:val="21"/>
        </w:rPr>
        <w:t xml:space="preserve">   </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采购数量</w:t>
      </w:r>
      <w:r>
        <w:rPr>
          <w:rFonts w:hint="eastAsia" w:ascii="宋体" w:hAnsi="宋体" w:eastAsia="宋体" w:cs="宋体"/>
          <w:szCs w:val="21"/>
          <w:highlight w:val="none"/>
        </w:rPr>
        <w:t>：</w:t>
      </w:r>
      <w:bookmarkEnd w:id="17"/>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约8981吨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highlight w:val="none"/>
          <w:lang w:val="en-US" w:eastAsia="zh-CN"/>
        </w:rPr>
        <w:t>2.7 控制价：</w:t>
      </w:r>
      <w:r>
        <w:rPr>
          <w:rFonts w:hint="eastAsia" w:ascii="宋体" w:hAnsi="宋体" w:eastAsia="宋体" w:cs="宋体"/>
          <w:szCs w:val="21"/>
          <w:highlight w:val="none"/>
          <w:u w:val="single"/>
          <w:lang w:val="en-US" w:eastAsia="zh-CN"/>
        </w:rPr>
        <w:t>3592万元</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8</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highlight w:val="none"/>
          <w:u w:val="single"/>
          <w:lang w:val="en-US" w:eastAsia="zh-CN"/>
        </w:rPr>
        <w:t>2024年 3 月至本项目施工结束，具体每批进场时间以甲方计划通知为准。</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9</w:t>
      </w:r>
      <w:r>
        <w:rPr>
          <w:rFonts w:hint="eastAsia" w:ascii="宋体" w:hAnsi="宋体" w:eastAsia="宋体" w:cs="宋体"/>
          <w:szCs w:val="21"/>
        </w:rPr>
        <w:t xml:space="preserve"> </w:t>
      </w:r>
      <w:r>
        <w:rPr>
          <w:rFonts w:hint="eastAsia" w:ascii="宋体" w:hAnsi="宋体" w:eastAsia="宋体" w:cs="宋体"/>
          <w:szCs w:val="21"/>
          <w:lang w:val="en-US" w:eastAsia="zh-CN"/>
        </w:rPr>
        <w:t>项目地点：</w:t>
      </w:r>
      <w:r>
        <w:rPr>
          <w:rFonts w:hint="eastAsia" w:ascii="宋体" w:hAnsi="宋体" w:eastAsia="宋体" w:cs="宋体"/>
          <w:szCs w:val="21"/>
          <w:u w:val="single"/>
          <w:lang w:val="en-US" w:eastAsia="zh-CN"/>
        </w:rPr>
        <w:t>详见工程量清单。</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8" w:name="_Toc3714"/>
      <w:bookmarkStart w:id="19" w:name="_Toc29516_WPSOffice_Level2"/>
      <w:bookmarkStart w:id="20" w:name="_Toc22379_WPSOffice_Level2"/>
      <w:bookmarkStart w:id="21" w:name="_Toc6388"/>
      <w:bookmarkStart w:id="22" w:name="_Toc1622_WPSOffice_Level2"/>
      <w:bookmarkStart w:id="23" w:name="_Toc525632587"/>
      <w:bookmarkStart w:id="24" w:name="_Toc31673_WPSOffice_Level2"/>
      <w:r>
        <w:rPr>
          <w:rFonts w:ascii="Times New Roman" w:hAnsi="Times New Roman" w:eastAsia="黑体" w:cs="Times New Roman"/>
          <w:b w:val="0"/>
          <w:bCs/>
          <w:kern w:val="2"/>
          <w:sz w:val="22"/>
          <w:szCs w:val="15"/>
          <w:lang w:val="en-US" w:eastAsia="zh-CN" w:bidi="ar-SA"/>
        </w:rPr>
        <w:t>供应商资格条件</w:t>
      </w:r>
      <w:bookmarkEnd w:id="18"/>
      <w:bookmarkEnd w:id="19"/>
      <w:bookmarkEnd w:id="20"/>
      <w:bookmarkEnd w:id="21"/>
      <w:bookmarkEnd w:id="22"/>
      <w:bookmarkEnd w:id="23"/>
      <w:bookmarkEnd w:id="24"/>
      <w:r>
        <w:rPr>
          <w:rFonts w:hint="eastAsia" w:ascii="Times New Roman" w:hAnsi="Times New Roman" w:eastAsia="黑体" w:cs="Times New Roman"/>
          <w:b w:val="0"/>
          <w:bCs/>
          <w:kern w:val="2"/>
          <w:sz w:val="22"/>
          <w:szCs w:val="15"/>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宋体" w:hAnsi="宋体" w:eastAsia="宋体" w:cs="宋体"/>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Times New Roman" w:hAnsi="Times New Roman" w:eastAsia="宋体" w:cs="Times New Roman"/>
          <w:szCs w:val="22"/>
          <w:lang w:val="en-US" w:eastAsia="zh-CN"/>
        </w:rPr>
        <w:t>（1）</w:t>
      </w:r>
      <w:r>
        <w:rPr>
          <w:rFonts w:hint="eastAsia" w:ascii="宋体" w:hAnsi="宋体" w:eastAsia="宋体" w:cs="宋体"/>
          <w:szCs w:val="22"/>
        </w:rPr>
        <w:t>资质最低要求：</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300"/>
        <w:textAlignment w:val="auto"/>
        <w:rPr>
          <w:rFonts w:hint="eastAsia" w:ascii="宋体" w:hAnsi="宋体" w:eastAsia="宋体" w:cs="宋体"/>
          <w:szCs w:val="22"/>
          <w:lang w:eastAsia="zh-CN"/>
        </w:rPr>
      </w:pPr>
      <w:r>
        <w:rPr>
          <w:rFonts w:hint="eastAsia" w:ascii="宋体" w:hAnsi="宋体" w:eastAsia="宋体" w:cs="宋体"/>
          <w:szCs w:val="22"/>
        </w:rPr>
        <w:t>具备独立法人资格，持有有效的营业执照</w:t>
      </w:r>
      <w:r>
        <w:rPr>
          <w:rFonts w:hint="eastAsia" w:ascii="宋体" w:hAnsi="宋体" w:eastAsia="宋体" w:cs="宋体"/>
          <w:szCs w:val="22"/>
          <w:lang w:eastAsia="zh-CN"/>
        </w:rPr>
        <w:t>。</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rPr>
      </w:pP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业绩最低要求：</w:t>
      </w:r>
    </w:p>
    <w:p>
      <w:pPr>
        <w:pStyle w:val="6"/>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至少提供1个自2021年1月1日以来，单项合同额不低于1000万元（或3000吨）的钢材供应</w:t>
      </w:r>
      <w:r>
        <w:rPr>
          <w:rFonts w:hint="eastAsia" w:ascii="Times New Roman" w:hAnsi="Times New Roman" w:cs="Times New Roman"/>
          <w:b/>
          <w:bCs/>
          <w:color w:val="auto"/>
          <w:szCs w:val="21"/>
          <w:highlight w:val="none"/>
          <w:u w:val="single"/>
          <w:lang w:val="en-US" w:eastAsia="zh-CN"/>
        </w:rPr>
        <w:t>合同业绩。</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HAnsi" w:eastAsiaTheme="minorEastAsia"/>
          <w:lang w:val="en-US" w:eastAsia="zh-CN"/>
        </w:rPr>
      </w:pPr>
      <w:r>
        <w:rPr>
          <w:rFonts w:hint="eastAsia" w:asciiTheme="minorHAnsi" w:eastAsiaTheme="minorEastAsia"/>
          <w:lang w:val="en-US" w:eastAsia="zh-CN"/>
        </w:rPr>
        <w:t>业绩证明材料要求：</w:t>
      </w:r>
    </w:p>
    <w:p>
      <w:pPr>
        <w:pStyle w:val="6"/>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①</w:t>
      </w:r>
      <w:r>
        <w:rPr>
          <w:rFonts w:hint="eastAsia" w:cstheme="minorBidi"/>
          <w:kern w:val="2"/>
          <w:sz w:val="21"/>
          <w:szCs w:val="24"/>
          <w:lang w:val="en-US" w:eastAsia="zh-CN" w:bidi="ar-SA"/>
        </w:rPr>
        <w:t>中标公示网上截图或项目供应发票扫描件（不得低于100万的发票扫描件）</w:t>
      </w:r>
      <w:r>
        <w:rPr>
          <w:rFonts w:hint="eastAsia" w:asciiTheme="minorHAnsi" w:hAnsiTheme="minorHAnsi" w:eastAsiaTheme="minorEastAsia" w:cstheme="minorBidi"/>
          <w:kern w:val="2"/>
          <w:sz w:val="21"/>
          <w:szCs w:val="24"/>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pPr>
        <w:pStyle w:val="18"/>
        <w:keepNext w:val="0"/>
        <w:keepLines w:val="0"/>
        <w:pageBreakBefore w:val="0"/>
        <w:widowControl w:val="0"/>
        <w:kinsoku/>
        <w:wordWrap/>
        <w:overflowPunct/>
        <w:topLinePunct w:val="0"/>
        <w:autoSpaceDE/>
        <w:autoSpaceDN/>
        <w:bidi w:val="0"/>
        <w:adjustRightIn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④</w:t>
      </w:r>
      <w:r>
        <w:rPr>
          <w:rFonts w:hint="eastAsia" w:asciiTheme="minorHAnsi" w:hAnsiTheme="minorHAnsi" w:eastAsiaTheme="minorEastAsia" w:cstheme="minorBidi"/>
          <w:kern w:val="2"/>
          <w:sz w:val="21"/>
          <w:szCs w:val="24"/>
          <w:lang w:val="en-US" w:eastAsia="zh-CN" w:bidi="ar-SA"/>
        </w:rPr>
        <w:t>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pPr>
        <w:pageBreakBefore w:val="0"/>
        <w:numPr>
          <w:ilvl w:val="255"/>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1994"/>
      <w:bookmarkStart w:id="26" w:name="_Toc29452_WPSOffice_Level2"/>
      <w:bookmarkStart w:id="27" w:name="_Toc525632588"/>
      <w:bookmarkStart w:id="28" w:name="_Toc4751"/>
      <w:bookmarkStart w:id="29" w:name="_Toc2996_WPSOffice_Level2"/>
      <w:bookmarkStart w:id="30" w:name="_Toc4109_WPSOffice_Level2"/>
      <w:bookmarkStart w:id="31" w:name="_Toc25666_WPSOffice_Level2"/>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pPr>
        <w:pStyle w:val="15"/>
        <w:keepNext w:val="0"/>
        <w:keepLines w:val="0"/>
        <w:widowControl/>
        <w:suppressLineNumbers w:val="0"/>
        <w:spacing w:before="0" w:beforeAutospacing="0" w:after="0" w:afterAutospacing="0" w:line="30" w:lineRule="atLeast"/>
        <w:ind w:left="0" w:right="0" w:firstLine="420" w:firstLineChars="200"/>
        <w:jc w:val="both"/>
        <w:rPr>
          <w:rFonts w:ascii="Times New Roman" w:hAnsi="Times New Roman" w:eastAsia="宋体" w:cs="Times New Roman"/>
          <w:kern w:val="2"/>
          <w:sz w:val="21"/>
          <w:szCs w:val="22"/>
          <w:lang w:val="en-US" w:eastAsia="zh-CN" w:bidi="ar-SA"/>
        </w:rPr>
      </w:pPr>
      <w:bookmarkStart w:id="32" w:name="_Toc726"/>
      <w:bookmarkStart w:id="33" w:name="_Toc525632589"/>
      <w:r>
        <w:rPr>
          <w:rFonts w:ascii="Times New Roman" w:hAnsi="Times New Roman" w:eastAsia="宋体" w:cs="Times New Roman"/>
          <w:kern w:val="2"/>
          <w:sz w:val="21"/>
          <w:szCs w:val="22"/>
          <w:lang w:val="en-US" w:eastAsia="zh-CN" w:bidi="ar-SA"/>
        </w:rPr>
        <w:t>供应商应在递交响应文件的截止时间前登录“</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”网站（https://www.ahjggroup.com/）“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”栏，选择所参加的合同包，自行下载询比文件及相关资料（含澄清、补遗及相关补充文件）。未按规定在“</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”栏下载询比文件的，后续将不予接受其响应文件。</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imes New Roman" w:hAnsi="Times New Roman" w:eastAsia="宋体" w:cs="Times New Roman"/>
          <w:kern w:val="2"/>
          <w:sz w:val="21"/>
          <w:szCs w:val="22"/>
          <w:u w:val="none"/>
          <w:lang w:val="en-US" w:eastAsia="zh-CN" w:bidi="ar-SA"/>
        </w:rPr>
      </w:pPr>
      <w:bookmarkStart w:id="34" w:name="_Toc22719"/>
      <w:bookmarkStart w:id="35" w:name="_Toc525632591"/>
      <w:r>
        <w:rPr>
          <w:rFonts w:hint="eastAsia" w:ascii="宋体" w:hAnsi="宋体" w:eastAsia="宋体" w:cs="宋体"/>
          <w:kern w:val="0"/>
          <w:sz w:val="21"/>
          <w:szCs w:val="21"/>
          <w:lang w:val="en-US" w:eastAsia="zh-CN" w:bidi="ar-SA"/>
        </w:rPr>
        <w:t>响应文件递交的截止时间</w:t>
      </w:r>
      <w:r>
        <w:rPr>
          <w:rFonts w:hint="eastAsia" w:ascii="宋体" w:hAnsi="宋体" w:eastAsia="宋体" w:cs="宋体"/>
          <w:kern w:val="0"/>
          <w:sz w:val="21"/>
          <w:szCs w:val="21"/>
          <w:highlight w:val="none"/>
          <w:lang w:val="en-US" w:eastAsia="zh-CN" w:bidi="ar-SA"/>
        </w:rPr>
        <w:t>为</w:t>
      </w:r>
      <w:r>
        <w:rPr>
          <w:rFonts w:hint="eastAsia" w:ascii="宋体" w:hAnsi="宋体" w:eastAsia="宋体" w:cs="宋体"/>
          <w:b/>
          <w:bCs/>
          <w:kern w:val="0"/>
          <w:sz w:val="21"/>
          <w:szCs w:val="21"/>
          <w:highlight w:val="none"/>
          <w:u w:val="single"/>
          <w:lang w:val="en-US" w:eastAsia="zh-CN" w:bidi="ar-SA"/>
        </w:rPr>
        <w:t xml:space="preserve"> 2024</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 xml:space="preserve"> 3 </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 xml:space="preserve"> 11 </w:t>
      </w:r>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 xml:space="preserve"> 14</w:t>
      </w:r>
      <w:bookmarkStart w:id="161" w:name="_GoBack"/>
      <w:bookmarkEnd w:id="161"/>
      <w:r>
        <w:rPr>
          <w:rFonts w:hint="eastAsia" w:ascii="宋体" w:hAnsi="宋体" w:eastAsia="宋体" w:cs="宋体"/>
          <w:b/>
          <w:bCs/>
          <w:kern w:val="0"/>
          <w:sz w:val="21"/>
          <w:szCs w:val="21"/>
          <w:highlight w:val="none"/>
          <w:u w:val="single"/>
          <w:lang w:val="en-US" w:eastAsia="zh-CN" w:bidi="ar-SA"/>
        </w:rPr>
        <w:t xml:space="preserve"> </w:t>
      </w:r>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 xml:space="preserve"> 30 </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highlight w:val="none"/>
          <w:lang w:val="en-US" w:eastAsia="zh-CN" w:bidi="ar-SA"/>
        </w:rPr>
        <w:t>，供</w:t>
      </w:r>
      <w:r>
        <w:rPr>
          <w:rFonts w:hint="eastAsia" w:ascii="宋体" w:hAnsi="宋体" w:eastAsia="宋体" w:cs="宋体"/>
          <w:kern w:val="0"/>
          <w:sz w:val="21"/>
          <w:szCs w:val="21"/>
          <w:lang w:val="en-US" w:eastAsia="zh-CN" w:bidi="ar-SA"/>
        </w:rPr>
        <w:t>应商的法定代表人或其授权代理人应在文件递交截止时间前，将响应文件递交</w:t>
      </w:r>
      <w:r>
        <w:rPr>
          <w:rFonts w:hint="eastAsia" w:ascii="宋体" w:hAnsi="宋体" w:eastAsia="宋体" w:cs="宋体"/>
          <w:kern w:val="0"/>
          <w:sz w:val="21"/>
          <w:szCs w:val="21"/>
          <w:u w:val="none"/>
          <w:lang w:val="en-US" w:eastAsia="zh-CN" w:bidi="ar-SA"/>
        </w:rPr>
        <w:t>至</w:t>
      </w:r>
      <w:r>
        <w:rPr>
          <w:rFonts w:hint="eastAsia" w:ascii="宋体" w:hAnsi="宋体" w:eastAsia="宋体" w:cs="宋体"/>
          <w:kern w:val="2"/>
          <w:sz w:val="21"/>
          <w:szCs w:val="21"/>
          <w:u w:val="none"/>
          <w:lang w:val="en-US" w:eastAsia="zh-CN" w:bidi="ar-SA"/>
        </w:rPr>
        <w:t>安徽省合肥市包河</w:t>
      </w:r>
      <w:r>
        <w:rPr>
          <w:rFonts w:hint="eastAsia" w:ascii="宋体" w:hAnsi="宋体" w:eastAsia="宋体" w:cs="宋体"/>
          <w:kern w:val="2"/>
          <w:sz w:val="21"/>
          <w:szCs w:val="21"/>
          <w:highlight w:val="none"/>
          <w:u w:val="none"/>
          <w:lang w:val="en-US" w:eastAsia="zh-CN" w:bidi="ar-SA"/>
        </w:rPr>
        <w:t>区西藏路1588号高</w:t>
      </w:r>
      <w:r>
        <w:rPr>
          <w:rFonts w:hint="eastAsia" w:ascii="宋体" w:hAnsi="宋体" w:eastAsia="宋体" w:cs="宋体"/>
          <w:kern w:val="2"/>
          <w:sz w:val="21"/>
          <w:szCs w:val="21"/>
          <w:u w:val="none"/>
          <w:lang w:val="en-US" w:eastAsia="zh-CN" w:bidi="ar-SA"/>
        </w:rPr>
        <w:t>速时代广场C1栋1008安徽省经工物资有限公司</w:t>
      </w:r>
      <w:r>
        <w:rPr>
          <w:rFonts w:hint="eastAsia" w:ascii="宋体" w:hAnsi="宋体" w:eastAsia="宋体" w:cs="宋体"/>
          <w:kern w:val="2"/>
          <w:sz w:val="21"/>
          <w:szCs w:val="21"/>
          <w:lang w:val="en-US" w:eastAsia="zh-CN" w:bidi="ar-SA"/>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w:t>
      </w:r>
      <w:r>
        <w:rPr>
          <w:rFonts w:hint="eastAsia" w:ascii="Times New Roman" w:hAnsi="Times New Roman" w:eastAsia="宋体" w:cs="Times New Roman"/>
          <w:kern w:val="2"/>
          <w:sz w:val="21"/>
          <w:szCs w:val="22"/>
          <w:highlight w:val="none"/>
          <w:u w:val="single"/>
        </w:rPr>
        <w:t>安徽</w:t>
      </w:r>
      <w:r>
        <w:rPr>
          <w:rFonts w:hint="eastAsia" w:ascii="Times New Roman" w:hAnsi="Times New Roman" w:eastAsia="宋体" w:cs="Times New Roman"/>
          <w:kern w:val="2"/>
          <w:sz w:val="21"/>
          <w:szCs w:val="22"/>
          <w:highlight w:val="none"/>
          <w:u w:val="single"/>
          <w:lang w:val="en-US" w:eastAsia="zh-CN"/>
        </w:rPr>
        <w:t>省经工物资有限公司</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响应保证金的金额：</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 xml:space="preserve"> 200000 </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 xml:space="preserve"> 贰拾万元整 </w:t>
      </w:r>
      <w:r>
        <w:rPr>
          <w:rFonts w:hint="eastAsia" w:ascii="宋体" w:hAnsi="宋体" w:eastAsia="宋体" w:cs="宋体"/>
          <w:b/>
          <w:bCs/>
          <w:kern w:val="2"/>
          <w:sz w:val="21"/>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“钢材采购项目”</w:t>
      </w:r>
      <w:r>
        <w:rPr>
          <w:rFonts w:hint="eastAsia" w:ascii="宋体" w:hAnsi="宋体" w:eastAsia="宋体" w:cs="宋体"/>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pPr>
        <w:pStyle w:val="15"/>
        <w:keepNext w:val="0"/>
        <w:keepLines w:val="0"/>
        <w:widowControl/>
        <w:suppressLineNumbers w:val="0"/>
        <w:spacing w:before="0" w:beforeAutospacing="0" w:after="0" w:afterAutospacing="0" w:line="30" w:lineRule="atLeast"/>
        <w:ind w:left="0" w:right="0" w:firstLine="420" w:firstLineChars="200"/>
        <w:jc w:val="both"/>
        <w:rPr>
          <w:rFonts w:hint="eastAsia" w:ascii="宋体" w:hAnsi="宋体" w:eastAsia="宋体" w:cs="宋体"/>
          <w:kern w:val="2"/>
          <w:sz w:val="21"/>
          <w:szCs w:val="21"/>
          <w:lang w:val="en-US" w:eastAsia="zh-CN" w:bidi="ar-SA"/>
        </w:rPr>
      </w:pPr>
      <w:bookmarkStart w:id="36" w:name="_Toc28571_WPSOffice_Level2"/>
      <w:bookmarkStart w:id="37" w:name="_Toc20572_WPSOffice_Level2"/>
      <w:bookmarkStart w:id="38" w:name="_Toc525632592"/>
      <w:bookmarkStart w:id="39" w:name="_Toc8501"/>
      <w:bookmarkStart w:id="40" w:name="_Toc26829"/>
      <w:bookmarkStart w:id="41" w:name="_Toc14943_WPSOffice_Level2"/>
      <w:bookmarkStart w:id="42" w:name="_Toc321_WPSOffice_Level2"/>
      <w:r>
        <w:rPr>
          <w:rFonts w:hint="eastAsia" w:ascii="宋体" w:hAnsi="宋体" w:eastAsia="宋体" w:cs="宋体"/>
          <w:kern w:val="2"/>
          <w:sz w:val="21"/>
          <w:szCs w:val="21"/>
          <w:lang w:val="en-US" w:eastAsia="zh-CN" w:bidi="ar-SA"/>
        </w:rPr>
        <w:t>本次采购公告在“</w:t>
      </w:r>
      <w:r>
        <w:rPr>
          <w:rFonts w:hint="eastAsia" w:cs="宋体"/>
          <w:kern w:val="2"/>
          <w:sz w:val="21"/>
          <w:szCs w:val="21"/>
          <w:lang w:val="en-US" w:eastAsia="zh-CN" w:bidi="ar-SA"/>
        </w:rPr>
        <w:t>安徽交控建设工程集团有限公司</w:t>
      </w:r>
      <w:r>
        <w:rPr>
          <w:rFonts w:hint="eastAsia" w:ascii="宋体" w:hAnsi="宋体" w:eastAsia="宋体" w:cs="宋体"/>
          <w:kern w:val="2"/>
          <w:sz w:val="21"/>
          <w:szCs w:val="21"/>
          <w:lang w:val="en-US" w:eastAsia="zh-CN" w:bidi="ar-SA"/>
        </w:rPr>
        <w:t>网站（https://www.ahjggroup.com/）“</w:t>
      </w:r>
      <w:r>
        <w:rPr>
          <w:rFonts w:hint="eastAsia" w:cs="宋体"/>
          <w:kern w:val="2"/>
          <w:sz w:val="21"/>
          <w:szCs w:val="21"/>
          <w:lang w:val="en-US" w:eastAsia="zh-CN" w:bidi="ar-SA"/>
        </w:rPr>
        <w:t>招标公告</w:t>
      </w:r>
      <w:r>
        <w:rPr>
          <w:rFonts w:hint="eastAsia" w:ascii="宋体" w:hAnsi="宋体" w:eastAsia="宋体" w:cs="宋体"/>
          <w:kern w:val="2"/>
          <w:sz w:val="21"/>
          <w:szCs w:val="21"/>
          <w:lang w:val="en-US" w:eastAsia="zh-CN" w:bidi="ar-SA"/>
        </w:rPr>
        <w:t>”栏上发布。</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 购 人：</w:t>
      </w:r>
      <w:r>
        <w:rPr>
          <w:rFonts w:hint="eastAsia" w:ascii="宋体" w:hAnsi="宋体" w:eastAsia="宋体" w:cs="宋体"/>
          <w:kern w:val="2"/>
          <w:sz w:val="21"/>
          <w:szCs w:val="21"/>
        </w:rPr>
        <w:t>安徽</w:t>
      </w:r>
      <w:r>
        <w:rPr>
          <w:rFonts w:hint="eastAsia" w:ascii="宋体" w:hAnsi="宋体" w:eastAsia="宋体" w:cs="宋体"/>
          <w:kern w:val="2"/>
          <w:sz w:val="21"/>
          <w:szCs w:val="21"/>
          <w:lang w:val="en-US" w:eastAsia="zh-CN"/>
        </w:rPr>
        <w:t>省经工物资有限公司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kern w:val="2"/>
          <w:sz w:val="21"/>
          <w:szCs w:val="21"/>
        </w:rPr>
        <w:t>安徽省合肥市包河区西藏路</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w:t>
      </w:r>
      <w:r>
        <w:rPr>
          <w:rFonts w:hint="eastAsia" w:ascii="宋体" w:hAnsi="宋体" w:eastAsia="宋体" w:cs="宋体"/>
          <w:kern w:val="2"/>
          <w:sz w:val="21"/>
          <w:szCs w:val="21"/>
        </w:rPr>
        <w:t>速时代广场C1栋</w:t>
      </w:r>
      <w:r>
        <w:rPr>
          <w:rFonts w:hint="eastAsia" w:ascii="宋体" w:hAnsi="宋体" w:eastAsia="宋体" w:cs="宋体"/>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lang w:val="en-US" w:eastAsia="zh-CN"/>
        </w:rPr>
        <w:t xml:space="preserve">     高工、周工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br w:type="page"/>
      </w:r>
    </w:p>
    <w:p>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26656928"/>
      <w:bookmarkStart w:id="45" w:name="_Toc29381_WPSOffice_Level2"/>
      <w:bookmarkStart w:id="46" w:name="_Toc55466811"/>
      <w:bookmarkStart w:id="47" w:name="_Toc19501"/>
      <w:bookmarkStart w:id="48" w:name="_Toc16069"/>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9"/>
        <w:tblW w:w="9181" w:type="dxa"/>
        <w:tblInd w:w="0" w:type="dxa"/>
        <w:tblLayout w:type="fixed"/>
        <w:tblCellMar>
          <w:top w:w="0" w:type="dxa"/>
          <w:left w:w="108" w:type="dxa"/>
          <w:bottom w:w="0" w:type="dxa"/>
          <w:right w:w="108" w:type="dxa"/>
        </w:tblCellMar>
      </w:tblPr>
      <w:tblGrid>
        <w:gridCol w:w="1000"/>
        <w:gridCol w:w="2572"/>
        <w:gridCol w:w="5609"/>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2572" w:type="dxa"/>
            <w:tcBorders>
              <w:top w:val="single" w:color="auto" w:sz="4" w:space="0"/>
              <w:left w:val="single" w:color="auto" w:sz="4" w:space="0"/>
              <w:bottom w:val="single" w:color="auto" w:sz="4" w:space="0"/>
              <w:right w:val="single" w:color="auto" w:sz="4" w:space="0"/>
            </w:tcBorders>
            <w:vAlign w:val="center"/>
          </w:tcPr>
          <w:p>
            <w:pPr>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widowControl/>
              <w:spacing w:line="480" w:lineRule="exact"/>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spacing w:line="480" w:lineRule="exact"/>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rPr>
            </w:pPr>
            <w:r>
              <w:rPr>
                <w:rFonts w:hint="eastAsia" w:ascii="Times New Roman" w:hAnsi="Times New Roman" w:cs="Times New Roman"/>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yellow"/>
                <w:u w:val="single"/>
              </w:rPr>
            </w:pPr>
            <w:r>
              <w:rPr>
                <w:rFonts w:hint="eastAsia" w:ascii="Times New Roman" w:hAnsi="Times New Roman" w:cs="Times New Roman"/>
                <w:highlight w:val="none"/>
              </w:rPr>
              <w:t>响应文件应</w:t>
            </w:r>
            <w:r>
              <w:rPr>
                <w:rFonts w:hint="eastAsia" w:ascii="Times New Roman" w:hAnsi="Times New Roman" w:cs="Times New Roman"/>
                <w:b w:val="0"/>
                <w:bCs w:val="0"/>
                <w:highlight w:val="none"/>
              </w:rPr>
              <w:t>胶装成册</w:t>
            </w:r>
            <w:r>
              <w:rPr>
                <w:rFonts w:hint="eastAsia" w:ascii="Times New Roman" w:hAnsi="Times New Roman" w:cs="Times New Roman"/>
                <w:b/>
                <w:bCs/>
                <w:highlight w:val="none"/>
              </w:rPr>
              <w:t>，</w:t>
            </w:r>
            <w:r>
              <w:rPr>
                <w:rFonts w:ascii="Times New Roman" w:hAnsi="Times New Roman" w:cs="Times New Roman"/>
                <w:highlight w:val="none"/>
              </w:rPr>
              <w:t>正</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副本各</w:t>
            </w:r>
            <w:r>
              <w:rPr>
                <w:rFonts w:ascii="Times New Roman" w:hAnsi="Times New Roman" w:cs="Times New Roman"/>
                <w:highlight w:val="none"/>
              </w:rPr>
              <w:t>一份。</w:t>
            </w:r>
            <w:r>
              <w:rPr>
                <w:rFonts w:hint="eastAsia" w:ascii="Times New Roman" w:hAnsi="Times New Roman" w:cs="Times New Roman"/>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257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80" w:lineRule="exact"/>
              <w:rPr>
                <w:rFonts w:hint="eastAsia" w:ascii="Times New Roman" w:hAnsi="Times New Roman" w:cs="Times New Roman"/>
                <w:highlight w:val="yellow"/>
              </w:rPr>
            </w:pP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snapToGrid w:val="0"/>
              <w:spacing w:line="480" w:lineRule="exact"/>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snapToGrid w:val="0"/>
              <w:spacing w:line="480" w:lineRule="exact"/>
              <w:rPr>
                <w:rFonts w:hint="eastAsia"/>
                <w:lang w:val="en-US" w:eastAsia="zh-CN"/>
              </w:rPr>
            </w:pPr>
            <w:r>
              <w:rPr>
                <w:rFonts w:hint="eastAsia"/>
                <w:lang w:val="en-US" w:eastAsia="zh-CN"/>
              </w:rPr>
              <w:t>（1）异议人的名称、地址及有效联系方式；</w:t>
            </w:r>
          </w:p>
          <w:p>
            <w:pPr>
              <w:snapToGrid w:val="0"/>
              <w:spacing w:line="480" w:lineRule="exact"/>
              <w:rPr>
                <w:rFonts w:hint="eastAsia"/>
                <w:lang w:val="en-US" w:eastAsia="zh-CN"/>
              </w:rPr>
            </w:pPr>
            <w:r>
              <w:rPr>
                <w:rFonts w:hint="eastAsia"/>
                <w:lang w:val="en-US" w:eastAsia="zh-CN"/>
              </w:rPr>
              <w:t>（2）异议事项的基本事实；</w:t>
            </w:r>
          </w:p>
          <w:p>
            <w:pPr>
              <w:snapToGrid w:val="0"/>
              <w:spacing w:line="480" w:lineRule="exact"/>
              <w:rPr>
                <w:rFonts w:hint="eastAsia"/>
                <w:lang w:val="en-US" w:eastAsia="zh-CN"/>
              </w:rPr>
            </w:pPr>
            <w:r>
              <w:rPr>
                <w:rFonts w:hint="eastAsia"/>
                <w:lang w:val="en-US" w:eastAsia="zh-CN"/>
              </w:rPr>
              <w:t>（3）有效线索和相关证明材料。</w:t>
            </w:r>
          </w:p>
          <w:p>
            <w:pPr>
              <w:snapToGrid w:val="0"/>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textAlignment w:val="top"/>
              <w:rPr>
                <w:rFonts w:hint="default" w:ascii="Times New Roman" w:eastAsia="宋体"/>
                <w:b/>
                <w:bCs/>
                <w:lang w:val="en-US" w:eastAsia="zh-CN"/>
              </w:rPr>
            </w:pPr>
            <w:r>
              <w:rPr>
                <w:rFonts w:hint="eastAsia"/>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14201207"/>
      <w:bookmarkStart w:id="50" w:name="_Toc26656938"/>
      <w:bookmarkStart w:id="51" w:name="_Toc9067720"/>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1"/>
                <w:szCs w:val="21"/>
                <w:highlight w:val="none"/>
              </w:rPr>
              <w:t>投标人为独立法人资格，持有有效营业执照的供应商</w:t>
            </w:r>
            <w:r>
              <w:rPr>
                <w:rFonts w:hint="eastAsia" w:ascii="宋体" w:hAnsi="宋体" w:cs="宋体"/>
                <w:sz w:val="21"/>
                <w:szCs w:val="21"/>
                <w:highlight w:val="none"/>
              </w:rPr>
              <w:t>。</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6"/>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w:t>
            </w:r>
            <w:r>
              <w:rPr>
                <w:rFonts w:hint="eastAsia"/>
                <w:highlight w:val="none"/>
                <w:lang w:val="en-US" w:eastAsia="zh-CN"/>
              </w:rPr>
              <w:t>同额不</w:t>
            </w:r>
            <w:r>
              <w:rPr>
                <w:rFonts w:hint="eastAsia"/>
                <w:lang w:val="en-US" w:eastAsia="zh-CN"/>
              </w:rPr>
              <w:t>低于</w:t>
            </w:r>
            <w:r>
              <w:rPr>
                <w:rFonts w:hint="eastAsia" w:ascii="宋体" w:hAnsi="宋体" w:eastAsia="宋体" w:cs="宋体"/>
                <w:b/>
                <w:bCs/>
                <w:highlight w:val="none"/>
                <w:u w:val="single"/>
                <w:lang w:val="en-US" w:eastAsia="zh-CN"/>
              </w:rPr>
              <w:t>1000万元（或3000吨）</w:t>
            </w:r>
            <w:r>
              <w:rPr>
                <w:rFonts w:hint="eastAsia"/>
                <w:lang w:val="en-US" w:eastAsia="zh-CN"/>
              </w:rPr>
              <w:t>的钢材供应合同业绩。</w:t>
            </w:r>
          </w:p>
        </w:tc>
      </w:tr>
    </w:tbl>
    <w:p>
      <w:pPr>
        <w:bidi w:val="0"/>
        <w:rPr>
          <w:rFonts w:hint="eastAsia"/>
          <w:lang w:val="en-US" w:eastAsia="zh-CN"/>
        </w:rPr>
      </w:pPr>
      <w:r>
        <w:rPr>
          <w:rFonts w:hint="eastAsia"/>
          <w:lang w:val="en-US" w:eastAsia="zh-CN"/>
        </w:rPr>
        <w:t>业绩证明材料要求如下，否则业绩不予认可。</w:t>
      </w:r>
    </w:p>
    <w:p>
      <w:pPr>
        <w:pStyle w:val="6"/>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①</w:t>
      </w:r>
      <w:r>
        <w:rPr>
          <w:rFonts w:hint="eastAsia" w:cstheme="minorBidi"/>
          <w:kern w:val="2"/>
          <w:sz w:val="21"/>
          <w:szCs w:val="24"/>
          <w:lang w:val="en-US" w:eastAsia="zh-CN" w:bidi="ar-SA"/>
        </w:rPr>
        <w:t>中标公示网上截图或项目供应发票扫描件（不得低于100万的发票扫描件）</w:t>
      </w:r>
      <w:r>
        <w:rPr>
          <w:rFonts w:hint="eastAsia" w:asciiTheme="minorHAnsi" w:hAnsiTheme="minorHAnsi" w:eastAsiaTheme="minorEastAsia" w:cstheme="minorBidi"/>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Times New Roman" w:eastAsia="宋体"/>
          <w:lang w:val="en-US" w:eastAsia="zh-CN"/>
        </w:rPr>
        <w:t>②</w:t>
      </w:r>
      <w:r>
        <w:rPr>
          <w:rFonts w:hint="eastAsia"/>
          <w:lang w:val="en-US" w:eastAsia="zh-CN"/>
        </w:rPr>
        <w:t xml:space="preserve">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eastAsia="宋体"/>
          <w:lang w:val="en-US" w:eastAsia="zh-CN"/>
        </w:rPr>
        <w:t>③</w:t>
      </w:r>
      <w:r>
        <w:rPr>
          <w:rFonts w:hint="eastAsia"/>
          <w:lang w:val="en-US" w:eastAsia="zh-CN"/>
        </w:rPr>
        <w:t>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eastAsia="宋体"/>
          <w:lang w:val="en-US" w:eastAsia="zh-CN"/>
        </w:rPr>
        <w:t>④</w:t>
      </w:r>
      <w:r>
        <w:rPr>
          <w:rFonts w:hint="eastAsia"/>
          <w:lang w:val="en-US" w:eastAsia="zh-CN"/>
        </w:rPr>
        <w:t>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⑤</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6"/>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p>
            <w:pPr>
              <w:pStyle w:val="30"/>
              <w:rPr>
                <w:rFonts w:hint="eastAsia"/>
              </w:rPr>
            </w:pPr>
          </w:p>
        </w:tc>
      </w:tr>
    </w:tbl>
    <w:p>
      <w:pPr>
        <w:pStyle w:val="30"/>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lang w:val="en-US" w:eastAsia="zh-C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rPr>
          <w:rFonts w:hint="default" w:ascii="宋体" w:hAnsi="宋体" w:eastAsia="宋体" w:cs="宋体"/>
          <w:kern w:val="2"/>
          <w:sz w:val="21"/>
          <w:szCs w:val="21"/>
          <w:lang w:val="en-US" w:eastAsia="zh-CN" w:bidi="ar-SA"/>
        </w:rPr>
      </w:pPr>
      <w:r>
        <w:rPr>
          <w:rFonts w:ascii="Times New Roman" w:hAnsi="Times New Roman" w:cs="Times New Roman"/>
        </w:rPr>
        <w:t>7.4.1</w:t>
      </w:r>
      <w:r>
        <w:rPr>
          <w:rFonts w:hint="eastAsia" w:ascii="宋体" w:hAnsi="宋体" w:eastAsia="宋体" w:cs="宋体"/>
          <w:kern w:val="2"/>
          <w:sz w:val="21"/>
          <w:szCs w:val="21"/>
          <w:lang w:val="en-US" w:eastAsia="zh-CN" w:bidi="ar-SA"/>
        </w:rPr>
        <w:t>中标后，响应保证金自动转为履约保证金。</w:t>
      </w:r>
    </w:p>
    <w:p>
      <w:pPr>
        <w:spacing w:line="440" w:lineRule="exact"/>
        <w:ind w:firstLine="420"/>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4"/>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144974496"/>
      <w:bookmarkStart w:id="54" w:name="_Toc447808662"/>
      <w:bookmarkStart w:id="55" w:name="_Toc152042304"/>
      <w:bookmarkStart w:id="56" w:name="_Toc457482536"/>
      <w:bookmarkStart w:id="57" w:name="_Toc3834"/>
      <w:bookmarkStart w:id="58" w:name="_Toc152045528"/>
      <w:bookmarkStart w:id="59" w:name="_Toc14847"/>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评标委员会按评标价由低到高</w:t>
            </w:r>
            <w:r>
              <w:rPr>
                <w:rFonts w:hint="eastAsia" w:ascii="宋体" w:hAnsi="宋体" w:eastAsia="宋体" w:cs="宋体"/>
                <w:color w:val="000000"/>
                <w:kern w:val="0"/>
                <w:sz w:val="21"/>
                <w:szCs w:val="21"/>
                <w:lang w:val="en-US" w:eastAsia="zh-CN" w:bidi="ar"/>
              </w:rPr>
              <w:t>（下浮价格由高到低）</w:t>
            </w:r>
            <w:r>
              <w:rPr>
                <w:rFonts w:hint="eastAsia" w:ascii="宋体" w:hAnsi="宋体" w:eastAsia="宋体" w:cs="宋体"/>
                <w:color w:val="000000"/>
                <w:kern w:val="0"/>
                <w:sz w:val="22"/>
                <w:szCs w:val="22"/>
                <w:lang w:val="en-US" w:eastAsia="zh-CN" w:bidi="ar"/>
              </w:rPr>
              <w:t xml:space="preserve">顺序推荐中标候选人，评标价相等时，评标委员会依次按照以下优先顺序推荐中标候选人：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）商务及技术文件得分较高的投标人优先；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形式评审</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与响应性</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第一个信封（商务及技术文件）评审标准：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）投标文件按照采购文件规定的格式、内容填写，字迹清晰可辨：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投标函附录的所有数据均符合采购文件规定；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）投标文件上法定代表人或其授权代理人的签字、投标人的单位章盖章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）投标人按照采购文件的规定提供了投标保证金：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投标保证金金额符合采购文件规定的金额，且投标保证金有效期不少于投标有效期；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若投标保证金采用现金或支票形式提交，投标人应在递交投标文件截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止时间之前，将投标保证金由投标人的基本账户转入并到达采购人指定账户；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 xml:space="preserve">）本项目不接受联合体投标。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）投标文件中未出现有关投标报价的内容。</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9</w:t>
            </w:r>
            <w:r>
              <w:rPr>
                <w:rFonts w:hint="eastAsia" w:ascii="宋体" w:hAnsi="宋体" w:eastAsia="宋体" w:cs="宋体"/>
                <w:color w:val="000000"/>
                <w:kern w:val="0"/>
                <w:sz w:val="22"/>
                <w:szCs w:val="22"/>
                <w:lang w:val="en-US" w:eastAsia="zh-CN" w:bidi="ar"/>
              </w:rPr>
              <w:t xml:space="preserve">）投标文件载明的招标项目完成期限未超过采购文件规定的时限。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 xml:space="preserve">）投标文件对采购文件的实质性要求和条件作出响应。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）权利义务符合采购文件规定：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投标人应接受采购文件规定的风险划分原则，未提出新的风险划分办法；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投标人未增加发包人的责任范围，或减少投标人义务；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投标人未提出不同的工程验收、计量、支付办法；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投标人对合同纠纷、事故处理办法未提出异议；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e.</w:t>
            </w:r>
            <w:r>
              <w:rPr>
                <w:rFonts w:hint="eastAsia" w:ascii="宋体" w:hAnsi="宋体" w:eastAsia="宋体" w:cs="宋体"/>
                <w:color w:val="000000"/>
                <w:kern w:val="0"/>
                <w:sz w:val="22"/>
                <w:szCs w:val="22"/>
                <w:lang w:val="en-US" w:eastAsia="zh-CN" w:bidi="ar"/>
              </w:rPr>
              <w:t xml:space="preserve">投标人在投标活动中无欺诈行为；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f.</w:t>
            </w:r>
            <w:r>
              <w:rPr>
                <w:rFonts w:hint="eastAsia" w:ascii="宋体" w:hAnsi="宋体" w:eastAsia="宋体" w:cs="宋体"/>
                <w:color w:val="000000"/>
                <w:kern w:val="0"/>
                <w:sz w:val="22"/>
                <w:szCs w:val="22"/>
                <w:lang w:val="en-US" w:eastAsia="zh-CN" w:bidi="ar"/>
              </w:rPr>
              <w:t xml:space="preserve">投标人未对合同条款有重要保留。 </w:t>
            </w:r>
          </w:p>
          <w:p>
            <w:pPr>
              <w:keepNext w:val="0"/>
              <w:keepLines w:val="0"/>
              <w:widowControl/>
              <w:suppressLineNumbers w:val="0"/>
              <w:jc w:val="left"/>
              <w:rPr>
                <w:b w:val="0"/>
                <w:bCs w:val="0"/>
              </w:rPr>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w:t>
            </w:r>
            <w:r>
              <w:rPr>
                <w:rFonts w:hint="eastAsia" w:ascii="宋体" w:hAnsi="宋体" w:eastAsia="宋体" w:cs="宋体"/>
                <w:b w:val="0"/>
                <w:bCs w:val="0"/>
                <w:color w:val="000000"/>
                <w:kern w:val="0"/>
                <w:sz w:val="22"/>
                <w:szCs w:val="22"/>
                <w:lang w:val="en-US" w:eastAsia="zh-CN" w:bidi="ar"/>
              </w:rPr>
              <w:t xml:space="preserve">投标人网上报名的标段、投标保证金提交的标段和投标文件所投标 </w:t>
            </w:r>
          </w:p>
          <w:p>
            <w:pPr>
              <w:keepNext w:val="0"/>
              <w:keepLines w:val="0"/>
              <w:widowControl/>
              <w:suppressLineNumbers w:val="0"/>
              <w:jc w:val="left"/>
            </w:pPr>
            <w:r>
              <w:rPr>
                <w:rFonts w:hint="eastAsia" w:ascii="宋体" w:hAnsi="宋体" w:eastAsia="宋体" w:cs="宋体"/>
                <w:b w:val="0"/>
                <w:bCs w:val="0"/>
                <w:color w:val="000000"/>
                <w:kern w:val="0"/>
                <w:sz w:val="22"/>
                <w:szCs w:val="22"/>
                <w:lang w:val="en-US" w:eastAsia="zh-CN" w:bidi="ar"/>
              </w:rPr>
              <w:t>段一致。</w:t>
            </w:r>
            <w:r>
              <w:rPr>
                <w:rFonts w:hint="eastAsia" w:ascii="宋体" w:hAnsi="宋体" w:eastAsia="宋体" w:cs="宋体"/>
                <w:b/>
                <w:bCs/>
                <w:color w:val="000000"/>
                <w:kern w:val="0"/>
                <w:sz w:val="22"/>
                <w:szCs w:val="22"/>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）投标人对其信誉情况的承诺与事实相符。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）投标文件未附有采购人不能接受的条件。 </w:t>
            </w:r>
          </w:p>
          <w:p>
            <w:pPr>
              <w:keepNext w:val="0"/>
              <w:keepLines w:val="0"/>
              <w:widowControl/>
              <w:suppressLineNumbers w:val="0"/>
              <w:jc w:val="left"/>
            </w:pPr>
            <w:r>
              <w:rPr>
                <w:rFonts w:hint="eastAsia" w:ascii="黑体" w:hAnsi="宋体" w:eastAsia="黑体" w:cs="黑体"/>
                <w:color w:val="000000"/>
                <w:kern w:val="0"/>
                <w:sz w:val="22"/>
                <w:szCs w:val="22"/>
                <w:lang w:val="en-US" w:eastAsia="zh-CN" w:bidi="ar"/>
              </w:rPr>
              <w:t xml:space="preserve">第二个信封（报价文件）评审标准：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）报价文件按照采购文件规定的格式、内容填写，字迹清晰可辨：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书编号（如有）、投标价（包括大写金额和小写金额）；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已标价工程量清单及说明文字与采购文件规定一致，未进行实质性修改和删减；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工程量清单中的投标报价与投标函大写金额报价一致；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）投标报价未超过采购文件设定的最高投标限价（如有）。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）投标报价的大写金额能够确定具体数值。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）同一投标人未提交两个以上不同的投标报价。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）投标人未提交调价函。 （如有）</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）投标人若填写工程量固化清单，填写完毕的工程量固化清单未对工程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标准</w:t>
            </w:r>
          </w:p>
        </w:tc>
        <w:tc>
          <w:tcPr>
            <w:tcW w:w="7418" w:type="dxa"/>
            <w:tcMar>
              <w:left w:w="75" w:type="dxa"/>
            </w:tcMar>
            <w:vAlign w:val="center"/>
          </w:tcPr>
          <w:p>
            <w:pPr>
              <w:keepNext/>
              <w:keepLines/>
              <w:pageBreakBefore w:val="0"/>
              <w:widowControl w:val="0"/>
              <w:numPr>
                <w:ilvl w:val="0"/>
                <w:numId w:val="0"/>
              </w:numPr>
              <w:kinsoku/>
              <w:wordWrap/>
              <w:overflowPunct/>
              <w:topLinePunct w:val="0"/>
              <w:autoSpaceDE/>
              <w:autoSpaceDN/>
              <w:bidi w:val="0"/>
              <w:adjustRightInd/>
              <w:snapToGrid w:val="0"/>
              <w:spacing w:before="120" w:after="120" w:line="400" w:lineRule="exact"/>
              <w:jc w:val="both"/>
              <w:textAlignment w:val="auto"/>
              <w:outlineLvl w:val="1"/>
              <w:rPr>
                <w:rFonts w:hint="default" w:ascii="宋体" w:hAnsi="宋体" w:eastAsia="宋体" w:cs="宋体"/>
                <w:color w:val="auto"/>
                <w:kern w:val="0"/>
                <w:sz w:val="21"/>
                <w:szCs w:val="21"/>
                <w:highlight w:val="none"/>
                <w:lang w:val="en-US"/>
              </w:rPr>
            </w:pPr>
            <w:r>
              <w:rPr>
                <w:rFonts w:hint="eastAsia" w:ascii="宋体" w:hAnsi="宋体" w:eastAsia="宋体" w:cs="宋体"/>
                <w:color w:val="000000"/>
                <w:kern w:val="0"/>
                <w:sz w:val="22"/>
                <w:szCs w:val="22"/>
                <w:lang w:val="en-US" w:eastAsia="zh-CN" w:bidi="ar"/>
              </w:rPr>
              <w:t>符合采购公告3.供应商资格条件 及采购文件格式要求。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widowControl/>
        <w:spacing w:line="360" w:lineRule="atLeast"/>
        <w:jc w:val="center"/>
        <w:rPr>
          <w:rFonts w:ascii="Times New Roman" w:hAnsi="Times New Roman" w:cs="Times New Roman"/>
        </w:rPr>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34"/>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19"/>
        <w:tblpPr w:leftFromText="180" w:rightFromText="180" w:vertAnchor="text" w:horzAnchor="page" w:tblpX="1860" w:tblpY="200"/>
        <w:tblOverlap w:val="never"/>
        <w:tblW w:w="53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25" w:type="dxa"/>
            <w:vAlign w:val="center"/>
          </w:tcPr>
          <w:p>
            <w:pPr>
              <w:pStyle w:val="6"/>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条款号</w:t>
            </w:r>
          </w:p>
        </w:tc>
        <w:tc>
          <w:tcPr>
            <w:tcW w:w="186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条款内容</w:t>
            </w:r>
          </w:p>
        </w:tc>
        <w:tc>
          <w:tcPr>
            <w:tcW w:w="6388" w:type="dxa"/>
            <w:vAlign w:val="center"/>
          </w:tcPr>
          <w:p>
            <w:pPr>
              <w:adjustRightInd w:val="0"/>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860"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第一个信封</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评分分值构</w:t>
            </w:r>
          </w:p>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lang w:val="en-US" w:eastAsia="zh-CN" w:bidi="ar"/>
              </w:rPr>
              <w:t>成</w:t>
            </w:r>
            <w:r>
              <w:rPr>
                <w:rFonts w:hint="eastAsia" w:ascii="宋体" w:hAnsi="宋体" w:eastAsia="宋体" w:cs="宋体"/>
                <w:sz w:val="21"/>
                <w:szCs w:val="21"/>
              </w:rPr>
              <w:t>（总分100分）</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业    绩：</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30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pStyle w:val="6"/>
              <w:keepNext w:val="0"/>
              <w:keepLines w:val="0"/>
              <w:pageBreakBefore w:val="0"/>
              <w:widowControl w:val="0"/>
              <w:kinsoku/>
              <w:wordWrap/>
              <w:overflowPunct/>
              <w:topLinePunct w:val="0"/>
              <w:autoSpaceDE/>
              <w:autoSpaceDN/>
              <w:bidi w:val="0"/>
              <w:snapToGrid/>
              <w:spacing w:after="0" w:line="240" w:lineRule="auto"/>
              <w:textAlignment w:val="auto"/>
              <w:rPr>
                <w:rFonts w:hint="eastAsia"/>
              </w:rPr>
            </w:pPr>
            <w:r>
              <w:rPr>
                <w:rFonts w:hint="eastAsia" w:ascii="宋体" w:hAnsi="宋体" w:eastAsia="宋体" w:cs="宋体"/>
                <w:sz w:val="21"/>
                <w:szCs w:val="21"/>
                <w:lang w:val="en-US" w:eastAsia="zh-CN"/>
              </w:rPr>
              <w:t>企业实力：</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pStyle w:val="6"/>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30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860" w:type="dxa"/>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highlight w:val="none"/>
                <w:lang w:val="en-US" w:eastAsia="zh-CN" w:bidi="ar"/>
              </w:rPr>
              <w:t>通过第一个信封详细评审的投标人数量</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通过第一个信封详细评审的投标人数量按照投标人的商务和技术得分由高到低排序，排序前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家通过评审，进入第二个信封报价文件开启和评审（有效报价数不得少于2家）。如出现第一个信封得分相同的情况，按照施工组织设计得分高低依次排列。</w:t>
            </w:r>
          </w:p>
        </w:tc>
      </w:tr>
    </w:tbl>
    <w:tbl>
      <w:tblPr>
        <w:tblStyle w:val="19"/>
        <w:tblpPr w:leftFromText="180" w:rightFromText="180" w:vertAnchor="text" w:horzAnchor="page" w:tblpX="1763" w:tblpY="284"/>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0"/>
        <w:gridCol w:w="899"/>
        <w:gridCol w:w="165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Header/>
        </w:trPr>
        <w:tc>
          <w:tcPr>
            <w:tcW w:w="986" w:type="pct"/>
            <w:gridSpan w:val="2"/>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条款号</w:t>
            </w:r>
          </w:p>
        </w:tc>
        <w:tc>
          <w:tcPr>
            <w:tcW w:w="899" w:type="pc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分值构成</w:t>
            </w:r>
          </w:p>
        </w:tc>
        <w:tc>
          <w:tcPr>
            <w:tcW w:w="3114" w:type="pc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restar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2.2.4</w:t>
            </w:r>
          </w:p>
          <w:p>
            <w:pPr>
              <w:pStyle w:val="6"/>
              <w:adjustRightInd w:val="0"/>
              <w:snapToGrid w:val="0"/>
              <w:rPr>
                <w:rFonts w:hint="eastAsia" w:ascii="宋体" w:hAnsi="宋体" w:eastAsia="宋体" w:cs="宋体"/>
                <w:sz w:val="21"/>
                <w:szCs w:val="21"/>
                <w:highlight w:val="none"/>
              </w:rPr>
            </w:pPr>
          </w:p>
        </w:tc>
        <w:tc>
          <w:tcPr>
            <w:tcW w:w="490" w:type="pct"/>
            <w:vMerge w:val="restart"/>
            <w:vAlign w:val="center"/>
          </w:tcPr>
          <w:p>
            <w:pPr>
              <w:pStyle w:val="6"/>
              <w:adjustRightInd w:val="0"/>
              <w:snapToGrid w:val="0"/>
              <w:ind w:left="21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6"/>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pStyle w:val="6"/>
              <w:adjustRightInd w:val="0"/>
              <w:snapToGri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 xml:space="preserve">  18 </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 xml:space="preserve">  4 </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分。</w:t>
            </w:r>
          </w:p>
          <w:p>
            <w:pPr>
              <w:pStyle w:val="6"/>
              <w:adjustRightInd w:val="0"/>
              <w:snapToGrid w:val="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类似业绩指：自2021年1月1日以来，单项合同额不低于1000万元（或3000吨）的钢材供应合同业绩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检测报告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spacing w:line="360" w:lineRule="auto"/>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1、提供拟使用品牌钢材近3年内的检测报告（进场检测报告）的得10分。</w:t>
            </w:r>
          </w:p>
          <w:p>
            <w:pPr>
              <w:spacing w:line="360" w:lineRule="auto"/>
              <w:rPr>
                <w:rFonts w:hint="default" w:ascii="宋体" w:hAnsi="宋体" w:cs="宋体" w:eastAsiaTheme="minorEastAsia"/>
                <w:sz w:val="21"/>
                <w:szCs w:val="21"/>
                <w:highlight w:val="none"/>
                <w:lang w:val="en-US" w:eastAsia="zh-CN"/>
              </w:rPr>
            </w:pPr>
            <w:r>
              <w:rPr>
                <w:rFonts w:hint="eastAsia" w:ascii="宋体" w:hAnsi="宋体" w:eastAsia="宋体" w:cs="宋体"/>
                <w:color w:val="auto"/>
                <w:kern w:val="0"/>
                <w:sz w:val="21"/>
                <w:szCs w:val="21"/>
                <w:u w:val="none"/>
                <w:lang w:val="en-US" w:eastAsia="zh-CN" w:bidi="ar"/>
              </w:rPr>
              <w:t>2、提供拟使用品牌钢材出厂合格证书（质量证明文件）的得10分。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企业实力       （</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lang w:val="en-US" w:eastAsia="zh-CN"/>
              </w:rPr>
              <w:t>）</w:t>
            </w:r>
          </w:p>
        </w:tc>
        <w:tc>
          <w:tcPr>
            <w:tcW w:w="3114" w:type="pct"/>
            <w:vAlign w:val="center"/>
          </w:tcPr>
          <w:p>
            <w:pPr>
              <w:spacing w:line="360" w:lineRule="auto"/>
              <w:rPr>
                <w:rFonts w:hint="default"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提供投标单位组织架构、办公场所、财务报告、机械（自有）、人员等证明企业实力的资料，实力较强得</w:t>
            </w:r>
            <w:r>
              <w:rPr>
                <w:rFonts w:hint="eastAsia" w:ascii="宋体" w:hAnsi="宋体" w:eastAsia="宋体" w:cs="宋体"/>
                <w:sz w:val="21"/>
                <w:szCs w:val="21"/>
                <w:highlight w:val="none"/>
                <w:lang w:val="en-US" w:eastAsia="zh-CN"/>
              </w:rPr>
              <w:t>得16-20分；一般得12-16分，较差得基础分12分，不提供不得分。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6"/>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分）</w:t>
            </w:r>
          </w:p>
        </w:tc>
        <w:tc>
          <w:tcPr>
            <w:tcW w:w="3114" w:type="pct"/>
            <w:vAlign w:val="center"/>
          </w:tcPr>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2、针对本项目的材料质量保证措施、运输的安全保证措施，具体、详细，可行性最优，针对性强得8-10分；一般得6-8分，较差得基础分6分。</w:t>
            </w:r>
          </w:p>
          <w:p>
            <w:pPr>
              <w:pStyle w:val="6"/>
              <w:numPr>
                <w:ilvl w:val="0"/>
                <w:numId w:val="0"/>
              </w:numPr>
              <w:adjustRightInd w:val="0"/>
              <w:snapToGrid w:val="0"/>
              <w:ind w:firstLine="210" w:firstLine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3、针对本项目售后服务方案（包括售后服务响应等内容）具体、详细，可行性最优，针对性强得8-10分；一般得6-8分，较差得基础分6分。</w:t>
            </w:r>
            <w:r>
              <w:rPr>
                <w:rFonts w:hint="eastAsia" w:ascii="宋体" w:hAnsi="宋体" w:eastAsia="宋体" w:cs="宋体"/>
                <w:sz w:val="21"/>
                <w:szCs w:val="21"/>
                <w:highlight w:val="none"/>
                <w:lang w:val="en-US" w:eastAsia="zh-CN" w:bidi="ar"/>
              </w:rPr>
              <w:t xml:space="preserve">                                                 </w:t>
            </w:r>
          </w:p>
        </w:tc>
      </w:tr>
    </w:tbl>
    <w:p>
      <w:pPr>
        <w:rPr>
          <w:rFonts w:hint="eastAsia" w:ascii="黑体" w:eastAsia="黑体"/>
          <w:sz w:val="30"/>
          <w:szCs w:val="30"/>
          <w:highlight w:val="none"/>
          <w:lang w:val="en-US" w:eastAsia="zh-CN"/>
        </w:rPr>
      </w:pPr>
      <w:r>
        <w:rPr>
          <w:rFonts w:hint="eastAsia" w:ascii="黑体" w:eastAsia="黑体"/>
          <w:sz w:val="30"/>
          <w:szCs w:val="30"/>
          <w:highlight w:val="none"/>
          <w:lang w:val="en-US" w:eastAsia="zh-CN"/>
        </w:rPr>
        <w:br w:type="page"/>
      </w:r>
    </w:p>
    <w:p>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家通过评审，进入第二个信封报价文件开启和评审。按报价文件价格由低到高（下浮价格由高到低）推荐成交候选人。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6"/>
        <w:rPr>
          <w:rFonts w:hint="default"/>
        </w:rPr>
      </w:pPr>
    </w:p>
    <w:p>
      <w:pPr>
        <w:rPr>
          <w:rFonts w:hint="default"/>
        </w:rPr>
      </w:pPr>
    </w:p>
    <w:p>
      <w:pPr>
        <w:pStyle w:val="6"/>
        <w:rPr>
          <w:rFonts w:hint="default"/>
        </w:rPr>
      </w:pPr>
    </w:p>
    <w:p>
      <w:pPr>
        <w:pStyle w:val="6"/>
        <w:rPr>
          <w:rFonts w:ascii="Times New Roman" w:hAnsi="Times New Roman"/>
        </w:rPr>
      </w:pPr>
    </w:p>
    <w:p>
      <w:pPr>
        <w:widowControl/>
        <w:jc w:val="left"/>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pStyle w:val="2"/>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2"/>
        <w:numPr>
          <w:ilvl w:val="255"/>
          <w:numId w:val="0"/>
        </w:numPr>
        <w:spacing w:before="312" w:after="312"/>
        <w:ind w:left="402"/>
        <w:outlineLvl w:val="9"/>
        <w:rPr>
          <w:rFonts w:hint="eastAsia" w:ascii="Times New Roman" w:hAnsi="Times New Roman" w:eastAsia="宋体" w:cs="Times New Roman"/>
        </w:rPr>
      </w:pPr>
    </w:p>
    <w:p>
      <w:pPr>
        <w:rPr>
          <w:rFonts w:hint="eastAsia" w:ascii="Times New Roman" w:hAnsi="Times New Roman" w:eastAsia="宋体" w:cs="Times New Roman"/>
        </w:rPr>
      </w:pPr>
    </w:p>
    <w:p>
      <w:pPr>
        <w:pStyle w:val="6"/>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spacing w:line="520" w:lineRule="exact"/>
        <w:ind w:firstLine="480" w:firstLineChars="200"/>
        <w:rPr>
          <w:rFonts w:hint="eastAsia" w:ascii="仿宋_GB2312" w:hAnsi="仿宋_GB2312" w:eastAsia="仿宋_GB2312" w:cs="仿宋_GB2312"/>
          <w:bCs/>
          <w:sz w:val="24"/>
          <w:u w:val="single"/>
        </w:rPr>
      </w:pPr>
      <w:r>
        <w:rPr>
          <w:rFonts w:hint="eastAsia" w:ascii="仿宋_GB2312" w:hAnsi="仿宋_GB2312" w:eastAsia="仿宋_GB2312" w:cs="仿宋_GB2312"/>
          <w:bCs/>
          <w:sz w:val="24"/>
        </w:rPr>
        <w:t>购货人（以下称甲方）：</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p>
    <w:p>
      <w:pPr>
        <w:spacing w:line="520" w:lineRule="exact"/>
        <w:ind w:firstLine="480" w:firstLineChars="200"/>
        <w:rPr>
          <w:rFonts w:hint="default" w:ascii="仿宋_GB2312" w:hAnsi="仿宋_GB2312" w:eastAsia="仿宋_GB2312" w:cs="仿宋_GB2312"/>
          <w:bCs/>
          <w:sz w:val="24"/>
          <w:u w:val="single"/>
          <w:lang w:val="en-US"/>
        </w:rPr>
      </w:pPr>
      <w:r>
        <w:rPr>
          <w:rFonts w:hint="eastAsia" w:ascii="仿宋_GB2312" w:hAnsi="仿宋_GB2312" w:eastAsia="仿宋_GB2312" w:cs="仿宋_GB2312"/>
          <w:bCs/>
          <w:sz w:val="24"/>
        </w:rPr>
        <w:t>销货人（以下称乙方）：</w:t>
      </w:r>
      <w:r>
        <w:rPr>
          <w:rFonts w:hint="eastAsia" w:ascii="仿宋_GB2312" w:hAnsi="仿宋_GB2312" w:eastAsia="仿宋_GB2312" w:cs="仿宋_GB2312"/>
          <w:bCs/>
          <w:sz w:val="24"/>
          <w:u w:val="single"/>
          <w:lang w:val="en-US" w:eastAsia="zh-CN"/>
        </w:rPr>
        <w:t xml:space="preserve">              </w:t>
      </w:r>
    </w:p>
    <w:p>
      <w:pPr>
        <w:spacing w:line="52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根据《民法典》及相关法律法规，甲乙双方经协商现就</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事宜达成一致意见，结合本工程具体情况，特签订本合同以共同遵守。</w:t>
      </w:r>
    </w:p>
    <w:p>
      <w:pPr>
        <w:spacing w:line="520" w:lineRule="exact"/>
        <w:outlineLvl w:val="0"/>
        <w:rPr>
          <w:rFonts w:hint="eastAsia" w:ascii="仿宋_GB2312" w:hAnsi="仿宋_GB2312" w:eastAsia="仿宋_GB2312" w:cs="仿宋_GB2312"/>
          <w:b/>
          <w:sz w:val="24"/>
        </w:rPr>
      </w:pPr>
      <w:bookmarkStart w:id="61" w:name="_Toc1323"/>
      <w:r>
        <w:rPr>
          <w:rFonts w:hint="eastAsia" w:ascii="仿宋_GB2312" w:hAnsi="仿宋_GB2312" w:eastAsia="仿宋_GB2312" w:cs="仿宋_GB2312"/>
          <w:b/>
          <w:sz w:val="24"/>
        </w:rPr>
        <w:t>（一）工程概况</w:t>
      </w:r>
      <w:bookmarkEnd w:id="61"/>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u w:val="single"/>
        </w:rPr>
      </w:pPr>
      <w:r>
        <w:rPr>
          <w:rFonts w:hint="eastAsia" w:ascii="仿宋_GB2312" w:hAnsi="仿宋_GB2312" w:eastAsia="仿宋_GB2312" w:cs="仿宋_GB2312"/>
          <w:bCs/>
          <w:sz w:val="24"/>
        </w:rPr>
        <w:t>1.1 工程名称：</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w:t>
      </w:r>
    </w:p>
    <w:p>
      <w:pPr>
        <w:keepNext w:val="0"/>
        <w:keepLines w:val="0"/>
        <w:pageBreakBefore w:val="0"/>
        <w:widowControl/>
        <w:kinsoku/>
        <w:wordWrap/>
        <w:overflowPunct/>
        <w:topLinePunct w:val="0"/>
        <w:autoSpaceDE/>
        <w:autoSpaceDN/>
        <w:bidi w:val="0"/>
        <w:adjustRightInd/>
        <w:snapToGrid/>
        <w:spacing w:line="480" w:lineRule="exact"/>
        <w:ind w:left="1680" w:hanging="1680" w:hangingChars="7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1.2 工程地址：</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 xml:space="preserve">       </w:t>
      </w:r>
    </w:p>
    <w:p>
      <w:pPr>
        <w:keepNext w:val="0"/>
        <w:keepLines w:val="0"/>
        <w:pageBreakBefore w:val="0"/>
        <w:kinsoku/>
        <w:wordWrap/>
        <w:overflowPunct/>
        <w:topLinePunct w:val="0"/>
        <w:autoSpaceDE/>
        <w:autoSpaceDN/>
        <w:bidi w:val="0"/>
        <w:adjustRightInd/>
        <w:snapToGrid/>
        <w:spacing w:line="480" w:lineRule="exact"/>
        <w:ind w:left="1680" w:hanging="1680" w:hangingChars="700"/>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1.3 项目概况：</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1.4 承包方式：</w:t>
      </w:r>
      <w:r>
        <w:rPr>
          <w:rFonts w:hint="eastAsia" w:ascii="仿宋_GB2312" w:hAnsi="仿宋_GB2312" w:eastAsia="仿宋_GB2312" w:cs="仿宋_GB2312"/>
          <w:bCs/>
          <w:sz w:val="24"/>
          <w:u w:val="single"/>
        </w:rPr>
        <w:t>专业供应</w:t>
      </w:r>
      <w:r>
        <w:rPr>
          <w:rFonts w:hint="eastAsia" w:ascii="仿宋_GB2312" w:hAnsi="仿宋_GB2312" w:eastAsia="仿宋_GB2312" w:cs="仿宋_GB2312"/>
          <w:bCs/>
          <w:sz w:val="24"/>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 工程质量：</w:t>
      </w:r>
      <w:r>
        <w:rPr>
          <w:rFonts w:hint="eastAsia" w:ascii="仿宋_GB2312" w:hAnsi="仿宋_GB2312" w:eastAsia="仿宋_GB2312" w:cs="仿宋_GB2312"/>
          <w:bCs/>
          <w:sz w:val="24"/>
          <w:u w:val="single"/>
        </w:rPr>
        <w:t>合格</w:t>
      </w:r>
      <w:r>
        <w:rPr>
          <w:rFonts w:hint="eastAsia" w:ascii="仿宋_GB2312" w:hAnsi="仿宋_GB2312" w:eastAsia="仿宋_GB2312" w:cs="仿宋_GB2312"/>
          <w:bCs/>
          <w:sz w:val="24"/>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Cs/>
          <w:sz w:val="24"/>
          <w:u w:val="single"/>
          <w:lang w:val="en-US"/>
        </w:rPr>
      </w:pP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.6 工    期：</w:t>
      </w:r>
      <w:r>
        <w:rPr>
          <w:rFonts w:hint="eastAsia" w:ascii="仿宋_GB2312" w:hAnsi="仿宋_GB2312" w:eastAsia="仿宋_GB2312" w:cs="仿宋_GB2312"/>
          <w:bCs/>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rPr>
      </w:pPr>
      <w:r>
        <w:rPr>
          <w:rFonts w:hint="eastAsia" w:ascii="仿宋_GB2312" w:hAnsi="仿宋_GB2312" w:eastAsia="仿宋_GB2312" w:cs="仿宋_GB2312"/>
          <w:bCs/>
          <w:i w:val="0"/>
          <w:iCs w:val="0"/>
          <w:sz w:val="24"/>
          <w:u w:val="none"/>
          <w:lang w:val="en-US" w:eastAsia="zh-CN"/>
        </w:rPr>
        <w:t>1.7</w:t>
      </w: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24"/>
          <w:lang w:eastAsia="zh-CN"/>
        </w:rPr>
        <w:t>合同金额：</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 xml:space="preserve">1.8 供应数量： </w:t>
      </w:r>
      <w:r>
        <w:rPr>
          <w:rFonts w:hint="eastAsia" w:ascii="仿宋_GB2312" w:hAnsi="仿宋_GB2312" w:eastAsia="仿宋_GB2312" w:cs="仿宋_GB2312"/>
          <w:bCs/>
          <w:sz w:val="24"/>
        </w:rPr>
        <w:t xml:space="preserve">   </w:t>
      </w:r>
    </w:p>
    <w:p>
      <w:pPr>
        <w:spacing w:line="520" w:lineRule="exact"/>
        <w:outlineLvl w:val="0"/>
        <w:rPr>
          <w:rFonts w:hint="eastAsia" w:ascii="仿宋_GB2312" w:hAnsi="仿宋_GB2312" w:eastAsia="仿宋_GB2312" w:cs="仿宋_GB2312"/>
          <w:b/>
          <w:sz w:val="24"/>
        </w:rPr>
      </w:pPr>
      <w:bookmarkStart w:id="62" w:name="_Toc3219"/>
      <w:r>
        <w:rPr>
          <w:rFonts w:hint="eastAsia" w:ascii="仿宋_GB2312" w:hAnsi="仿宋_GB2312" w:eastAsia="仿宋_GB2312" w:cs="仿宋_GB2312"/>
          <w:b/>
          <w:sz w:val="24"/>
        </w:rPr>
        <w:t>（二）合同价款</w:t>
      </w:r>
      <w:bookmarkEnd w:id="62"/>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2.1</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建筑钢材结算单价以发货当期当日“我的钢铁网”合肥地区首次公布信息价为基数下浮后单价进行结算。</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72"/>
        <w:gridCol w:w="1585"/>
        <w:gridCol w:w="761"/>
        <w:gridCol w:w="679"/>
        <w:gridCol w:w="820"/>
        <w:gridCol w:w="3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 w:hRule="atLeast"/>
          <w:jc w:val="center"/>
        </w:trPr>
        <w:tc>
          <w:tcPr>
            <w:tcW w:w="343"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序号</w:t>
            </w:r>
          </w:p>
        </w:tc>
        <w:tc>
          <w:tcPr>
            <w:tcW w:w="950"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名 称</w:t>
            </w:r>
          </w:p>
        </w:tc>
        <w:tc>
          <w:tcPr>
            <w:tcW w:w="456"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项目地址</w:t>
            </w:r>
          </w:p>
        </w:tc>
        <w:tc>
          <w:tcPr>
            <w:tcW w:w="407" w:type="pct"/>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品牌</w:t>
            </w:r>
          </w:p>
        </w:tc>
        <w:tc>
          <w:tcPr>
            <w:tcW w:w="491" w:type="pct"/>
            <w:tcBorders>
              <w:tl2br w:val="nil"/>
              <w:tr2bl w:val="nil"/>
            </w:tcBorders>
            <w:vAlign w:val="center"/>
          </w:tcPr>
          <w:p>
            <w:pPr>
              <w:widowControl/>
              <w:ind w:left="360" w:hanging="360" w:hangingChars="200"/>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结算下浮</w:t>
            </w:r>
          </w:p>
          <w:p>
            <w:pPr>
              <w:widowControl/>
              <w:ind w:left="360" w:hanging="360" w:hangingChars="20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（元/吨）</w:t>
            </w:r>
          </w:p>
        </w:tc>
        <w:tc>
          <w:tcPr>
            <w:tcW w:w="2350"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0" w:hRule="atLeast"/>
          <w:jc w:val="center"/>
        </w:trPr>
        <w:tc>
          <w:tcPr>
            <w:tcW w:w="343"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950"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kern w:val="0"/>
                <w:sz w:val="18"/>
                <w:szCs w:val="18"/>
                <w:lang w:val="en-US" w:eastAsia="zh-CN"/>
              </w:rPr>
              <w:t xml:space="preserve"> </w:t>
            </w:r>
          </w:p>
        </w:tc>
        <w:tc>
          <w:tcPr>
            <w:tcW w:w="456"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lang w:val="en-US"/>
              </w:rPr>
            </w:pPr>
            <w:r>
              <w:rPr>
                <w:rFonts w:hint="eastAsia" w:ascii="仿宋_GB2312" w:hAnsi="仿宋_GB2312" w:eastAsia="仿宋_GB2312" w:cs="仿宋_GB2312"/>
                <w:color w:val="000000"/>
                <w:kern w:val="0"/>
                <w:sz w:val="18"/>
                <w:szCs w:val="18"/>
                <w:lang w:val="en-US" w:eastAsia="zh-CN"/>
              </w:rPr>
              <w:t xml:space="preserve"> </w:t>
            </w:r>
          </w:p>
        </w:tc>
        <w:tc>
          <w:tcPr>
            <w:tcW w:w="407" w:type="pct"/>
            <w:tcBorders>
              <w:tl2br w:val="nil"/>
              <w:tr2bl w:val="nil"/>
            </w:tcBorders>
            <w:vAlign w:val="center"/>
          </w:tcPr>
          <w:p>
            <w:pPr>
              <w:jc w:val="center"/>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val="en-US" w:eastAsia="zh-CN"/>
              </w:rPr>
              <w:t xml:space="preserve"> </w:t>
            </w:r>
          </w:p>
        </w:tc>
        <w:tc>
          <w:tcPr>
            <w:tcW w:w="491"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 </w:t>
            </w:r>
          </w:p>
        </w:tc>
        <w:tc>
          <w:tcPr>
            <w:tcW w:w="2350" w:type="pct"/>
            <w:tcBorders>
              <w:tl2br w:val="nil"/>
              <w:tr2bl w:val="nil"/>
            </w:tcBorders>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1.以“我的钢铁网”发货当期当日合肥地区首次公布信息价为基数下浮；（节假日、周末按照前一个工作日首次发布网价信息为准）</w:t>
            </w:r>
          </w:p>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2.一单一结，先款后货结算，产品送达工地并经现场检验合格后，发包人将按月进行计量</w:t>
            </w:r>
            <w:r>
              <w:rPr>
                <w:rFonts w:hint="eastAsia" w:ascii="仿宋_GB2312" w:hAnsi="仿宋_GB2312" w:eastAsia="仿宋_GB2312" w:cs="仿宋_GB2312"/>
                <w:sz w:val="18"/>
                <w:szCs w:val="18"/>
                <w:lang w:val="en-US" w:eastAsia="zh-CN"/>
              </w:rPr>
              <w:t>对账</w:t>
            </w:r>
            <w:r>
              <w:rPr>
                <w:rFonts w:hint="eastAsia" w:ascii="仿宋_GB2312" w:hAnsi="仿宋_GB2312" w:eastAsia="仿宋_GB2312" w:cs="仿宋_GB2312"/>
                <w:sz w:val="18"/>
                <w:szCs w:val="18"/>
              </w:rPr>
              <w:t>；</w:t>
            </w:r>
          </w:p>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3.此价格包含</w:t>
            </w:r>
            <w:r>
              <w:rPr>
                <w:rFonts w:hint="eastAsia" w:ascii="仿宋_GB2312" w:hAnsi="仿宋_GB2312" w:eastAsia="仿宋_GB2312" w:cs="仿宋_GB2312"/>
                <w:sz w:val="18"/>
                <w:szCs w:val="18"/>
                <w:u w:val="single"/>
              </w:rPr>
              <w:t xml:space="preserve">  13  </w:t>
            </w:r>
            <w:r>
              <w:rPr>
                <w:rFonts w:hint="eastAsia" w:ascii="仿宋_GB2312" w:hAnsi="仿宋_GB2312" w:eastAsia="仿宋_GB2312" w:cs="仿宋_GB2312"/>
                <w:sz w:val="18"/>
                <w:szCs w:val="18"/>
              </w:rPr>
              <w:t>％的增值税专用发票。</w:t>
            </w:r>
          </w:p>
        </w:tc>
      </w:tr>
    </w:tbl>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2.2</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乙方应参照钢材市场行情价并充分考虑施工期间建材的市场风险和政策性调整风险系数。结算单价包括但不限于: 运输费、装车费、管理费、利润、税金等为钢材进场而发生的一切费用（不含卸车费），根据甲方要求按时供货至甲方指定施工现场。</w:t>
      </w:r>
    </w:p>
    <w:p>
      <w:pPr>
        <w:spacing w:line="520" w:lineRule="exact"/>
        <w:rPr>
          <w:rFonts w:hint="eastAsia" w:ascii="仿宋_GB2312" w:hAnsi="仿宋_GB2312" w:eastAsia="仿宋_GB2312" w:cs="仿宋_GB2312"/>
          <w:bCs/>
          <w:sz w:val="24"/>
          <w:highlight w:val="yellow"/>
        </w:rPr>
      </w:pPr>
      <w:r>
        <w:rPr>
          <w:rFonts w:hint="eastAsia" w:ascii="仿宋_GB2312" w:hAnsi="仿宋_GB2312" w:eastAsia="仿宋_GB2312" w:cs="仿宋_GB2312"/>
          <w:bCs/>
          <w:sz w:val="24"/>
        </w:rPr>
        <w:t>2.</w:t>
      </w:r>
      <w:r>
        <w:rPr>
          <w:rFonts w:hint="eastAsia" w:ascii="仿宋_GB2312" w:hAnsi="仿宋_GB2312" w:eastAsia="仿宋_GB2312" w:cs="仿宋_GB2312"/>
          <w:bCs/>
          <w:sz w:val="24"/>
          <w:lang w:val="en-US" w:eastAsia="zh-CN"/>
        </w:rPr>
        <w:t xml:space="preserve">3 </w:t>
      </w:r>
      <w:r>
        <w:rPr>
          <w:rFonts w:hint="eastAsia" w:ascii="仿宋_GB2312" w:hAnsi="仿宋_GB2312" w:eastAsia="仿宋_GB2312" w:cs="仿宋_GB2312"/>
          <w:bCs/>
          <w:sz w:val="24"/>
        </w:rPr>
        <w:t>本合同约定发票为增值税专用发票（13%税率），发票于每月月底前统一开具。</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2.</w:t>
      </w:r>
      <w:r>
        <w:rPr>
          <w:rFonts w:hint="eastAsia" w:ascii="仿宋_GB2312" w:hAnsi="仿宋_GB2312" w:eastAsia="仿宋_GB2312" w:cs="仿宋_GB2312"/>
          <w:bCs/>
          <w:sz w:val="24"/>
          <w:lang w:val="en-US" w:eastAsia="zh-CN"/>
        </w:rPr>
        <w:t xml:space="preserve">4 </w:t>
      </w:r>
      <w:r>
        <w:rPr>
          <w:rFonts w:hint="eastAsia" w:ascii="仿宋_GB2312" w:hAnsi="仿宋_GB2312" w:eastAsia="仿宋_GB2312" w:cs="仿宋_GB2312"/>
          <w:bCs/>
          <w:sz w:val="24"/>
        </w:rPr>
        <w:t>甲乙双方纳税人信息及乙方收款账户</w:t>
      </w:r>
    </w:p>
    <w:tbl>
      <w:tblPr>
        <w:tblStyle w:val="19"/>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3134"/>
        <w:gridCol w:w="297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widowControl/>
              <w:jc w:val="center"/>
              <w:rPr>
                <w:rFonts w:hint="eastAsia" w:ascii="仿宋_GB2312" w:hAnsi="仿宋_GB2312" w:eastAsia="仿宋_GB2312" w:cs="仿宋_GB2312"/>
                <w:kern w:val="0"/>
                <w:sz w:val="18"/>
                <w:szCs w:val="18"/>
                <w:lang w:bidi="en-US"/>
              </w:rPr>
            </w:pPr>
          </w:p>
        </w:tc>
        <w:tc>
          <w:tcPr>
            <w:tcW w:w="3134" w:type="dxa"/>
          </w:tcPr>
          <w:p>
            <w:pPr>
              <w:widowControl/>
              <w:jc w:val="center"/>
              <w:rPr>
                <w:rFonts w:hint="eastAsia" w:ascii="仿宋_GB2312" w:hAnsi="仿宋_GB2312" w:eastAsia="仿宋_GB2312" w:cs="仿宋_GB2312"/>
                <w:kern w:val="0"/>
                <w:sz w:val="18"/>
                <w:szCs w:val="18"/>
                <w:lang w:eastAsia="en-US" w:bidi="en-US"/>
              </w:rPr>
            </w:pPr>
            <w:r>
              <w:rPr>
                <w:rFonts w:hint="eastAsia" w:ascii="仿宋_GB2312" w:hAnsi="仿宋_GB2312" w:eastAsia="仿宋_GB2312" w:cs="仿宋_GB2312"/>
                <w:color w:val="000000"/>
                <w:kern w:val="0"/>
                <w:sz w:val="18"/>
                <w:szCs w:val="18"/>
              </w:rPr>
              <w:t>甲方信息</w:t>
            </w:r>
          </w:p>
        </w:tc>
        <w:tc>
          <w:tcPr>
            <w:tcW w:w="2977" w:type="dxa"/>
          </w:tcPr>
          <w:p>
            <w:pPr>
              <w:widowControl/>
              <w:jc w:val="center"/>
              <w:rPr>
                <w:rFonts w:hint="eastAsia" w:ascii="仿宋_GB2312" w:hAnsi="仿宋_GB2312" w:eastAsia="仿宋_GB2312" w:cs="仿宋_GB2312"/>
                <w:kern w:val="0"/>
                <w:sz w:val="18"/>
                <w:szCs w:val="18"/>
                <w:lang w:eastAsia="en-US" w:bidi="en-US"/>
              </w:rPr>
            </w:pPr>
            <w:r>
              <w:rPr>
                <w:rFonts w:hint="eastAsia" w:ascii="仿宋_GB2312" w:hAnsi="仿宋_GB2312" w:eastAsia="仿宋_GB2312" w:cs="仿宋_GB2312"/>
                <w:color w:val="000000"/>
                <w:kern w:val="0"/>
                <w:sz w:val="18"/>
                <w:szCs w:val="18"/>
              </w:rPr>
              <w:t>乙方信息</w:t>
            </w:r>
          </w:p>
        </w:tc>
        <w:tc>
          <w:tcPr>
            <w:tcW w:w="1138" w:type="dxa"/>
          </w:tcPr>
          <w:p>
            <w:pPr>
              <w:widowControl/>
              <w:jc w:val="center"/>
              <w:rPr>
                <w:rFonts w:hint="eastAsia" w:ascii="仿宋_GB2312" w:hAnsi="仿宋_GB2312" w:eastAsia="仿宋_GB2312" w:cs="仿宋_GB2312"/>
                <w:kern w:val="0"/>
                <w:sz w:val="18"/>
                <w:szCs w:val="18"/>
                <w:lang w:eastAsia="en-US" w:bidi="en-US"/>
              </w:rPr>
            </w:pPr>
            <w:r>
              <w:rPr>
                <w:rFonts w:hint="eastAsia" w:ascii="仿宋_GB2312" w:hAnsi="仿宋_GB2312" w:eastAsia="仿宋_GB2312" w:cs="仿宋_GB2312"/>
                <w:kern w:val="0"/>
                <w:sz w:val="18"/>
                <w:szCs w:val="18"/>
                <w:lang w:eastAsia="en-US" w:bidi="en-US"/>
              </w:rPr>
              <w:t>备</w:t>
            </w:r>
            <w:r>
              <w:rPr>
                <w:rFonts w:hint="eastAsia" w:ascii="仿宋_GB2312" w:hAnsi="仿宋_GB2312" w:eastAsia="仿宋_GB2312" w:cs="仿宋_GB2312"/>
                <w:kern w:val="0"/>
                <w:sz w:val="18"/>
                <w:szCs w:val="18"/>
                <w:lang w:bidi="en-US"/>
              </w:rPr>
              <w:t xml:space="preserve"> </w:t>
            </w:r>
            <w:r>
              <w:rPr>
                <w:rFonts w:hint="eastAsia" w:ascii="仿宋_GB2312" w:hAnsi="仿宋_GB2312" w:eastAsia="仿宋_GB2312" w:cs="仿宋_GB2312"/>
                <w:kern w:val="0"/>
                <w:sz w:val="18"/>
                <w:szCs w:val="18"/>
                <w:lang w:eastAsia="en-US" w:bidi="en-US"/>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全称</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安徽省经工物资有限公司</w:t>
            </w:r>
          </w:p>
        </w:tc>
        <w:tc>
          <w:tcPr>
            <w:tcW w:w="2977" w:type="dxa"/>
          </w:tcPr>
          <w:p>
            <w:pPr>
              <w:widowControl/>
              <w:jc w:val="center"/>
              <w:rPr>
                <w:rFonts w:hint="eastAsia" w:ascii="仿宋_GB2312" w:hAnsi="仿宋_GB2312" w:eastAsia="仿宋_GB2312" w:cs="仿宋_GB2312"/>
                <w:color w:val="000000"/>
                <w:kern w:val="0"/>
                <w:sz w:val="18"/>
                <w:szCs w:val="18"/>
              </w:rPr>
            </w:pPr>
          </w:p>
        </w:tc>
        <w:tc>
          <w:tcPr>
            <w:tcW w:w="1138" w:type="dxa"/>
            <w:vMerge w:val="restart"/>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乙 方</w:t>
            </w:r>
          </w:p>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指 定</w:t>
            </w:r>
          </w:p>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唯 一</w:t>
            </w:r>
          </w:p>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收 款</w:t>
            </w:r>
          </w:p>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账 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纳税人身份</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一般纳税人</w:t>
            </w:r>
          </w:p>
        </w:tc>
        <w:tc>
          <w:tcPr>
            <w:tcW w:w="2977" w:type="dxa"/>
          </w:tcPr>
          <w:p>
            <w:pPr>
              <w:widowControl/>
              <w:jc w:val="center"/>
              <w:rPr>
                <w:rFonts w:hint="eastAsia" w:ascii="仿宋_GB2312" w:hAnsi="仿宋_GB2312" w:eastAsia="仿宋_GB2312" w:cs="仿宋_GB2312"/>
                <w:color w:val="000000"/>
                <w:kern w:val="0"/>
                <w:sz w:val="18"/>
                <w:szCs w:val="18"/>
              </w:rPr>
            </w:pPr>
          </w:p>
        </w:tc>
        <w:tc>
          <w:tcPr>
            <w:tcW w:w="1138" w:type="dxa"/>
            <w:vMerge w:val="continue"/>
          </w:tcPr>
          <w:p>
            <w:pPr>
              <w:widowControl/>
              <w:jc w:val="center"/>
              <w:rPr>
                <w:rFonts w:hint="eastAsia" w:ascii="仿宋_GB2312" w:hAnsi="仿宋_GB2312" w:eastAsia="仿宋_GB2312" w:cs="仿宋_GB2312"/>
                <w:kern w:val="0"/>
                <w:sz w:val="18"/>
                <w:szCs w:val="1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税号</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91340100MA2MY6GA6E</w:t>
            </w:r>
          </w:p>
        </w:tc>
        <w:tc>
          <w:tcPr>
            <w:tcW w:w="2977" w:type="dxa"/>
          </w:tcPr>
          <w:p>
            <w:pPr>
              <w:widowControl/>
              <w:jc w:val="center"/>
              <w:rPr>
                <w:rFonts w:hint="eastAsia" w:ascii="仿宋_GB2312" w:hAnsi="仿宋_GB2312" w:eastAsia="仿宋_GB2312" w:cs="仿宋_GB2312"/>
                <w:color w:val="000000"/>
                <w:kern w:val="0"/>
                <w:sz w:val="18"/>
                <w:szCs w:val="18"/>
              </w:rPr>
            </w:pPr>
          </w:p>
        </w:tc>
        <w:tc>
          <w:tcPr>
            <w:tcW w:w="1138" w:type="dxa"/>
            <w:vMerge w:val="continue"/>
          </w:tcPr>
          <w:p>
            <w:pPr>
              <w:widowControl/>
              <w:jc w:val="center"/>
              <w:rPr>
                <w:rFonts w:hint="eastAsia" w:ascii="仿宋_GB2312" w:hAnsi="仿宋_GB2312" w:eastAsia="仿宋_GB2312" w:cs="仿宋_GB2312"/>
                <w:kern w:val="0"/>
                <w:sz w:val="18"/>
                <w:szCs w:val="1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账号</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1302012119200034038</w:t>
            </w:r>
          </w:p>
        </w:tc>
        <w:tc>
          <w:tcPr>
            <w:tcW w:w="2977" w:type="dxa"/>
          </w:tcPr>
          <w:p>
            <w:pPr>
              <w:widowControl/>
              <w:jc w:val="center"/>
              <w:rPr>
                <w:rFonts w:hint="eastAsia" w:ascii="仿宋_GB2312" w:hAnsi="仿宋_GB2312" w:eastAsia="仿宋_GB2312" w:cs="仿宋_GB2312"/>
                <w:color w:val="000000"/>
                <w:kern w:val="0"/>
                <w:sz w:val="18"/>
                <w:szCs w:val="18"/>
              </w:rPr>
            </w:pPr>
          </w:p>
        </w:tc>
        <w:tc>
          <w:tcPr>
            <w:tcW w:w="1138" w:type="dxa"/>
            <w:vMerge w:val="continue"/>
          </w:tcPr>
          <w:p>
            <w:pPr>
              <w:widowControl/>
              <w:jc w:val="left"/>
              <w:rPr>
                <w:rFonts w:hint="eastAsia" w:ascii="仿宋_GB2312" w:hAnsi="仿宋_GB2312" w:eastAsia="仿宋_GB2312" w:cs="仿宋_GB2312"/>
                <w:kern w:val="0"/>
                <w:sz w:val="18"/>
                <w:szCs w:val="1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户行</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中国工商银行合肥</w:t>
            </w:r>
            <w:r>
              <w:rPr>
                <w:rFonts w:hint="eastAsia" w:ascii="仿宋_GB2312" w:hAnsi="仿宋_GB2312" w:eastAsia="仿宋_GB2312" w:cs="仿宋_GB2312"/>
                <w:kern w:val="0"/>
                <w:sz w:val="18"/>
                <w:szCs w:val="18"/>
                <w:lang w:val="en-US" w:eastAsia="zh-CN" w:bidi="en-US"/>
              </w:rPr>
              <w:t>蜀山支行</w:t>
            </w:r>
          </w:p>
        </w:tc>
        <w:tc>
          <w:tcPr>
            <w:tcW w:w="2977" w:type="dxa"/>
            <w:vAlign w:val="center"/>
          </w:tcPr>
          <w:p>
            <w:pPr>
              <w:widowControl/>
              <w:jc w:val="center"/>
              <w:rPr>
                <w:rFonts w:hint="eastAsia" w:ascii="仿宋_GB2312" w:hAnsi="仿宋_GB2312" w:eastAsia="仿宋_GB2312" w:cs="仿宋_GB2312"/>
                <w:color w:val="000000"/>
                <w:kern w:val="0"/>
                <w:sz w:val="18"/>
                <w:szCs w:val="18"/>
              </w:rPr>
            </w:pPr>
          </w:p>
        </w:tc>
        <w:tc>
          <w:tcPr>
            <w:tcW w:w="1138" w:type="dxa"/>
            <w:vMerge w:val="continue"/>
          </w:tcPr>
          <w:p>
            <w:pPr>
              <w:widowControl/>
              <w:ind w:firstLine="360" w:firstLineChars="200"/>
              <w:jc w:val="left"/>
              <w:rPr>
                <w:rFonts w:hint="eastAsia" w:ascii="仿宋_GB2312" w:hAnsi="仿宋_GB2312" w:eastAsia="仿宋_GB2312" w:cs="仿宋_GB2312"/>
                <w:kern w:val="0"/>
                <w:sz w:val="18"/>
                <w:szCs w:val="1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地址</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合肥市蜀山区甘泉路398号</w:t>
            </w:r>
          </w:p>
        </w:tc>
        <w:tc>
          <w:tcPr>
            <w:tcW w:w="2977" w:type="dxa"/>
          </w:tcPr>
          <w:p>
            <w:pPr>
              <w:widowControl/>
              <w:jc w:val="center"/>
              <w:rPr>
                <w:rFonts w:hint="eastAsia" w:ascii="仿宋_GB2312" w:hAnsi="仿宋_GB2312" w:eastAsia="仿宋_GB2312" w:cs="仿宋_GB2312"/>
                <w:kern w:val="0"/>
                <w:sz w:val="18"/>
                <w:szCs w:val="18"/>
                <w:lang w:bidi="en-US"/>
              </w:rPr>
            </w:pPr>
          </w:p>
        </w:tc>
        <w:tc>
          <w:tcPr>
            <w:tcW w:w="1138" w:type="dxa"/>
            <w:vMerge w:val="continue"/>
          </w:tcPr>
          <w:p>
            <w:pPr>
              <w:widowControl/>
              <w:jc w:val="center"/>
              <w:rPr>
                <w:rFonts w:hint="eastAsia" w:ascii="仿宋_GB2312" w:hAnsi="仿宋_GB2312" w:eastAsia="仿宋_GB2312" w:cs="仿宋_GB2312"/>
                <w:kern w:val="0"/>
                <w:sz w:val="18"/>
                <w:szCs w:val="1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电话</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0551-62265211</w:t>
            </w:r>
          </w:p>
        </w:tc>
        <w:tc>
          <w:tcPr>
            <w:tcW w:w="2977" w:type="dxa"/>
          </w:tcPr>
          <w:p>
            <w:pPr>
              <w:widowControl/>
              <w:jc w:val="center"/>
              <w:rPr>
                <w:rFonts w:hint="eastAsia" w:ascii="仿宋_GB2312" w:hAnsi="仿宋_GB2312" w:eastAsia="仿宋_GB2312" w:cs="仿宋_GB2312"/>
                <w:kern w:val="0"/>
                <w:sz w:val="18"/>
                <w:szCs w:val="18"/>
                <w:lang w:bidi="en-US"/>
              </w:rPr>
            </w:pPr>
          </w:p>
        </w:tc>
        <w:tc>
          <w:tcPr>
            <w:tcW w:w="1138" w:type="dxa"/>
            <w:vMerge w:val="continue"/>
          </w:tcPr>
          <w:p>
            <w:pPr>
              <w:widowControl/>
              <w:jc w:val="center"/>
              <w:rPr>
                <w:rFonts w:hint="eastAsia" w:ascii="仿宋_GB2312" w:hAnsi="仿宋_GB2312" w:eastAsia="仿宋_GB2312" w:cs="仿宋_GB2312"/>
                <w:kern w:val="0"/>
                <w:sz w:val="18"/>
                <w:szCs w:val="18"/>
                <w:lang w:eastAsia="en-US" w:bidi="en-US"/>
              </w:rPr>
            </w:pPr>
          </w:p>
        </w:tc>
      </w:tr>
    </w:tbl>
    <w:p>
      <w:pPr>
        <w:spacing w:line="520" w:lineRule="exact"/>
        <w:outlineLvl w:val="0"/>
        <w:rPr>
          <w:rFonts w:hint="eastAsia" w:ascii="仿宋_GB2312" w:hAnsi="仿宋_GB2312" w:eastAsia="仿宋_GB2312" w:cs="仿宋_GB2312"/>
          <w:b/>
          <w:sz w:val="24"/>
        </w:rPr>
      </w:pPr>
      <w:bookmarkStart w:id="63" w:name="_Toc2466"/>
      <w:r>
        <w:rPr>
          <w:rFonts w:hint="eastAsia" w:ascii="仿宋_GB2312" w:hAnsi="仿宋_GB2312" w:eastAsia="仿宋_GB2312" w:cs="仿宋_GB2312"/>
          <w:b/>
          <w:sz w:val="24"/>
        </w:rPr>
        <w:t>（三）甲方义务</w:t>
      </w:r>
      <w:bookmarkEnd w:id="63"/>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3.1 甲方对乙方建筑钢材供应进行监管、现场指定人员验收、签单等。</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3.2 指派</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为甲方代表，负责合同履行。对工程货物质量、进度进行监督检查，办理验收、变更、登记手续和其他事宜。</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3.3甲方建筑钢材采购须提前 3天填写采购计划单或电话、传真、短信等方式通知乙方，以便乙方合理安排货源，确保建筑钢材的按时供应，特殊情况另行商定；做好建筑钢材进场前的准备工作（如：质监部门验收、办理好占道手续、道路坚实通畅、用水、用电、照明齐全等），以及供货期间的现场指挥和安全工作，为乙方能顺利及时供货提供便利条件。</w:t>
      </w:r>
    </w:p>
    <w:p>
      <w:pPr>
        <w:spacing w:line="520" w:lineRule="exact"/>
        <w:outlineLvl w:val="0"/>
        <w:rPr>
          <w:rFonts w:hint="eastAsia" w:ascii="仿宋_GB2312" w:hAnsi="仿宋_GB2312" w:eastAsia="仿宋_GB2312" w:cs="仿宋_GB2312"/>
          <w:b/>
          <w:sz w:val="24"/>
        </w:rPr>
      </w:pPr>
      <w:bookmarkStart w:id="64" w:name="_Toc28820"/>
      <w:r>
        <w:rPr>
          <w:rFonts w:hint="eastAsia" w:ascii="仿宋_GB2312" w:hAnsi="仿宋_GB2312" w:eastAsia="仿宋_GB2312" w:cs="仿宋_GB2312"/>
          <w:b/>
          <w:sz w:val="24"/>
        </w:rPr>
        <w:t>（四）乙方义务</w:t>
      </w:r>
      <w:bookmarkEnd w:id="64"/>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4.1 签订采购供货合同后，乙方应根据甲方要求按时供货至甲方指定的施工现场部位过磅卸车并保证相应的</w:t>
      </w:r>
      <w:r>
        <w:rPr>
          <w:rFonts w:hint="eastAsia" w:ascii="仿宋_GB2312" w:hAnsi="仿宋_GB2312" w:eastAsia="仿宋_GB2312" w:cs="仿宋_GB2312"/>
          <w:b/>
          <w:sz w:val="24"/>
        </w:rPr>
        <w:t>质量证明文件</w:t>
      </w:r>
      <w:r>
        <w:rPr>
          <w:rFonts w:hint="eastAsia" w:ascii="仿宋_GB2312" w:hAnsi="仿宋_GB2312" w:eastAsia="仿宋_GB2312" w:cs="仿宋_GB2312"/>
          <w:bCs/>
          <w:sz w:val="24"/>
        </w:rPr>
        <w:t>和</w:t>
      </w:r>
      <w:r>
        <w:rPr>
          <w:rFonts w:hint="eastAsia" w:ascii="仿宋_GB2312" w:hAnsi="仿宋_GB2312" w:eastAsia="仿宋_GB2312" w:cs="仿宋_GB2312"/>
          <w:b/>
          <w:sz w:val="24"/>
        </w:rPr>
        <w:t>钢材进场检测报告</w:t>
      </w:r>
      <w:r>
        <w:rPr>
          <w:rFonts w:hint="eastAsia" w:ascii="仿宋_GB2312" w:hAnsi="仿宋_GB2312" w:eastAsia="仿宋_GB2312" w:cs="仿宋_GB2312"/>
          <w:bCs/>
          <w:sz w:val="24"/>
        </w:rPr>
        <w:t>（供货响应时间应在3天内，逾期甲方将根据具体情况对乙方进行处罚并承担由此造成的误工损失）。</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4.2 指派</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为乙方项目代表，负责本合同的履行。按要求组织货物进场施工，保质、保量、按期完成供货任务，解决由乙方负责的各项事宜。</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4.3 参加甲方组织的现场交底，拟定供货进度计划交甲方审定。</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4.4 严格执行施工规范、遵守操作规程、防火安全规定、环境保护规定，做好各项工程质量检查记录；遵守国家或地方政府及有关部门对管理的规定。</w:t>
      </w:r>
    </w:p>
    <w:p>
      <w:pPr>
        <w:spacing w:line="520" w:lineRule="exact"/>
        <w:outlineLvl w:val="0"/>
        <w:rPr>
          <w:rFonts w:hint="eastAsia" w:ascii="仿宋_GB2312" w:hAnsi="仿宋_GB2312" w:eastAsia="仿宋_GB2312" w:cs="仿宋_GB2312"/>
          <w:b/>
          <w:sz w:val="24"/>
        </w:rPr>
      </w:pPr>
      <w:bookmarkStart w:id="65" w:name="_Toc6542"/>
      <w:r>
        <w:rPr>
          <w:rFonts w:hint="eastAsia" w:ascii="仿宋_GB2312" w:hAnsi="仿宋_GB2312" w:eastAsia="仿宋_GB2312" w:cs="仿宋_GB2312"/>
          <w:b/>
          <w:sz w:val="24"/>
        </w:rPr>
        <w:t>（五）建筑钢材的供应要求、验收标准及异议</w:t>
      </w:r>
      <w:bookmarkEnd w:id="65"/>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5.1产品质量执行标准：按现行国家标准执行，满足本工程设计要求，产品工艺满足现场施工要求，“如因乙方供应的产品质量不符合标准和供货不及时，甲方可单方解除合同，另外乙方需承担甲方的各项损失，包括但不限于违约金，甲方误工返工等损失，甲方主要索赔而产生的诉讼费，律师费，保全担保费等。</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5.2 为确保工程质量，乙方同一工程、同一部位、同一等级所提供的建筑钢材必须使用同一炉号、同一批次、品种规格的原材料。</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5.3 乙方按当地规定提供原材料厂家资料、钢材进场资料、试验资料以及当地行政主管部门、档案馆等部门要求提供资料。</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5.4建筑钢材供应质与量验收方法：乙方应出具供货单（一车一单）。送货单上应标明建筑钢材规格型号、工程名称、车号、车次数、本次运送吨位数和出厂合格证，由钢材运输司机随车携带，车辆进入工地计量并卸车后甲方现场负责人或收料员共同签字验收确认，如发现钢材不合格或对数量、质量有异议时拒绝收料，立即通知乙方负责人，如一方更改重要数据（规格型号或数量），需对方负责人签字认可。甲方指定合同联系人：</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联系电话：</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负责报料和现场调度工作，负责在送货单上现场签收，乙方合同联系人:</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联系电话：</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5.5用于交货检验的建筑钢材试样，是在交货地点甲方按规范组织取样，监理、乙方见证，或双方共同采集的有效试样，以甲方委托的第三方专业检测机构判断建筑钢材的抗拉、抗压、伸长率、焊接等各项性能的依据。</w:t>
      </w:r>
    </w:p>
    <w:p>
      <w:pPr>
        <w:spacing w:line="520" w:lineRule="exact"/>
        <w:outlineLvl w:val="0"/>
        <w:rPr>
          <w:rFonts w:hint="eastAsia" w:ascii="仿宋_GB2312" w:hAnsi="仿宋_GB2312" w:eastAsia="仿宋_GB2312" w:cs="仿宋_GB2312"/>
          <w:b/>
          <w:sz w:val="24"/>
        </w:rPr>
      </w:pPr>
      <w:bookmarkStart w:id="66" w:name="_Toc23714"/>
      <w:r>
        <w:rPr>
          <w:rFonts w:hint="eastAsia" w:ascii="仿宋_GB2312" w:hAnsi="仿宋_GB2312" w:eastAsia="仿宋_GB2312" w:cs="仿宋_GB2312"/>
          <w:b/>
          <w:sz w:val="24"/>
        </w:rPr>
        <w:t>（六）争议或纠纷处理</w:t>
      </w:r>
      <w:bookmarkEnd w:id="66"/>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6.1 本合同履行期间，双方发生争议时，在不影响工程进度的前提下，可采取协商解决或请有关部门进行调解。</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6.2 合同争议的解决方式：本合同在执行中发生的争议，由合同当事人协商解决，也可由当地工商行政管理部门调解，协商或调解不成的，按照下列第</w:t>
      </w:r>
      <w:r>
        <w:rPr>
          <w:rFonts w:hint="eastAsia" w:ascii="仿宋_GB2312" w:hAnsi="仿宋_GB2312" w:eastAsia="仿宋_GB2312" w:cs="仿宋_GB2312"/>
          <w:bCs/>
          <w:sz w:val="24"/>
          <w:u w:val="single"/>
        </w:rPr>
        <w:t xml:space="preserve"> 二 </w:t>
      </w:r>
      <w:r>
        <w:rPr>
          <w:rFonts w:hint="eastAsia" w:ascii="仿宋_GB2312" w:hAnsi="仿宋_GB2312" w:eastAsia="仿宋_GB2312" w:cs="仿宋_GB2312"/>
          <w:bCs/>
          <w:sz w:val="24"/>
        </w:rPr>
        <w:t>种方式解决：</w:t>
      </w:r>
    </w:p>
    <w:p>
      <w:pPr>
        <w:spacing w:line="52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（一）提交</w:t>
      </w:r>
      <w:r>
        <w:rPr>
          <w:rFonts w:hint="eastAsia" w:ascii="仿宋_GB2312" w:hAnsi="仿宋_GB2312" w:eastAsia="仿宋_GB2312" w:cs="仿宋_GB2312"/>
          <w:bCs/>
          <w:sz w:val="24"/>
          <w:u w:val="single"/>
        </w:rPr>
        <w:t xml:space="preserve">    合肥     </w:t>
      </w:r>
      <w:r>
        <w:rPr>
          <w:rFonts w:hint="eastAsia" w:ascii="仿宋_GB2312" w:hAnsi="仿宋_GB2312" w:eastAsia="仿宋_GB2312" w:cs="仿宋_GB2312"/>
          <w:bCs/>
          <w:sz w:val="24"/>
        </w:rPr>
        <w:t xml:space="preserve"> 仲裁委员会仲裁；</w:t>
      </w:r>
    </w:p>
    <w:p>
      <w:pPr>
        <w:spacing w:line="52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（二）依法向甲方所在地人民法院起诉。</w:t>
      </w:r>
    </w:p>
    <w:p>
      <w:pPr>
        <w:spacing w:line="520" w:lineRule="exact"/>
        <w:outlineLvl w:val="0"/>
        <w:rPr>
          <w:rFonts w:hint="eastAsia" w:ascii="仿宋_GB2312" w:hAnsi="仿宋_GB2312" w:eastAsia="仿宋_GB2312" w:cs="仿宋_GB2312"/>
          <w:b/>
          <w:sz w:val="24"/>
        </w:rPr>
      </w:pPr>
      <w:bookmarkStart w:id="67" w:name="_Toc4879"/>
      <w:r>
        <w:rPr>
          <w:rFonts w:hint="eastAsia" w:ascii="仿宋_GB2312" w:hAnsi="仿宋_GB2312" w:eastAsia="仿宋_GB2312" w:cs="仿宋_GB2312"/>
          <w:b/>
          <w:sz w:val="24"/>
        </w:rPr>
        <w:t>（七）附 则</w:t>
      </w:r>
      <w:bookmarkEnd w:id="67"/>
    </w:p>
    <w:p>
      <w:pPr>
        <w:spacing w:line="5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7.1 本合同未尽事宜，双方应另订协议。本合同正本六份，甲方执四份乙方执二份。</w:t>
      </w:r>
    </w:p>
    <w:p>
      <w:pPr>
        <w:spacing w:line="5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7.2本合同履行完成后自动终止。</w:t>
      </w:r>
    </w:p>
    <w:p>
      <w:pPr>
        <w:spacing w:line="50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sz w:val="24"/>
        </w:rPr>
        <w:t xml:space="preserve">   </w:t>
      </w:r>
    </w:p>
    <w:p>
      <w:pPr>
        <w:spacing w:line="50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甲方：安徽省经工物资有限公司        乙方：</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p>
    <w:p>
      <w:pPr>
        <w:spacing w:line="50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纳税识别号：91340100MA2MY6GA6E      纳税识别号：</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p>
    <w:p>
      <w:pPr>
        <w:spacing w:line="500" w:lineRule="exac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地址：合肥市蜀山区甘泉路路398号    地址：</w:t>
      </w:r>
      <w:r>
        <w:rPr>
          <w:rFonts w:hint="eastAsia" w:ascii="仿宋_GB2312" w:hAnsi="仿宋_GB2312" w:eastAsia="仿宋_GB2312" w:cs="仿宋_GB2312"/>
          <w:bCs/>
          <w:color w:val="auto"/>
          <w:sz w:val="24"/>
          <w:highlight w:val="none"/>
          <w:lang w:val="en-US" w:eastAsia="zh-CN"/>
        </w:rPr>
        <w:t xml:space="preserve"> </w:t>
      </w:r>
    </w:p>
    <w:p>
      <w:pPr>
        <w:spacing w:line="50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开户银行：工行合肥东</w:t>
      </w:r>
      <w:r>
        <w:rPr>
          <w:rFonts w:hint="eastAsia" w:ascii="仿宋_GB2312" w:hAnsi="仿宋_GB2312" w:eastAsia="仿宋_GB2312" w:cs="仿宋_GB2312"/>
          <w:bCs/>
          <w:color w:val="auto"/>
          <w:sz w:val="24"/>
          <w:highlight w:val="none"/>
          <w:lang w:val="en-US" w:eastAsia="zh-CN"/>
        </w:rPr>
        <w:t>蜀山</w:t>
      </w:r>
      <w:r>
        <w:rPr>
          <w:rFonts w:hint="eastAsia" w:ascii="仿宋_GB2312" w:hAnsi="仿宋_GB2312" w:eastAsia="仿宋_GB2312" w:cs="仿宋_GB2312"/>
          <w:bCs/>
          <w:color w:val="auto"/>
          <w:sz w:val="24"/>
          <w:highlight w:val="none"/>
        </w:rPr>
        <w:t>支行        开户银行：</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p>
    <w:p>
      <w:pPr>
        <w:spacing w:line="500" w:lineRule="exact"/>
        <w:rPr>
          <w:rFonts w:hint="eastAsia" w:ascii="仿宋_GB2312" w:hAnsi="仿宋_GB2312" w:eastAsia="仿宋_GB2312" w:cs="仿宋_GB2312"/>
          <w:bCs/>
          <w:sz w:val="24"/>
        </w:rPr>
      </w:pPr>
      <w:r>
        <w:rPr>
          <w:rFonts w:hint="eastAsia" w:ascii="仿宋_GB2312" w:hAnsi="仿宋_GB2312" w:eastAsia="仿宋_GB2312" w:cs="仿宋_GB2312"/>
          <w:bCs/>
          <w:color w:val="auto"/>
          <w:sz w:val="24"/>
          <w:highlight w:val="none"/>
        </w:rPr>
        <w:t>账号：1302012119200034038           账号：</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sz w:val="24"/>
        </w:rPr>
        <w:t xml:space="preserve">  </w:t>
      </w:r>
    </w:p>
    <w:p>
      <w:pPr>
        <w:spacing w:line="5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法定代表人：                        法定代表人：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sz w:val="24"/>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17"/>
        <w:rPr>
          <w:rFonts w:hint="eastAsia"/>
          <w:lang w:val="en-US" w:eastAsia="zh-CN"/>
        </w:rPr>
      </w:pPr>
    </w:p>
    <w:p>
      <w:pPr>
        <w:pStyle w:val="30"/>
        <w:rPr>
          <w:rFonts w:hint="eastAsia" w:ascii="Times New Roman" w:hAnsi="Times New Roman" w:eastAsia="宋体" w:cs="Times New Roman"/>
          <w:lang w:val="en-US" w:eastAsia="zh-CN"/>
        </w:rPr>
      </w:pPr>
    </w:p>
    <w:p>
      <w:pPr>
        <w:pStyle w:val="2"/>
        <w:numPr>
          <w:ilvl w:val="255"/>
          <w:numId w:val="0"/>
        </w:numPr>
        <w:spacing w:before="312" w:after="312"/>
        <w:ind w:left="402"/>
        <w:rPr>
          <w:rFonts w:ascii="Times New Roman" w:hAnsi="Times New Roman" w:eastAsia="宋体" w:cs="Times New Roman"/>
        </w:rPr>
      </w:pPr>
      <w:bookmarkStart w:id="68"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8"/>
    </w:p>
    <w:p>
      <w:pPr>
        <w:jc w:val="center"/>
        <w:rPr>
          <w:rFonts w:hint="eastAsia" w:ascii="Times New Roman" w:hAnsi="Times New Roman" w:eastAsia="黑体" w:cs="Times New Roman"/>
          <w:b/>
          <w:sz w:val="28"/>
        </w:rPr>
      </w:pPr>
      <w:r>
        <w:rPr>
          <w:rFonts w:hint="eastAsia" w:ascii="Times New Roman" w:hAnsi="Times New Roman" w:eastAsia="黑体" w:cs="Times New Roman"/>
          <w:b/>
          <w:sz w:val="28"/>
        </w:rPr>
        <w:t>钢筋技术规范</w:t>
      </w:r>
    </w:p>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一、钢筋的相关技术标准如下(但不限于下列标准)：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《钢筋混凝土用钢第1部分：热轧光圆钢筋》（GB1499.1-20</w:t>
      </w:r>
      <w:r>
        <w:rPr>
          <w:rFonts w:hint="eastAsia" w:ascii="Times New Roman" w:hAnsi="Times New Roman" w:eastAsia="宋体" w:cs="Times New Roman"/>
        </w:rPr>
        <w:t>1</w:t>
      </w:r>
      <w:r>
        <w:rPr>
          <w:rFonts w:ascii="Times New Roman" w:hAnsi="Times New Roman" w:eastAsia="宋体" w:cs="Times New Roman"/>
        </w:rPr>
        <w:t>8）</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《钢筋混凝土用钢第2部分：热轧带肋钢筋》（GB1499.2-20</w:t>
      </w:r>
      <w:r>
        <w:rPr>
          <w:rFonts w:hint="eastAsia" w:ascii="Times New Roman" w:hAnsi="Times New Roman" w:eastAsia="宋体" w:cs="Times New Roman"/>
        </w:rPr>
        <w:t>1</w:t>
      </w:r>
      <w:r>
        <w:rPr>
          <w:rFonts w:ascii="Times New Roman" w:hAnsi="Times New Roman" w:eastAsia="宋体" w:cs="Times New Roman"/>
        </w:rPr>
        <w:t>7）</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《钢筋混凝土用钢第</w:t>
      </w:r>
      <w:r>
        <w:rPr>
          <w:rFonts w:hint="eastAsia" w:ascii="Times New Roman" w:hAnsi="Times New Roman" w:eastAsia="宋体" w:cs="Times New Roman"/>
        </w:rPr>
        <w:t>3</w:t>
      </w:r>
      <w:r>
        <w:rPr>
          <w:rFonts w:ascii="Times New Roman" w:hAnsi="Times New Roman" w:eastAsia="宋体" w:cs="Times New Roman"/>
        </w:rPr>
        <w:t>部分：</w:t>
      </w:r>
      <w:r>
        <w:rPr>
          <w:rFonts w:hint="eastAsia" w:ascii="Times New Roman" w:hAnsi="Times New Roman" w:eastAsia="宋体" w:cs="Times New Roman"/>
        </w:rPr>
        <w:t>钢筋焊接网</w:t>
      </w:r>
      <w:r>
        <w:rPr>
          <w:rFonts w:ascii="Times New Roman" w:hAnsi="Times New Roman" w:eastAsia="宋体" w:cs="Times New Roman"/>
        </w:rPr>
        <w:t>》（GB1499.</w:t>
      </w:r>
      <w:r>
        <w:rPr>
          <w:rFonts w:hint="eastAsia" w:ascii="Times New Roman" w:hAnsi="Times New Roman" w:eastAsia="宋体" w:cs="Times New Roman"/>
        </w:rPr>
        <w:t>3</w:t>
      </w:r>
      <w:r>
        <w:rPr>
          <w:rFonts w:ascii="Times New Roman" w:hAnsi="Times New Roman" w:eastAsia="宋体" w:cs="Times New Roman"/>
        </w:rPr>
        <w:t>-20</w:t>
      </w:r>
      <w:r>
        <w:rPr>
          <w:rFonts w:hint="eastAsia" w:ascii="Times New Roman" w:hAnsi="Times New Roman" w:eastAsia="宋体" w:cs="Times New Roman"/>
        </w:rPr>
        <w:t>10</w:t>
      </w:r>
      <w:r>
        <w:rPr>
          <w:rFonts w:ascii="Times New Roman" w:hAnsi="Times New Roman" w:eastAsia="宋体" w:cs="Times New Roman"/>
        </w:rPr>
        <w:t>）</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《预应力混凝土用</w:t>
      </w:r>
      <w:r>
        <w:rPr>
          <w:rFonts w:hint="eastAsia" w:ascii="Times New Roman" w:hAnsi="Times New Roman" w:eastAsia="宋体" w:cs="Times New Roman"/>
        </w:rPr>
        <w:t>螺纹钢筋</w:t>
      </w:r>
      <w:r>
        <w:rPr>
          <w:rFonts w:ascii="Times New Roman" w:hAnsi="Times New Roman" w:eastAsia="宋体" w:cs="Times New Roman"/>
        </w:rPr>
        <w:t xml:space="preserve">》（GB/T </w:t>
      </w:r>
      <w:r>
        <w:rPr>
          <w:rFonts w:hint="eastAsia" w:ascii="Times New Roman" w:hAnsi="Times New Roman" w:eastAsia="宋体" w:cs="Times New Roman"/>
        </w:rPr>
        <w:t>20065</w:t>
      </w:r>
      <w:r>
        <w:rPr>
          <w:rFonts w:ascii="Times New Roman" w:hAnsi="Times New Roman" w:eastAsia="宋体" w:cs="Times New Roman"/>
        </w:rPr>
        <w:t>-200</w:t>
      </w:r>
      <w:r>
        <w:rPr>
          <w:rFonts w:hint="eastAsia" w:ascii="Times New Roman" w:hAnsi="Times New Roman" w:eastAsia="宋体" w:cs="Times New Roman"/>
        </w:rPr>
        <w:t>6</w:t>
      </w:r>
      <w:r>
        <w:rPr>
          <w:rFonts w:ascii="Times New Roman" w:hAnsi="Times New Roman" w:eastAsia="宋体" w:cs="Times New Roman"/>
        </w:rPr>
        <w:t>）</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二、钢筋的质量必须符合国家有关标准及</w:t>
      </w:r>
      <w:r>
        <w:rPr>
          <w:rFonts w:hint="eastAsia" w:ascii="Times New Roman" w:hAnsi="Times New Roman" w:eastAsia="宋体" w:cs="Times New Roman"/>
          <w:lang w:val="en-US" w:eastAsia="zh-CN"/>
        </w:rPr>
        <w:t>项目</w:t>
      </w:r>
      <w:r>
        <w:rPr>
          <w:rFonts w:hint="eastAsia" w:ascii="Times New Roman" w:hAnsi="Times New Roman" w:eastAsia="宋体" w:cs="Times New Roman"/>
        </w:rPr>
        <w:t>的设计要求。如国家有新标准出台，则应符合国家所颁发的最新版本的质量和技术标准。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三、钢筋的技术标准可遵照：</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w:t>
      </w:r>
      <w:r>
        <w:rPr>
          <w:rFonts w:hint="eastAsia" w:ascii="Times New Roman" w:hAnsi="Times New Roman" w:eastAsia="宋体" w:cs="Times New Roman"/>
        </w:rPr>
        <w:softHyphen/>
      </w:r>
      <w:r>
        <w:rPr>
          <w:rFonts w:hint="eastAsia" w:ascii="Times New Roman" w:hAnsi="Times New Roman" w:eastAsia="宋体" w:cs="Times New Roman"/>
        </w:rPr>
        <w:t>—中华人民共和国国家标准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GBJ—中华人民共和国国家标准(基本建设方面)</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JT—中华人民共和国交通部标准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JTJ—中华人民共和国交通部标准(基本建设方面)</w:t>
      </w:r>
    </w:p>
    <w:p>
      <w:pPr>
        <w:spacing w:line="360" w:lineRule="auto"/>
        <w:ind w:firstLine="437"/>
        <w:rPr>
          <w:rFonts w:ascii="Times New Roman" w:hAnsi="Times New Roman" w:eastAsia="宋体" w:cs="Times New Roman"/>
        </w:rPr>
      </w:pPr>
      <w:r>
        <w:rPr>
          <w:rFonts w:hint="eastAsia" w:ascii="Times New Roman" w:hAnsi="Times New Roman" w:eastAsia="宋体" w:cs="Times New Roman"/>
        </w:rPr>
        <w:t>JC—中华人民共和国建筑材料工业部标准</w:t>
      </w:r>
    </w:p>
    <w:p>
      <w:pPr>
        <w:pStyle w:val="30"/>
        <w:rPr>
          <w:rFonts w:hint="eastAsia" w:ascii="宋体" w:hAnsi="宋体" w:eastAsia="宋体" w:cs="宋体"/>
          <w:b/>
          <w:bCs/>
          <w:sz w:val="28"/>
          <w:szCs w:val="28"/>
        </w:rPr>
      </w:pPr>
    </w:p>
    <w:p>
      <w:pPr>
        <w:pStyle w:val="30"/>
        <w:rPr>
          <w:rFonts w:hint="eastAsia" w:ascii="宋体" w:hAnsi="宋体" w:eastAsia="宋体" w:cs="宋体"/>
          <w:b/>
          <w:bCs/>
          <w:sz w:val="28"/>
          <w:szCs w:val="28"/>
        </w:rPr>
      </w:pPr>
    </w:p>
    <w:p>
      <w:pPr>
        <w:pStyle w:val="30"/>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2"/>
        <w:numPr>
          <w:ilvl w:val="255"/>
          <w:numId w:val="0"/>
        </w:numPr>
        <w:spacing w:before="312" w:after="312"/>
        <w:ind w:left="402"/>
        <w:rPr>
          <w:rFonts w:hint="eastAsia" w:ascii="Times New Roman" w:hAnsi="Times New Roman" w:eastAsia="宋体" w:cs="Times New Roman"/>
        </w:rPr>
      </w:pPr>
      <w:bookmarkStart w:id="69"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9"/>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70" w:name="_Toc1914_WPSOffice_Level1"/>
      <w:bookmarkStart w:id="71" w:name="_Toc17394_WPSOffice_Level1"/>
      <w:bookmarkStart w:id="72" w:name="_Toc32044_WPSOffice_Level1"/>
      <w:bookmarkStart w:id="73" w:name="_Toc10484_WPSOffice_Level1"/>
      <w:bookmarkStart w:id="74" w:name="_Toc29687_WPSOffice_Level1"/>
      <w:r>
        <w:rPr>
          <w:rFonts w:ascii="Times New Roman" w:hAnsi="Times New Roman" w:eastAsia="黑体" w:cs="Times New Roman"/>
          <w:sz w:val="50"/>
          <w:szCs w:val="50"/>
        </w:rPr>
        <w:t>响  应  文  件</w:t>
      </w:r>
      <w:bookmarkEnd w:id="70"/>
      <w:bookmarkEnd w:id="71"/>
      <w:bookmarkEnd w:id="72"/>
      <w:bookmarkEnd w:id="73"/>
      <w:bookmarkEnd w:id="74"/>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75" w:name="_Toc5520_WPSOffice_Level2"/>
      <w:bookmarkStart w:id="76"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5"/>
      <w:bookmarkEnd w:id="76"/>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7" w:name="_Toc20076_WPSOffice_Level2"/>
      <w:bookmarkStart w:id="7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7"/>
      <w:bookmarkEnd w:id="78"/>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9" w:name="_Toc21974_WPSOffice_Level2"/>
      <w:bookmarkStart w:id="80" w:name="_Toc22351_WPSOffice_Level2"/>
      <w:r>
        <w:rPr>
          <w:rFonts w:ascii="Times New Roman" w:hAnsi="Times New Roman" w:eastAsia="黑体" w:cs="Times New Roman"/>
          <w:sz w:val="28"/>
          <w:szCs w:val="28"/>
        </w:rPr>
        <w:t>目     录</w:t>
      </w:r>
      <w:bookmarkEnd w:id="79"/>
      <w:bookmarkEnd w:id="80"/>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81" w:name="_Toc6353_WPSOffice_Level1"/>
      <w:bookmarkStart w:id="82" w:name="_Toc30529_WPSOffice_Level1"/>
      <w:bookmarkStart w:id="83" w:name="_Toc11424_WPSOffice_Level1"/>
      <w:bookmarkStart w:id="84" w:name="_Toc5842_WPSOffice_Level1"/>
      <w:bookmarkStart w:id="85" w:name="_Toc23368_WPSOffice_Level1"/>
      <w:bookmarkStart w:id="86"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81"/>
      <w:bookmarkEnd w:id="82"/>
      <w:bookmarkEnd w:id="83"/>
      <w:bookmarkEnd w:id="84"/>
      <w:bookmarkEnd w:id="85"/>
    </w:p>
    <w:p>
      <w:pPr>
        <w:spacing w:line="440" w:lineRule="exact"/>
        <w:ind w:left="1619" w:leftChars="771"/>
        <w:rPr>
          <w:rFonts w:ascii="Times New Roman" w:hAnsi="Times New Roman" w:eastAsia="黑体" w:cs="Times New Roman"/>
          <w:sz w:val="24"/>
        </w:rPr>
      </w:pPr>
      <w:bookmarkStart w:id="87" w:name="_Toc31927_WPSOffice_Level1"/>
      <w:bookmarkStart w:id="88" w:name="_Toc5317_WPSOffice_Level1"/>
      <w:bookmarkStart w:id="89" w:name="_Toc32729_WPSOffice_Level1"/>
      <w:bookmarkStart w:id="90" w:name="_Toc21229_WPSOffice_Level1"/>
      <w:bookmarkStart w:id="91" w:name="_Toc30428_WPSOffice_Level1"/>
      <w:r>
        <w:rPr>
          <w:rFonts w:ascii="Times New Roman" w:hAnsi="Times New Roman" w:eastAsia="黑体" w:cs="Times New Roman"/>
          <w:sz w:val="24"/>
        </w:rPr>
        <w:t>二、法定代表人身份证明及授权委托书</w:t>
      </w:r>
      <w:bookmarkEnd w:id="87"/>
      <w:bookmarkEnd w:id="88"/>
      <w:bookmarkEnd w:id="89"/>
      <w:bookmarkEnd w:id="90"/>
      <w:bookmarkEnd w:id="91"/>
    </w:p>
    <w:p>
      <w:pPr>
        <w:spacing w:line="440" w:lineRule="exact"/>
        <w:ind w:left="1619" w:leftChars="771"/>
        <w:rPr>
          <w:rFonts w:ascii="Times New Roman" w:hAnsi="Times New Roman" w:eastAsia="黑体" w:cs="Times New Roman"/>
          <w:sz w:val="24"/>
        </w:rPr>
      </w:pPr>
      <w:bookmarkStart w:id="92" w:name="_Toc4728_WPSOffice_Level1"/>
      <w:bookmarkStart w:id="93" w:name="_Toc23356_WPSOffice_Level1"/>
      <w:bookmarkStart w:id="94" w:name="_Toc25965_WPSOffice_Level1"/>
      <w:bookmarkStart w:id="95" w:name="_Toc29085_WPSOffice_Level1"/>
      <w:bookmarkStart w:id="96" w:name="_Toc21853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92"/>
    <w:bookmarkEnd w:id="93"/>
    <w:bookmarkEnd w:id="94"/>
    <w:bookmarkEnd w:id="95"/>
    <w:bookmarkEnd w:id="96"/>
    <w:p>
      <w:pPr>
        <w:spacing w:line="440" w:lineRule="exact"/>
        <w:ind w:left="1619" w:leftChars="771"/>
        <w:rPr>
          <w:rFonts w:hint="eastAsia" w:ascii="Times New Roman" w:hAnsi="Times New Roman" w:eastAsia="黑体" w:cs="Times New Roman"/>
          <w:sz w:val="24"/>
        </w:rPr>
      </w:pPr>
      <w:bookmarkStart w:id="97" w:name="_Toc7453_WPSOffice_Level1"/>
      <w:bookmarkStart w:id="98" w:name="_Toc23744_WPSOffice_Level1"/>
      <w:bookmarkStart w:id="99" w:name="_Toc29870_WPSOffice_Level1"/>
      <w:bookmarkStart w:id="100" w:name="_Toc18964_WPSOffice_Level1"/>
      <w:bookmarkStart w:id="101"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7"/>
      <w:bookmarkEnd w:id="98"/>
      <w:bookmarkEnd w:id="99"/>
      <w:bookmarkEnd w:id="100"/>
      <w:bookmarkEnd w:id="101"/>
      <w:bookmarkStart w:id="102" w:name="_Toc12459_WPSOffice_Level1"/>
      <w:bookmarkStart w:id="103" w:name="_Toc24262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lang w:val="en-US" w:eastAsia="zh-CN"/>
        </w:rPr>
      </w:pPr>
      <w:bookmarkStart w:id="104" w:name="_Toc20930_WPSOffice_Level1"/>
      <w:bookmarkStart w:id="105" w:name="_Toc927_WPSOffice_Level1"/>
      <w:bookmarkStart w:id="106" w:name="_Toc3222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102"/>
      <w:bookmarkEnd w:id="103"/>
      <w:bookmarkEnd w:id="104"/>
      <w:bookmarkEnd w:id="105"/>
      <w:bookmarkEnd w:id="106"/>
      <w:r>
        <w:rPr>
          <w:rFonts w:hint="eastAsia" w:ascii="Times New Roman" w:hAnsi="Times New Roman" w:eastAsia="黑体" w:cs="Times New Roman"/>
          <w:sz w:val="24"/>
          <w:lang w:val="en-US" w:eastAsia="zh-CN"/>
        </w:rPr>
        <w:t>供货方案</w:t>
      </w:r>
    </w:p>
    <w:p>
      <w:pPr>
        <w:spacing w:line="440" w:lineRule="exact"/>
        <w:ind w:left="1619" w:leftChars="771"/>
        <w:rPr>
          <w:rFonts w:hint="default"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七、企业情况</w:t>
      </w:r>
    </w:p>
    <w:p>
      <w:pPr>
        <w:spacing w:line="440" w:lineRule="exact"/>
        <w:ind w:left="1619" w:leftChars="771"/>
        <w:rPr>
          <w:rFonts w:hint="eastAsia" w:ascii="Times New Roman" w:hAnsi="Times New Roman" w:eastAsia="黑体" w:cs="Times New Roman"/>
          <w:sz w:val="24"/>
        </w:rPr>
      </w:pPr>
      <w:bookmarkStart w:id="107" w:name="_Toc5885_WPSOffice_Level1"/>
      <w:bookmarkStart w:id="108" w:name="_Toc25973_WPSOffice_Level1"/>
      <w:bookmarkStart w:id="109" w:name="_Toc16988_WPSOffice_Level1"/>
      <w:r>
        <w:rPr>
          <w:rFonts w:hint="eastAsia" w:ascii="Times New Roman" w:hAnsi="Times New Roman" w:eastAsia="黑体" w:cs="Times New Roman"/>
          <w:sz w:val="24"/>
          <w:lang w:val="en-US" w:eastAsia="zh-CN"/>
        </w:rPr>
        <w:t>八</w:t>
      </w:r>
      <w:r>
        <w:rPr>
          <w:rFonts w:hint="eastAsia" w:ascii="Times New Roman" w:hAnsi="Times New Roman" w:eastAsia="黑体" w:cs="Times New Roman"/>
          <w:sz w:val="24"/>
        </w:rPr>
        <w:t>、其他材料</w:t>
      </w:r>
      <w:bookmarkEnd w:id="86"/>
      <w:bookmarkEnd w:id="107"/>
      <w:bookmarkEnd w:id="108"/>
      <w:bookmarkEnd w:id="109"/>
    </w:p>
    <w:p>
      <w:pPr>
        <w:pStyle w:val="18"/>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10" w:name="_Toc1017_WPSOffice_Level1"/>
      <w:bookmarkStart w:id="111" w:name="_Toc1687_WPSOffice_Level1"/>
      <w:bookmarkStart w:id="112" w:name="_Toc2765_WPSOffice_Level1"/>
      <w:bookmarkStart w:id="113" w:name="_Toc18312_WPSOffice_Level1"/>
      <w:bookmarkStart w:id="114" w:name="_Toc1362_WPSOffice_Level1"/>
      <w:bookmarkStart w:id="115" w:name="_Toc3972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8"/>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4"/>
        <w:outlineLvl w:val="9"/>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6"/>
      </w:pPr>
    </w:p>
    <w:p/>
    <w:bookmarkEnd w:id="110"/>
    <w:bookmarkEnd w:id="111"/>
    <w:bookmarkEnd w:id="112"/>
    <w:bookmarkEnd w:id="113"/>
    <w:bookmarkEnd w:id="114"/>
    <w:bookmarkEnd w:id="115"/>
    <w:p>
      <w:pPr>
        <w:spacing w:line="440" w:lineRule="exact"/>
        <w:jc w:val="center"/>
        <w:rPr>
          <w:rFonts w:ascii="Times New Roman" w:hAnsi="Times New Roman" w:eastAsia="黑体" w:cs="Times New Roman"/>
          <w:sz w:val="28"/>
          <w:szCs w:val="28"/>
        </w:rPr>
      </w:pPr>
      <w:bookmarkStart w:id="116" w:name="_Toc14563_WPSOffice_Level1"/>
      <w:bookmarkStart w:id="117" w:name="_Toc4951_WPSOffice_Level1"/>
      <w:bookmarkStart w:id="118" w:name="_Toc21740_WPSOffice_Level1"/>
      <w:bookmarkStart w:id="119" w:name="_Toc18668_WPSOffice_Level1"/>
      <w:bookmarkStart w:id="120" w:name="_Toc32350_WPSOffice_Level1"/>
      <w:bookmarkStart w:id="121" w:name="_Toc1996_WPSOffice_Level1"/>
      <w:r>
        <w:rPr>
          <w:rFonts w:ascii="Times New Roman" w:hAnsi="Times New Roman" w:eastAsia="黑体" w:cs="Times New Roman"/>
          <w:sz w:val="28"/>
          <w:szCs w:val="28"/>
        </w:rPr>
        <w:t>二、法定代表人身份证明及授权委托书</w:t>
      </w:r>
      <w:bookmarkEnd w:id="116"/>
      <w:bookmarkEnd w:id="117"/>
      <w:bookmarkEnd w:id="118"/>
      <w:bookmarkEnd w:id="119"/>
      <w:bookmarkEnd w:id="120"/>
      <w:bookmarkEnd w:id="121"/>
    </w:p>
    <w:p>
      <w:pPr>
        <w:spacing w:line="440" w:lineRule="exact"/>
        <w:jc w:val="center"/>
        <w:rPr>
          <w:rFonts w:ascii="Times New Roman" w:hAnsi="Times New Roman" w:cs="Times New Roman"/>
          <w:sz w:val="28"/>
          <w:szCs w:val="28"/>
        </w:rPr>
      </w:pPr>
      <w:bookmarkStart w:id="122" w:name="_Toc20803_WPSOffice_Level2"/>
      <w:bookmarkStart w:id="123" w:name="_Toc5153_WPSOffice_Level2"/>
      <w:r>
        <w:rPr>
          <w:rFonts w:ascii="Times New Roman" w:hAnsi="Times New Roman" w:eastAsia="黑体" w:cs="Times New Roman"/>
          <w:bCs/>
          <w:sz w:val="28"/>
          <w:szCs w:val="28"/>
        </w:rPr>
        <w:t>2-1 法定代表人身份证明</w:t>
      </w:r>
      <w:bookmarkEnd w:id="122"/>
      <w:bookmarkEnd w:id="123"/>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24" w:name="_Toc12035_WPSOffice_Level2"/>
      <w:bookmarkStart w:id="125"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24"/>
      <w:bookmarkEnd w:id="125"/>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headerReference r:id="rId11" w:type="default"/>
          <w:footerReference r:id="rId12"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26" w:name="_Toc24567_WPSOffice_Level1"/>
      <w:bookmarkStart w:id="127" w:name="_Toc27513_WPSOffice_Level1"/>
      <w:bookmarkStart w:id="128" w:name="_Toc24530_WPSOffice_Level1"/>
      <w:bookmarkStart w:id="129" w:name="_Toc32085_WPSOffice_Level1"/>
      <w:bookmarkStart w:id="130" w:name="_Toc28828_WPSOffice_Level1"/>
      <w:bookmarkStart w:id="131" w:name="_Toc26364_WPSOffice_Level1"/>
    </w:p>
    <w:bookmarkEnd w:id="126"/>
    <w:bookmarkEnd w:id="127"/>
    <w:bookmarkEnd w:id="128"/>
    <w:bookmarkEnd w:id="129"/>
    <w:bookmarkEnd w:id="130"/>
    <w:bookmarkEnd w:id="131"/>
    <w:p>
      <w:pPr>
        <w:topLinePunct/>
        <w:spacing w:line="440" w:lineRule="exact"/>
        <w:jc w:val="center"/>
        <w:rPr>
          <w:rFonts w:ascii="Times New Roman" w:hAnsi="Times New Roman" w:eastAsia="黑体" w:cs="Times New Roman"/>
          <w:sz w:val="28"/>
          <w:szCs w:val="28"/>
        </w:rPr>
      </w:pPr>
      <w:bookmarkStart w:id="132" w:name="_Toc7738_WPSOffice_Level1"/>
      <w:bookmarkStart w:id="133" w:name="_Toc31445_WPSOffice_Level1"/>
      <w:bookmarkStart w:id="134" w:name="_Toc10436_WPSOffice_Level1"/>
      <w:bookmarkStart w:id="135" w:name="_Toc17124_WPSOffice_Level1"/>
      <w:bookmarkStart w:id="136" w:name="_Toc10646_WPSOffice_Level1"/>
      <w:bookmarkStart w:id="137" w:name="_Toc19015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8" w:name="_Toc2807_WPSOffice_Level2"/>
      <w:bookmarkStart w:id="139" w:name="_Toc27600_WPSOffice_Level2"/>
      <w:r>
        <w:rPr>
          <w:rFonts w:ascii="Times New Roman" w:hAnsi="Times New Roman" w:eastAsia="黑体" w:cs="Times New Roman"/>
          <w:sz w:val="28"/>
          <w:szCs w:val="28"/>
        </w:rPr>
        <w:t>供应商基本情况</w:t>
      </w:r>
      <w:bookmarkEnd w:id="132"/>
      <w:bookmarkEnd w:id="133"/>
      <w:bookmarkEnd w:id="134"/>
      <w:bookmarkEnd w:id="135"/>
      <w:bookmarkEnd w:id="136"/>
      <w:bookmarkEnd w:id="137"/>
      <w:bookmarkEnd w:id="138"/>
      <w:bookmarkEnd w:id="139"/>
    </w:p>
    <w:p>
      <w:pPr>
        <w:topLinePunct/>
        <w:spacing w:line="440" w:lineRule="exact"/>
        <w:jc w:val="center"/>
        <w:rPr>
          <w:rFonts w:ascii="Times New Roman" w:hAnsi="Times New Roman" w:cs="Times New Roman"/>
          <w:sz w:val="23"/>
          <w:szCs w:val="23"/>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开户信息</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40" w:name="_Toc19004_WPSOffice_Level1"/>
      <w:bookmarkStart w:id="141" w:name="_Toc18547_WPSOffice_Level1"/>
      <w:bookmarkStart w:id="142" w:name="_Toc3912"/>
      <w:bookmarkStart w:id="143" w:name="_Toc1452_WPSOffice_Level1"/>
      <w:bookmarkStart w:id="144" w:name="_Toc3772_WPSOffice_Level1"/>
      <w:bookmarkStart w:id="145" w:name="_Toc5072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40"/>
      <w:bookmarkEnd w:id="141"/>
      <w:bookmarkEnd w:id="142"/>
      <w:bookmarkEnd w:id="143"/>
      <w:bookmarkEnd w:id="144"/>
      <w:bookmarkEnd w:id="145"/>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4"/>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46" w:name="_Toc3893_WPSOffice_Level1"/>
      <w:bookmarkStart w:id="147" w:name="_Toc26594_WPSOffice_Level1"/>
      <w:bookmarkStart w:id="148" w:name="_Toc5403_WPSOffice_Level1"/>
      <w:bookmarkStart w:id="149" w:name="_Toc5889_WPSOffice_Level1"/>
      <w:bookmarkStart w:id="150" w:name="_Toc12019_WPSOffice_Level1"/>
      <w:bookmarkStart w:id="151" w:name="_Toc10810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46"/>
      <w:bookmarkEnd w:id="147"/>
      <w:bookmarkEnd w:id="148"/>
      <w:bookmarkEnd w:id="149"/>
      <w:bookmarkEnd w:id="150"/>
      <w:bookmarkEnd w:id="151"/>
    </w:p>
    <w:p>
      <w:pPr>
        <w:topLinePunct/>
        <w:spacing w:line="440" w:lineRule="exact"/>
        <w:rPr>
          <w:rFonts w:ascii="Times New Roman" w:hAnsi="Times New Roman" w:cs="Times New Roman"/>
          <w:bCs/>
          <w:sz w:val="23"/>
          <w:szCs w:val="23"/>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keepNext w:val="0"/>
        <w:keepLines w:val="0"/>
        <w:widowControl/>
        <w:suppressLineNumbers w:val="0"/>
        <w:jc w:val="left"/>
      </w:pPr>
      <w:r>
        <w:rPr>
          <w:rFonts w:ascii="宋体" w:hAnsi="宋体"/>
          <w:szCs w:val="21"/>
          <w:highlight w:val="none"/>
        </w:rPr>
        <w:t>注：</w:t>
      </w:r>
      <w:r>
        <w:rPr>
          <w:rFonts w:ascii="楷体" w:hAnsi="楷体" w:eastAsia="楷体" w:cs="楷体"/>
          <w:color w:val="000000"/>
          <w:kern w:val="0"/>
          <w:sz w:val="22"/>
          <w:szCs w:val="22"/>
          <w:lang w:val="en-US" w:eastAsia="zh-CN" w:bidi="ar"/>
        </w:rPr>
        <w:t>注：</w:t>
      </w:r>
      <w:r>
        <w:rPr>
          <w:rFonts w:hint="default" w:ascii="Times New Roman" w:hAnsi="Times New Roman" w:eastAsia="宋体" w:cs="Times New Roman"/>
          <w:color w:val="000000"/>
          <w:kern w:val="0"/>
          <w:sz w:val="22"/>
          <w:szCs w:val="22"/>
          <w:lang w:val="en-US" w:eastAsia="zh-CN" w:bidi="ar"/>
        </w:rPr>
        <w:t>1.</w:t>
      </w:r>
      <w:r>
        <w:rPr>
          <w:rFonts w:hint="eastAsia" w:ascii="楷体" w:hAnsi="楷体" w:eastAsia="楷体" w:cs="楷体"/>
          <w:color w:val="000000"/>
          <w:kern w:val="0"/>
          <w:sz w:val="22"/>
          <w:szCs w:val="22"/>
          <w:lang w:val="en-US" w:eastAsia="zh-CN" w:bidi="ar"/>
        </w:rPr>
        <w:t xml:space="preserve">本表后应附： </w:t>
      </w:r>
    </w:p>
    <w:p>
      <w:pPr>
        <w:keepNext w:val="0"/>
        <w:keepLines w:val="0"/>
        <w:widowControl/>
        <w:suppressLineNumbers w:val="0"/>
        <w:jc w:val="left"/>
      </w:pPr>
      <w:r>
        <w:rPr>
          <w:rFonts w:hint="eastAsia" w:ascii="楷体" w:hAnsi="楷体" w:eastAsia="楷体" w:cs="楷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楷体" w:hAnsi="楷体" w:eastAsia="楷体" w:cs="楷体"/>
          <w:color w:val="000000"/>
          <w:kern w:val="0"/>
          <w:sz w:val="22"/>
          <w:szCs w:val="22"/>
          <w:lang w:val="en-US" w:eastAsia="zh-CN" w:bidi="ar"/>
        </w:rPr>
        <w:t xml:space="preserve">）投标人在全国企业信用信息公示系统中未被列入严重违法失信企业名单的网页截图扫描件； </w:t>
      </w:r>
    </w:p>
    <w:p>
      <w:pPr>
        <w:keepNext w:val="0"/>
        <w:keepLines w:val="0"/>
        <w:widowControl/>
        <w:suppressLineNumbers w:val="0"/>
        <w:jc w:val="left"/>
      </w:pPr>
      <w:r>
        <w:rPr>
          <w:rFonts w:hint="eastAsia" w:ascii="楷体" w:hAnsi="楷体" w:eastAsia="楷体" w:cs="楷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楷体" w:hAnsi="楷体" w:eastAsia="楷体" w:cs="楷体"/>
          <w:color w:val="000000"/>
          <w:kern w:val="0"/>
          <w:sz w:val="22"/>
          <w:szCs w:val="22"/>
          <w:lang w:val="en-US" w:eastAsia="zh-CN" w:bidi="ar"/>
        </w:rPr>
        <w:t>）投标人在</w:t>
      </w:r>
      <w:r>
        <w:rPr>
          <w:rFonts w:hint="default" w:ascii="Times New Roman" w:hAnsi="Times New Roman" w:eastAsia="宋体" w:cs="Times New Roman"/>
          <w:color w:val="000000"/>
          <w:kern w:val="0"/>
          <w:sz w:val="22"/>
          <w:szCs w:val="22"/>
          <w:lang w:val="en-US" w:eastAsia="zh-CN" w:bidi="ar"/>
        </w:rPr>
        <w:t>“</w:t>
      </w:r>
      <w:r>
        <w:rPr>
          <w:rFonts w:hint="eastAsia" w:ascii="楷体" w:hAnsi="楷体" w:eastAsia="楷体" w:cs="楷体"/>
          <w:color w:val="000000"/>
          <w:kern w:val="0"/>
          <w:sz w:val="22"/>
          <w:szCs w:val="22"/>
          <w:lang w:val="en-US" w:eastAsia="zh-CN" w:bidi="ar"/>
        </w:rPr>
        <w:t>信用中国</w:t>
      </w:r>
      <w:r>
        <w:rPr>
          <w:rFonts w:hint="default" w:ascii="Times New Roman" w:hAnsi="Times New Roman" w:eastAsia="宋体" w:cs="Times New Roman"/>
          <w:color w:val="000000"/>
          <w:kern w:val="0"/>
          <w:sz w:val="22"/>
          <w:szCs w:val="22"/>
          <w:lang w:val="en-US" w:eastAsia="zh-CN" w:bidi="ar"/>
        </w:rPr>
        <w:t>”</w:t>
      </w:r>
      <w:r>
        <w:rPr>
          <w:rFonts w:hint="eastAsia" w:ascii="楷体" w:hAnsi="楷体" w:eastAsia="楷体" w:cs="楷体"/>
          <w:color w:val="000000"/>
          <w:kern w:val="0"/>
          <w:sz w:val="22"/>
          <w:szCs w:val="22"/>
          <w:lang w:val="en-US" w:eastAsia="zh-CN" w:bidi="ar"/>
        </w:rPr>
        <w:t xml:space="preserve">网站中未被列入失信被执行人名单的网页截图扫描件；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2.</w:t>
      </w:r>
      <w:r>
        <w:rPr>
          <w:rFonts w:hint="eastAsia" w:ascii="楷体" w:hAnsi="楷体" w:eastAsia="楷体" w:cs="楷体"/>
          <w:color w:val="000000"/>
          <w:kern w:val="0"/>
          <w:sz w:val="22"/>
          <w:szCs w:val="22"/>
          <w:lang w:val="en-US" w:eastAsia="zh-CN" w:bidi="ar"/>
        </w:rPr>
        <w:t xml:space="preserve">投标人应如实填报，若经查实投标人存在瞒报行为，将取消其投标或中标资格。 </w:t>
      </w:r>
    </w:p>
    <w:p>
      <w:pPr>
        <w:autoSpaceDE w:val="0"/>
        <w:snapToGrid w:val="0"/>
        <w:ind w:right="109" w:rightChars="52" w:firstLine="440" w:firstLineChars="200"/>
        <w:rPr>
          <w:rFonts w:hint="eastAsia" w:ascii="宋体" w:hAnsi="宋体" w:cs="宋体"/>
          <w:sz w:val="22"/>
          <w:szCs w:val="18"/>
          <w:highlight w:val="yellow"/>
        </w:rPr>
      </w:pPr>
    </w:p>
    <w:p>
      <w:pPr>
        <w:pStyle w:val="6"/>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6"/>
      </w:pPr>
    </w:p>
    <w:p>
      <w:pPr>
        <w:pStyle w:val="6"/>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6"/>
        <w:rPr>
          <w:rFonts w:ascii="Times New Roman" w:hAnsi="Times New Roman" w:eastAsia="黑体" w:cs="Times New Roman"/>
          <w:sz w:val="27"/>
          <w:szCs w:val="27"/>
        </w:rPr>
      </w:pPr>
    </w:p>
    <w:p>
      <w:pPr>
        <w:rPr>
          <w:rFonts w:hint="eastAsia"/>
          <w:lang w:val="en-US" w:eastAsia="zh-CN"/>
        </w:rPr>
      </w:pPr>
      <w:bookmarkStart w:id="152" w:name="_Toc22303_WPSOffice_Level1"/>
      <w:bookmarkStart w:id="153" w:name="_Toc2428_WPSOffice_Level1"/>
      <w:bookmarkStart w:id="154" w:name="_Toc19034_WPSOffice_Level1"/>
      <w:bookmarkStart w:id="155" w:name="_Toc5957_WPSOffice_Level1"/>
      <w:bookmarkStart w:id="156" w:name="_Toc13165_WPSOffice_Level1"/>
      <w:bookmarkStart w:id="157" w:name="_Toc31963_WPSOffice_Level1"/>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6"/>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br w:type="page"/>
      </w:r>
    </w:p>
    <w:p>
      <w:pPr>
        <w:spacing w:line="440" w:lineRule="exact"/>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企业情况</w:t>
      </w:r>
    </w:p>
    <w:p>
      <w:pP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br w:type="page"/>
      </w:r>
    </w:p>
    <w:p>
      <w:pPr>
        <w:rPr>
          <w:rFonts w:hint="eastAsia" w:ascii="Times New Roman" w:hAnsi="Times New Roman" w:eastAsia="黑体" w:cs="Times New Roman"/>
          <w:sz w:val="28"/>
          <w:szCs w:val="28"/>
          <w:lang w:val="en-US" w:eastAsia="zh-CN"/>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、其</w:t>
      </w:r>
      <w:bookmarkEnd w:id="152"/>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53"/>
      <w:bookmarkEnd w:id="154"/>
      <w:bookmarkEnd w:id="155"/>
      <w:bookmarkEnd w:id="156"/>
      <w:bookmarkEnd w:id="157"/>
    </w:p>
    <w:p>
      <w:pPr>
        <w:pStyle w:val="30"/>
        <w:rPr>
          <w:rFonts w:hint="default" w:ascii="Times New Roman" w:hAnsi="Times New Roman"/>
          <w:color w:val="auto"/>
          <w:szCs w:val="28"/>
        </w:rPr>
      </w:pPr>
    </w:p>
    <w:p>
      <w:pPr>
        <w:pStyle w:val="30"/>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8"/>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w:t>
      </w:r>
      <w:r>
        <w:rPr>
          <w:rFonts w:ascii="Times New Roman" w:hAnsi="Times New Roman" w:cs="Times New Roman"/>
          <w:sz w:val="24"/>
          <w:highlight w:val="none"/>
        </w:rPr>
        <w:t>意以</w:t>
      </w:r>
      <w:r>
        <w:rPr>
          <w:rFonts w:hint="eastAsia" w:ascii="Times New Roman" w:hAnsi="Times New Roman" w:cs="Times New Roman"/>
          <w:sz w:val="24"/>
          <w:highlight w:val="none"/>
          <w:u w:val="single"/>
          <w:lang w:val="en-US" w:eastAsia="zh-CN"/>
        </w:rPr>
        <w:t xml:space="preserve"> ¥        （大写：    ） </w:t>
      </w:r>
      <w:r>
        <w:rPr>
          <w:rFonts w:ascii="Times New Roman" w:hAnsi="Times New Roman" w:cs="Times New Roman"/>
          <w:sz w:val="24"/>
          <w:highlight w:val="none"/>
        </w:rPr>
        <w:t>的报</w:t>
      </w:r>
      <w:r>
        <w:rPr>
          <w:rFonts w:ascii="Times New Roman" w:hAnsi="Times New Roman" w:cs="Times New Roman"/>
          <w:sz w:val="24"/>
        </w:rPr>
        <w:t>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8" w:name="_Toc162490440"/>
      <w:bookmarkStart w:id="159" w:name="_Toc272486050"/>
      <w:bookmarkStart w:id="160" w:name="_Toc153421230"/>
      <w:r>
        <w:rPr>
          <w:rFonts w:hint="eastAsia" w:ascii="Times New Roman" w:hAnsi="Times New Roman" w:eastAsia="黑体" w:cs="Times New Roman"/>
          <w:sz w:val="28"/>
          <w:szCs w:val="28"/>
          <w:lang w:val="en-US" w:eastAsia="zh-CN"/>
        </w:rPr>
        <w:t>二、</w:t>
      </w:r>
      <w:bookmarkEnd w:id="158"/>
      <w:bookmarkEnd w:id="159"/>
      <w:bookmarkEnd w:id="160"/>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1．本报价单应与报价须知、合同条款、技术规范等文件结合起来查阅与理解。</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2．报价人应根据自身的实际生产能力填写报价单中各规格产品的单价。</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3．报价人在报价单中填写的单价应是将询价文件所列类型及牌号的产品运至承包人</w:t>
      </w:r>
      <w:r>
        <w:rPr>
          <w:rFonts w:hint="eastAsia" w:ascii="Times New Roman" w:hAnsi="Times New Roman" w:eastAsia="宋体" w:cs="Times New Roman"/>
          <w:lang w:val="en-US" w:eastAsia="zh-CN"/>
        </w:rPr>
        <w:t>指定地点</w:t>
      </w:r>
      <w:r>
        <w:rPr>
          <w:rFonts w:hint="eastAsia" w:ascii="Times New Roman" w:hAnsi="Times New Roman" w:eastAsia="宋体" w:cs="Times New Roman"/>
        </w:rPr>
        <w:t>，除工地卸货费以外所有费用的综合单价，以及合同明示或暗示的所有责任、义务和一切风险。</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4．对于符合要求的询价响应文件，在签订合同协议书前，如发现报价单中有计算方面的算术差错，按询价文件规定修正。</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5．报价单中的各项费用均以人民币(元)结算。</w:t>
      </w:r>
    </w:p>
    <w:p>
      <w:pPr>
        <w:rPr>
          <w:rFonts w:ascii="宋体" w:hAnsi="宋体" w:eastAsia="宋体" w:cs="Times New Roman"/>
          <w:bCs/>
          <w:color w:val="auto"/>
          <w:sz w:val="24"/>
          <w:highlight w:val="none"/>
        </w:rPr>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s="Times New Roman"/>
          <w:bCs/>
          <w:color w:val="auto"/>
          <w:sz w:val="24"/>
          <w:highlight w:val="none"/>
        </w:rPr>
        <w:br w:type="page"/>
      </w:r>
    </w:p>
    <w:p>
      <w:pPr>
        <w:pStyle w:val="17"/>
        <w:jc w:val="right"/>
        <w:rPr>
          <w:rFonts w:hint="eastAsia"/>
          <w:lang w:val="en-US" w:eastAsia="zh-CN"/>
        </w:rPr>
      </w:pPr>
    </w:p>
    <w:p>
      <w:pPr>
        <w:widowControl/>
        <w:spacing w:line="360" w:lineRule="auto"/>
        <w:jc w:val="center"/>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rPr>
        <w:t>B．</w:t>
      </w:r>
      <w:r>
        <w:rPr>
          <w:rFonts w:hint="eastAsia" w:ascii="仿宋_GB2312" w:hAnsi="宋体" w:eastAsia="仿宋_GB2312" w:cs="宋体"/>
          <w:b/>
          <w:bCs/>
          <w:kern w:val="0"/>
          <w:sz w:val="32"/>
          <w:szCs w:val="32"/>
          <w:lang w:val="en-US" w:eastAsia="zh-CN"/>
        </w:rPr>
        <w:t>报价清单</w:t>
      </w:r>
    </w:p>
    <w:p>
      <w:pPr>
        <w:widowControl/>
        <w:spacing w:line="360" w:lineRule="auto"/>
        <w:jc w:val="center"/>
        <w:rPr>
          <w:rFonts w:hint="eastAsia" w:ascii="Times New Roman" w:hAnsi="Times New Roman" w:eastAsia="宋体" w:cs="Times New Roman"/>
          <w:b/>
        </w:rPr>
      </w:pPr>
    </w:p>
    <w:tbl>
      <w:tblPr>
        <w:tblStyle w:val="1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1121"/>
        <w:gridCol w:w="1292"/>
        <w:gridCol w:w="2641"/>
        <w:gridCol w:w="1250"/>
        <w:gridCol w:w="850"/>
        <w:gridCol w:w="1334"/>
        <w:gridCol w:w="1608"/>
        <w:gridCol w:w="1331"/>
        <w:gridCol w:w="974"/>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地市</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项目路段</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项目地点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评标基准价（实际基准价以“我的钢铁网”发货当期当日合肥地区首次公布信息价为基数）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信息价下浮（-X）元</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蚌埠市、宣城市</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固镇至蚌埠高速公路</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王庄服务区、蔡村服务区</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马钢、沙钢、武钢、济钢、南钢、日照钢铁或相当于上述档次的品牌</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1763.85</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宣州区、郎溪县、广德市</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沪渝国家高速公路安徽省广德至宣城段</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广德服务区、绿锦服务区、洪林服务区、广德东、广德、广德西、宣城东收费站，宣城西管理中心、十字养护工区、高湖、洪林、十字收费 站、楚店服务区、漆园服务区 </w:t>
            </w: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4418.63</w:t>
            </w: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亳州市涡阳县、蒙城县</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亳州至蒙城高速公路涡阳至蒙城段</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涡南收费站、楚店收费站、岳坊收费站、蒙城北收费站、蒙城东收费站</w:t>
            </w: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2798.54</w:t>
            </w: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8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1.以“我的钢铁网”发货当期当日合肥地区首次公布信息价为基数下浮；（节假日、周末按照前一个工作日首次发布网价信息为准）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2.一单一结，先款后货结算，产品送达工地并经现场检验合格后，发包人将按月进行计量对账；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3.此价格包含  13  ％的增值税专用发票。发票于每月月底前统一开具。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4.品牌范围：马钢（仅限马鞍山钢铁股份有限公司）、沙钢、武钢、 济钢、南钢、日照钢铁或相当于上述档次的品牌（须经业主认可）。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5.结算单价包括但不限于: 运输费、装车费、管理费、利润、税金等为钢材进场而发生的一切费用（不含卸车费），根据甲方要求按时供货至甲方指定施工现场。</w:t>
            </w:r>
          </w:p>
        </w:tc>
      </w:tr>
    </w:tbl>
    <w:p>
      <w:pPr>
        <w:widowControl/>
        <w:spacing w:line="360" w:lineRule="auto"/>
        <w:jc w:val="center"/>
        <w:rPr>
          <w:rFonts w:hint="eastAsia" w:ascii="Times New Roman" w:hAnsi="Times New Roman" w:eastAsia="宋体" w:cs="Times New Roman"/>
          <w:b/>
        </w:rPr>
      </w:pPr>
    </w:p>
    <w:p>
      <w:pPr>
        <w:spacing w:line="360" w:lineRule="auto"/>
        <w:ind w:firstLine="210" w:firstLineChars="100"/>
        <w:rPr>
          <w:rFonts w:hint="eastAsia" w:ascii="宋体" w:hAnsi="宋体" w:eastAsia="宋体" w:cs="宋体"/>
          <w:kern w:val="0"/>
          <w:szCs w:val="21"/>
          <w:u w:val="single"/>
        </w:rPr>
      </w:pPr>
      <w:r>
        <w:rPr>
          <w:rFonts w:hint="eastAsia" w:ascii="宋体" w:hAnsi="宋体" w:eastAsia="宋体" w:cs="宋体"/>
          <w:kern w:val="0"/>
          <w:szCs w:val="21"/>
        </w:rPr>
        <w:t>报价人：</w:t>
      </w:r>
      <w:r>
        <w:rPr>
          <w:rFonts w:hint="eastAsia" w:ascii="宋体" w:hAnsi="宋体" w:eastAsia="宋体" w:cs="宋体"/>
          <w:kern w:val="0"/>
          <w:szCs w:val="21"/>
          <w:u w:val="single"/>
        </w:rPr>
        <w:t xml:space="preserve">                （盖章）</w:t>
      </w:r>
    </w:p>
    <w:p>
      <w:pPr>
        <w:spacing w:line="360" w:lineRule="auto"/>
        <w:ind w:firstLine="210" w:firstLineChars="100"/>
        <w:rPr>
          <w:rFonts w:hint="eastAsia" w:ascii="宋体" w:hAnsi="宋体" w:eastAsia="宋体" w:cs="宋体"/>
          <w:kern w:val="0"/>
          <w:szCs w:val="21"/>
        </w:rPr>
      </w:pPr>
    </w:p>
    <w:p>
      <w:pPr>
        <w:pStyle w:val="17"/>
        <w:rPr>
          <w:rFonts w:hint="eastAsia" w:ascii="宋体" w:hAnsi="宋体" w:eastAsia="宋体" w:cs="宋体"/>
          <w:kern w:val="0"/>
          <w:szCs w:val="21"/>
          <w:u w:val="single"/>
        </w:rPr>
      </w:pPr>
      <w:r>
        <w:rPr>
          <w:rFonts w:hint="eastAsia" w:ascii="宋体" w:hAnsi="宋体" w:eastAsia="宋体" w:cs="宋体"/>
          <w:kern w:val="0"/>
          <w:szCs w:val="21"/>
        </w:rPr>
        <w:t>报价人法定代表人或其授权的代理人：</w:t>
      </w:r>
      <w:r>
        <w:rPr>
          <w:rFonts w:hint="eastAsia" w:ascii="宋体" w:hAnsi="宋体" w:eastAsia="宋体" w:cs="宋体"/>
          <w:kern w:val="0"/>
          <w:szCs w:val="21"/>
          <w:u w:val="single"/>
        </w:rPr>
        <w:t xml:space="preserve">                （签字）</w:t>
      </w:r>
    </w:p>
    <w:p>
      <w:pPr>
        <w:pStyle w:val="17"/>
        <w:rPr>
          <w:rFonts w:hint="eastAsia" w:ascii="宋体" w:hAnsi="宋体" w:eastAsia="宋体" w:cs="宋体"/>
          <w:kern w:val="0"/>
          <w:szCs w:val="21"/>
          <w:u w:val="single"/>
        </w:rPr>
      </w:pPr>
    </w:p>
    <w:p>
      <w:pPr>
        <w:spacing w:line="400" w:lineRule="exact"/>
        <w:ind w:firstLine="240" w:firstLineChars="100"/>
        <w:rPr>
          <w:rFonts w:hint="eastAsia" w:ascii="宋体" w:hAnsi="宋体" w:eastAsia="宋体" w:cs="宋体"/>
          <w:kern w:val="0"/>
          <w:szCs w:val="21"/>
          <w:u w:val="singl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6"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61C7D68E"/>
    <w:multiLevelType w:val="singleLevel"/>
    <w:tmpl w:val="61C7D68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DFlYjFmMjQ0NTA5NzRlMjAxMjJjOTAwY2Y1YzkifQ=="/>
  </w:docVars>
  <w:rsids>
    <w:rsidRoot w:val="6F4D02A4"/>
    <w:rsid w:val="0022317B"/>
    <w:rsid w:val="00302DB5"/>
    <w:rsid w:val="00302F3A"/>
    <w:rsid w:val="005607D6"/>
    <w:rsid w:val="00653222"/>
    <w:rsid w:val="00691F7C"/>
    <w:rsid w:val="00724BD4"/>
    <w:rsid w:val="007C6E94"/>
    <w:rsid w:val="00E8570D"/>
    <w:rsid w:val="023E3C6A"/>
    <w:rsid w:val="028D5673"/>
    <w:rsid w:val="02C272BB"/>
    <w:rsid w:val="02D346A3"/>
    <w:rsid w:val="038863C7"/>
    <w:rsid w:val="03A9557F"/>
    <w:rsid w:val="04701D1E"/>
    <w:rsid w:val="04C86E57"/>
    <w:rsid w:val="04E034BC"/>
    <w:rsid w:val="05F94BA8"/>
    <w:rsid w:val="06341F34"/>
    <w:rsid w:val="06670E60"/>
    <w:rsid w:val="068727A0"/>
    <w:rsid w:val="07063EDC"/>
    <w:rsid w:val="073835B2"/>
    <w:rsid w:val="076958CF"/>
    <w:rsid w:val="09210464"/>
    <w:rsid w:val="0A2E7496"/>
    <w:rsid w:val="0A466107"/>
    <w:rsid w:val="0A941F2B"/>
    <w:rsid w:val="0AAD73BC"/>
    <w:rsid w:val="0BA10DDD"/>
    <w:rsid w:val="0BDD422F"/>
    <w:rsid w:val="0C425774"/>
    <w:rsid w:val="0DBD0BDC"/>
    <w:rsid w:val="0DE02F17"/>
    <w:rsid w:val="0E550721"/>
    <w:rsid w:val="0EBA46A3"/>
    <w:rsid w:val="0EBB2DAD"/>
    <w:rsid w:val="0F531ACB"/>
    <w:rsid w:val="0F6F4854"/>
    <w:rsid w:val="0F9F0794"/>
    <w:rsid w:val="0FBE1FCA"/>
    <w:rsid w:val="103E486A"/>
    <w:rsid w:val="106D5B52"/>
    <w:rsid w:val="1090350E"/>
    <w:rsid w:val="10944070"/>
    <w:rsid w:val="10A6372F"/>
    <w:rsid w:val="10DA535D"/>
    <w:rsid w:val="10F91F06"/>
    <w:rsid w:val="110D2AFF"/>
    <w:rsid w:val="11DF30C9"/>
    <w:rsid w:val="11F117DD"/>
    <w:rsid w:val="129325F3"/>
    <w:rsid w:val="12FA3B2F"/>
    <w:rsid w:val="13431F92"/>
    <w:rsid w:val="13E11194"/>
    <w:rsid w:val="144A391D"/>
    <w:rsid w:val="149434CF"/>
    <w:rsid w:val="150E5893"/>
    <w:rsid w:val="15133F2C"/>
    <w:rsid w:val="15C3657D"/>
    <w:rsid w:val="163D1F3A"/>
    <w:rsid w:val="16414AC9"/>
    <w:rsid w:val="188C4113"/>
    <w:rsid w:val="191A46EE"/>
    <w:rsid w:val="19647370"/>
    <w:rsid w:val="198548EB"/>
    <w:rsid w:val="19DE1C05"/>
    <w:rsid w:val="1A185E2C"/>
    <w:rsid w:val="1A3C6E09"/>
    <w:rsid w:val="1A657CD8"/>
    <w:rsid w:val="1AA97D25"/>
    <w:rsid w:val="1B87260E"/>
    <w:rsid w:val="1C0C5403"/>
    <w:rsid w:val="1C511068"/>
    <w:rsid w:val="1CB03FE0"/>
    <w:rsid w:val="1CD07137"/>
    <w:rsid w:val="1CF12CD2"/>
    <w:rsid w:val="1D3772E3"/>
    <w:rsid w:val="1D3F5364"/>
    <w:rsid w:val="1D9C6C71"/>
    <w:rsid w:val="1DD02C25"/>
    <w:rsid w:val="1E7E7378"/>
    <w:rsid w:val="1F8615BF"/>
    <w:rsid w:val="1F93095F"/>
    <w:rsid w:val="1FB449F5"/>
    <w:rsid w:val="1FC01B05"/>
    <w:rsid w:val="20220D88"/>
    <w:rsid w:val="202D724A"/>
    <w:rsid w:val="20432E03"/>
    <w:rsid w:val="20CE712B"/>
    <w:rsid w:val="20E701EC"/>
    <w:rsid w:val="2211172D"/>
    <w:rsid w:val="22456F98"/>
    <w:rsid w:val="22A243CB"/>
    <w:rsid w:val="23610B8C"/>
    <w:rsid w:val="241D716E"/>
    <w:rsid w:val="25CC7C14"/>
    <w:rsid w:val="2613091A"/>
    <w:rsid w:val="265909F3"/>
    <w:rsid w:val="26E81DCB"/>
    <w:rsid w:val="27621A0B"/>
    <w:rsid w:val="279E7B84"/>
    <w:rsid w:val="27B103DE"/>
    <w:rsid w:val="285445B2"/>
    <w:rsid w:val="28D24D9C"/>
    <w:rsid w:val="28FE7045"/>
    <w:rsid w:val="2941798C"/>
    <w:rsid w:val="294C5129"/>
    <w:rsid w:val="295C70D0"/>
    <w:rsid w:val="29F603E3"/>
    <w:rsid w:val="2A8F70B0"/>
    <w:rsid w:val="2AE43776"/>
    <w:rsid w:val="2B1D5459"/>
    <w:rsid w:val="2D141CF6"/>
    <w:rsid w:val="2D984126"/>
    <w:rsid w:val="2E0A4375"/>
    <w:rsid w:val="2E6740D2"/>
    <w:rsid w:val="2ED8288A"/>
    <w:rsid w:val="2FBF144F"/>
    <w:rsid w:val="300246FB"/>
    <w:rsid w:val="304C62DA"/>
    <w:rsid w:val="30793AE8"/>
    <w:rsid w:val="30C628C5"/>
    <w:rsid w:val="319B3695"/>
    <w:rsid w:val="31C14777"/>
    <w:rsid w:val="32332253"/>
    <w:rsid w:val="324271A8"/>
    <w:rsid w:val="32B15339"/>
    <w:rsid w:val="333F226C"/>
    <w:rsid w:val="33743305"/>
    <w:rsid w:val="33C26030"/>
    <w:rsid w:val="35201A23"/>
    <w:rsid w:val="35843E04"/>
    <w:rsid w:val="35B540D6"/>
    <w:rsid w:val="361938E0"/>
    <w:rsid w:val="36C144C3"/>
    <w:rsid w:val="388C7CC2"/>
    <w:rsid w:val="38B92676"/>
    <w:rsid w:val="39B20761"/>
    <w:rsid w:val="39F257E0"/>
    <w:rsid w:val="3A1F1997"/>
    <w:rsid w:val="3B096510"/>
    <w:rsid w:val="3B414529"/>
    <w:rsid w:val="3B47240E"/>
    <w:rsid w:val="3B7C2F21"/>
    <w:rsid w:val="3B8A41D3"/>
    <w:rsid w:val="3BC00DC4"/>
    <w:rsid w:val="3C651D50"/>
    <w:rsid w:val="3CF7310E"/>
    <w:rsid w:val="3E042A4C"/>
    <w:rsid w:val="3E103B9E"/>
    <w:rsid w:val="3E2829E9"/>
    <w:rsid w:val="3E5113D8"/>
    <w:rsid w:val="3FB452E6"/>
    <w:rsid w:val="3FBB7F08"/>
    <w:rsid w:val="3FF744E4"/>
    <w:rsid w:val="403D54CD"/>
    <w:rsid w:val="408028ED"/>
    <w:rsid w:val="41212AAF"/>
    <w:rsid w:val="4178455B"/>
    <w:rsid w:val="41B873F1"/>
    <w:rsid w:val="41BB6E00"/>
    <w:rsid w:val="41CF3C5E"/>
    <w:rsid w:val="41ED0CA9"/>
    <w:rsid w:val="41FB71FC"/>
    <w:rsid w:val="426A68F1"/>
    <w:rsid w:val="426B29F2"/>
    <w:rsid w:val="42754E3B"/>
    <w:rsid w:val="42ED38B0"/>
    <w:rsid w:val="442716E3"/>
    <w:rsid w:val="44623B29"/>
    <w:rsid w:val="44CB7E92"/>
    <w:rsid w:val="44D53D34"/>
    <w:rsid w:val="4551727C"/>
    <w:rsid w:val="45E82159"/>
    <w:rsid w:val="460C19D8"/>
    <w:rsid w:val="46767799"/>
    <w:rsid w:val="475036EC"/>
    <w:rsid w:val="476304E5"/>
    <w:rsid w:val="47945AD1"/>
    <w:rsid w:val="48407E8B"/>
    <w:rsid w:val="48491BF4"/>
    <w:rsid w:val="48941C0A"/>
    <w:rsid w:val="48AE683B"/>
    <w:rsid w:val="48F03833"/>
    <w:rsid w:val="4A304D72"/>
    <w:rsid w:val="4ADA08DD"/>
    <w:rsid w:val="4B302190"/>
    <w:rsid w:val="4B832F51"/>
    <w:rsid w:val="4C0D05F0"/>
    <w:rsid w:val="4C6063F0"/>
    <w:rsid w:val="4D237C5B"/>
    <w:rsid w:val="4DB33731"/>
    <w:rsid w:val="4DB34E9F"/>
    <w:rsid w:val="4E040F77"/>
    <w:rsid w:val="4F0478A8"/>
    <w:rsid w:val="4F570614"/>
    <w:rsid w:val="4F7A3E56"/>
    <w:rsid w:val="5051384E"/>
    <w:rsid w:val="50932863"/>
    <w:rsid w:val="50C64757"/>
    <w:rsid w:val="51801680"/>
    <w:rsid w:val="524B7D2C"/>
    <w:rsid w:val="525E7F64"/>
    <w:rsid w:val="528B597C"/>
    <w:rsid w:val="53C77F81"/>
    <w:rsid w:val="550A507F"/>
    <w:rsid w:val="55CE5FAF"/>
    <w:rsid w:val="568D4A8B"/>
    <w:rsid w:val="5787376C"/>
    <w:rsid w:val="57A13C1B"/>
    <w:rsid w:val="58340631"/>
    <w:rsid w:val="584307E1"/>
    <w:rsid w:val="588621CE"/>
    <w:rsid w:val="588927B2"/>
    <w:rsid w:val="58AC03AC"/>
    <w:rsid w:val="58B3037A"/>
    <w:rsid w:val="598F3C15"/>
    <w:rsid w:val="5A1256BA"/>
    <w:rsid w:val="5AB51CCA"/>
    <w:rsid w:val="5AB57322"/>
    <w:rsid w:val="5AB86B82"/>
    <w:rsid w:val="5BC0596D"/>
    <w:rsid w:val="5BE5635E"/>
    <w:rsid w:val="5C03587B"/>
    <w:rsid w:val="5C4805D9"/>
    <w:rsid w:val="5D0240EC"/>
    <w:rsid w:val="5DA53F1B"/>
    <w:rsid w:val="5DC63FF9"/>
    <w:rsid w:val="5F911F6A"/>
    <w:rsid w:val="5FC627A0"/>
    <w:rsid w:val="5FD076A0"/>
    <w:rsid w:val="60CC0666"/>
    <w:rsid w:val="61393910"/>
    <w:rsid w:val="61DA4AD9"/>
    <w:rsid w:val="629D4803"/>
    <w:rsid w:val="62AE498D"/>
    <w:rsid w:val="63D57455"/>
    <w:rsid w:val="63FF44D2"/>
    <w:rsid w:val="64AB0CD1"/>
    <w:rsid w:val="64D84E1A"/>
    <w:rsid w:val="65675ED4"/>
    <w:rsid w:val="65763686"/>
    <w:rsid w:val="6683497C"/>
    <w:rsid w:val="676E5CC7"/>
    <w:rsid w:val="67E14BAB"/>
    <w:rsid w:val="67EE0AE5"/>
    <w:rsid w:val="67F71E56"/>
    <w:rsid w:val="684C44B3"/>
    <w:rsid w:val="68880F3A"/>
    <w:rsid w:val="690F1726"/>
    <w:rsid w:val="6A2D5CB0"/>
    <w:rsid w:val="6B1C704C"/>
    <w:rsid w:val="6BB90159"/>
    <w:rsid w:val="6C111246"/>
    <w:rsid w:val="6C124248"/>
    <w:rsid w:val="6C6B059F"/>
    <w:rsid w:val="6CA00B62"/>
    <w:rsid w:val="6CFE27E3"/>
    <w:rsid w:val="6D274D94"/>
    <w:rsid w:val="6D955447"/>
    <w:rsid w:val="6DD01AB0"/>
    <w:rsid w:val="6DEB139F"/>
    <w:rsid w:val="6E8B3FD1"/>
    <w:rsid w:val="6E9D5013"/>
    <w:rsid w:val="6F4D02A4"/>
    <w:rsid w:val="6FDB7D0C"/>
    <w:rsid w:val="701821FC"/>
    <w:rsid w:val="706B3710"/>
    <w:rsid w:val="706B4417"/>
    <w:rsid w:val="70784F6A"/>
    <w:rsid w:val="70B2470E"/>
    <w:rsid w:val="71817101"/>
    <w:rsid w:val="71943263"/>
    <w:rsid w:val="71B80224"/>
    <w:rsid w:val="720B21A0"/>
    <w:rsid w:val="72775B5D"/>
    <w:rsid w:val="72E163D5"/>
    <w:rsid w:val="730651BF"/>
    <w:rsid w:val="751540E3"/>
    <w:rsid w:val="757762DF"/>
    <w:rsid w:val="76085468"/>
    <w:rsid w:val="764861AD"/>
    <w:rsid w:val="765A1D4D"/>
    <w:rsid w:val="772B58B2"/>
    <w:rsid w:val="77822AD2"/>
    <w:rsid w:val="7846297D"/>
    <w:rsid w:val="791E0B39"/>
    <w:rsid w:val="79487052"/>
    <w:rsid w:val="79517C28"/>
    <w:rsid w:val="79E06FD9"/>
    <w:rsid w:val="7A2B3BCE"/>
    <w:rsid w:val="7AC3206E"/>
    <w:rsid w:val="7ACC3405"/>
    <w:rsid w:val="7AFF6ACD"/>
    <w:rsid w:val="7B436E21"/>
    <w:rsid w:val="7CAA6238"/>
    <w:rsid w:val="7DA02855"/>
    <w:rsid w:val="7DC73E5B"/>
    <w:rsid w:val="7DC73F51"/>
    <w:rsid w:val="7E134C7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0"/>
    <w:pPr>
      <w:spacing w:after="120"/>
    </w:pPr>
  </w:style>
  <w:style w:type="paragraph" w:styleId="7">
    <w:name w:val="Body Text Indent"/>
    <w:basedOn w:val="1"/>
    <w:next w:val="8"/>
    <w:link w:val="36"/>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Plain Text"/>
    <w:basedOn w:val="1"/>
    <w:link w:val="37"/>
    <w:autoRedefine/>
    <w:qFormat/>
    <w:uiPriority w:val="0"/>
    <w:rPr>
      <w:rFonts w:ascii="宋体" w:hAnsi="Courier New"/>
      <w:szCs w:val="20"/>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styleId="13">
    <w:name w:val="toc 1"/>
    <w:basedOn w:val="1"/>
    <w:next w:val="1"/>
    <w:autoRedefine/>
    <w:qFormat/>
    <w:uiPriority w:val="0"/>
  </w:style>
  <w:style w:type="paragraph" w:styleId="14">
    <w:name w:val="footnote text"/>
    <w:basedOn w:val="1"/>
    <w:autoRedefine/>
    <w:unhideWhenUsed/>
    <w:qFormat/>
    <w:uiPriority w:val="0"/>
    <w:pPr>
      <w:snapToGrid w:val="0"/>
      <w:jc w:val="left"/>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autoRedefine/>
    <w:qFormat/>
    <w:uiPriority w:val="0"/>
    <w:pPr>
      <w:tabs>
        <w:tab w:val="left" w:pos="450"/>
      </w:tabs>
      <w:ind w:left="450" w:hanging="450"/>
      <w:jc w:val="center"/>
    </w:pPr>
    <w:rPr>
      <w:rFonts w:ascii="黑体" w:eastAsia="黑体"/>
      <w:sz w:val="32"/>
      <w:szCs w:val="20"/>
    </w:rPr>
  </w:style>
  <w:style w:type="paragraph" w:styleId="17">
    <w:name w:val="Body Text First Indent"/>
    <w:basedOn w:val="6"/>
    <w:autoRedefine/>
    <w:qFormat/>
    <w:uiPriority w:val="99"/>
    <w:pPr>
      <w:ind w:firstLine="420" w:firstLineChars="100"/>
    </w:pPr>
  </w:style>
  <w:style w:type="paragraph" w:styleId="18">
    <w:name w:val="Body Text First Indent 2"/>
    <w:basedOn w:val="7"/>
    <w:next w:val="1"/>
    <w:autoRedefine/>
    <w:qFormat/>
    <w:uiPriority w:val="0"/>
    <w:pPr>
      <w:ind w:firstLine="420" w:firstLineChars="200"/>
    </w:pPr>
    <w:rPr>
      <w:rFonts w:ascii="Calibri" w:hAnsi="Calibri"/>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qFormat/>
    <w:uiPriority w:val="0"/>
    <w:rPr>
      <w:color w:val="555555"/>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autoRedefine/>
    <w:qFormat/>
    <w:uiPriority w:val="0"/>
  </w:style>
  <w:style w:type="character" w:styleId="29">
    <w:name w:val="footnote reference"/>
    <w:autoRedefine/>
    <w:unhideWhenUsed/>
    <w:qFormat/>
    <w:uiPriority w:val="0"/>
    <w:rPr>
      <w:vertAlign w:val="superscript"/>
    </w:rPr>
  </w:style>
  <w:style w:type="paragraph" w:customStyle="1" w:styleId="30">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character" w:customStyle="1" w:styleId="32">
    <w:name w:val="font61"/>
    <w:basedOn w:val="21"/>
    <w:autoRedefine/>
    <w:qFormat/>
    <w:uiPriority w:val="0"/>
    <w:rPr>
      <w:rFonts w:hint="eastAsia" w:ascii="宋体" w:hAnsi="宋体" w:eastAsia="宋体" w:cs="宋体"/>
      <w:color w:val="000000"/>
      <w:sz w:val="20"/>
      <w:szCs w:val="20"/>
      <w:u w:val="none"/>
    </w:rPr>
  </w:style>
  <w:style w:type="character" w:customStyle="1" w:styleId="33">
    <w:name w:val="font141"/>
    <w:basedOn w:val="21"/>
    <w:autoRedefine/>
    <w:qFormat/>
    <w:uiPriority w:val="0"/>
    <w:rPr>
      <w:rFonts w:hint="eastAsia" w:ascii="宋体" w:hAnsi="宋体" w:eastAsia="宋体" w:cs="宋体"/>
      <w:color w:val="000000"/>
      <w:sz w:val="24"/>
      <w:szCs w:val="24"/>
      <w:u w:val="none"/>
      <w:vertAlign w:val="superscript"/>
    </w:rPr>
  </w:style>
  <w:style w:type="paragraph" w:customStyle="1" w:styleId="34">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5">
    <w:name w:val="List Paragraph"/>
    <w:basedOn w:val="1"/>
    <w:autoRedefine/>
    <w:qFormat/>
    <w:uiPriority w:val="1"/>
    <w:pPr>
      <w:ind w:left="235" w:hanging="527"/>
    </w:pPr>
    <w:rPr>
      <w:rFonts w:ascii="宋体" w:hAnsi="宋体" w:eastAsia="宋体" w:cs="宋体"/>
      <w:lang w:val="zh-CN" w:eastAsia="zh-CN" w:bidi="zh-CN"/>
    </w:rPr>
  </w:style>
  <w:style w:type="character" w:customStyle="1" w:styleId="36">
    <w:name w:val="正文文本缩进 Char"/>
    <w:link w:val="7"/>
    <w:autoRedefine/>
    <w:qFormat/>
    <w:uiPriority w:val="0"/>
  </w:style>
  <w:style w:type="character" w:customStyle="1" w:styleId="37">
    <w:name w:val="纯文本 Char"/>
    <w:link w:val="9"/>
    <w:autoRedefine/>
    <w:qFormat/>
    <w:uiPriority w:val="0"/>
    <w:rPr>
      <w:rFonts w:ascii="宋体" w:hAnsi="Courier New"/>
      <w:szCs w:val="20"/>
    </w:rPr>
  </w:style>
  <w:style w:type="paragraph" w:customStyle="1" w:styleId="38">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9">
    <w:name w:val="Table Paragraph"/>
    <w:basedOn w:val="1"/>
    <w:autoRedefine/>
    <w:qFormat/>
    <w:uiPriority w:val="1"/>
    <w:rPr>
      <w:rFonts w:ascii="宋体" w:hAnsi="宋体" w:eastAsia="宋体" w:cs="宋体"/>
    </w:rPr>
  </w:style>
  <w:style w:type="table" w:customStyle="1" w:styleId="40">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11"/>
    <w:basedOn w:val="21"/>
    <w:autoRedefine/>
    <w:qFormat/>
    <w:uiPriority w:val="0"/>
    <w:rPr>
      <w:rFonts w:hint="eastAsia" w:ascii="宋体" w:hAnsi="宋体" w:eastAsia="宋体" w:cs="宋体"/>
      <w:color w:val="000000"/>
      <w:sz w:val="18"/>
      <w:szCs w:val="18"/>
      <w:u w:val="none"/>
    </w:rPr>
  </w:style>
  <w:style w:type="character" w:customStyle="1" w:styleId="43">
    <w:name w:val="font21"/>
    <w:basedOn w:val="21"/>
    <w:autoRedefine/>
    <w:qFormat/>
    <w:uiPriority w:val="0"/>
    <w:rPr>
      <w:rFonts w:hint="default" w:ascii="Times New Roman" w:hAnsi="Times New Roman" w:cs="Times New Roman"/>
      <w:color w:val="000000"/>
      <w:sz w:val="18"/>
      <w:szCs w:val="18"/>
      <w:u w:val="none"/>
    </w:rPr>
  </w:style>
  <w:style w:type="character" w:customStyle="1" w:styleId="44">
    <w:name w:val="font31"/>
    <w:basedOn w:val="21"/>
    <w:autoRedefine/>
    <w:qFormat/>
    <w:uiPriority w:val="0"/>
    <w:rPr>
      <w:rFonts w:hint="eastAsia" w:ascii="宋体" w:hAnsi="宋体" w:eastAsia="宋体" w:cs="宋体"/>
      <w:color w:val="000000"/>
      <w:sz w:val="21"/>
      <w:szCs w:val="21"/>
      <w:u w:val="none"/>
    </w:rPr>
  </w:style>
  <w:style w:type="character" w:customStyle="1" w:styleId="45">
    <w:name w:val="font41"/>
    <w:basedOn w:val="21"/>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19721</Words>
  <Characters>20662</Characters>
  <Lines>180</Lines>
  <Paragraphs>50</Paragraphs>
  <TotalTime>40</TotalTime>
  <ScaleCrop>false</ScaleCrop>
  <LinksUpToDate>false</LinksUpToDate>
  <CharactersWithSpaces>28010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2024-03-04T01:12:00Z</cp:lastPrinted>
  <dcterms:modified xsi:type="dcterms:W3CDTF">2024-03-05T07:02:46Z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AEF0CBFE02284FA3AF716C3B0B9ECD83_13</vt:lpwstr>
  </property>
</Properties>
</file>