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合肥至周口高速公路寿县（保义）至颍上（南照）段铝板材料采购项目</w:t>
      </w:r>
    </w:p>
    <w:p>
      <w:pPr>
        <w:pStyle w:val="8"/>
        <w:rPr>
          <w:rFonts w:ascii="Times New Roman" w:hAnsi="Times New Roman" w:cs="Times New Roman"/>
          <w:szCs w:val="21"/>
          <w:highlight w:val="none"/>
        </w:rPr>
      </w:pPr>
    </w:p>
    <w:p>
      <w:pPr>
        <w:pStyle w:val="8"/>
        <w:rPr>
          <w:rFonts w:ascii="Times New Roman" w:hAnsi="Times New Roman" w:cs="Times New Roman"/>
          <w:szCs w:val="21"/>
          <w:highlight w:val="none"/>
        </w:rPr>
      </w:pPr>
    </w:p>
    <w:p>
      <w:pPr>
        <w:pStyle w:val="8"/>
        <w:rPr>
          <w:rFonts w:ascii="Times New Roman" w:hAnsi="Times New Roman" w:cs="Times New Roman"/>
          <w:szCs w:val="21"/>
          <w:highlight w:val="none"/>
        </w:rPr>
      </w:pPr>
    </w:p>
    <w:p>
      <w:pPr>
        <w:pStyle w:val="9"/>
        <w:rPr>
          <w:rFonts w:ascii="Times New Roman" w:hAnsi="Times New Roman" w:cs="Times New Roman"/>
          <w:szCs w:val="21"/>
          <w:highlight w:val="none"/>
        </w:rPr>
      </w:pPr>
    </w:p>
    <w:p>
      <w:pPr>
        <w:jc w:val="center"/>
        <w:rPr>
          <w:rFonts w:hint="eastAsia" w:ascii="Times New Roman" w:hAnsi="Times New Roman" w:eastAsia="黑体" w:cs="Times New Roman"/>
          <w:sz w:val="72"/>
          <w:szCs w:val="72"/>
          <w:highlight w:val="none"/>
          <w:lang w:eastAsia="zh-CN"/>
        </w:rPr>
      </w:pPr>
      <w:r>
        <w:rPr>
          <w:rFonts w:ascii="Times New Roman" w:hAnsi="Times New Roman" w:eastAsia="黑体" w:cs="Times New Roman"/>
          <w:sz w:val="72"/>
          <w:szCs w:val="72"/>
          <w:highlight w:val="none"/>
        </w:rPr>
        <w:t>询  比  文  件</w:t>
      </w: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640"/>
        <w:rPr>
          <w:rFonts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Times New Roman" w:hAnsi="Times New Roman" w:eastAsia="黑体" w:cs="Times New Roman"/>
          <w:sz w:val="32"/>
          <w:szCs w:val="32"/>
          <w:highlight w:val="none"/>
          <w:u w:val="single"/>
          <w:lang w:eastAsia="zh-CN"/>
        </w:rPr>
      </w:pPr>
      <w:r>
        <w:rPr>
          <w:rFonts w:ascii="Times New Roman" w:hAnsi="Times New Roman" w:eastAsia="黑体" w:cs="Times New Roman"/>
          <w:sz w:val="32"/>
          <w:szCs w:val="32"/>
          <w:highlight w:val="none"/>
        </w:rPr>
        <w:t>采</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购</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人：</w:t>
      </w:r>
      <w:r>
        <w:rPr>
          <w:rFonts w:hint="eastAsia" w:ascii="Times New Roman" w:hAnsi="Times New Roman" w:eastAsia="黑体" w:cs="Times New Roman"/>
          <w:sz w:val="32"/>
          <w:szCs w:val="32"/>
          <w:highlight w:val="none"/>
          <w:u w:val="single"/>
        </w:rPr>
        <w:t>安徽省经工物资有限公司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highlight w:val="none"/>
          <w:lang w:val="en-US" w:eastAsia="zh-CN"/>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2024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3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highlight w:val="none"/>
        </w:rPr>
      </w:pPr>
    </w:p>
    <w:p>
      <w:pPr>
        <w:snapToGrid w:val="0"/>
        <w:ind w:firstLine="1920" w:firstLineChars="600"/>
        <w:rPr>
          <w:rFonts w:hint="eastAsia" w:ascii="Times New Roman" w:hAnsi="Times New Roman" w:cs="Times New Roman" w:eastAsiaTheme="minorEastAsia"/>
          <w:sz w:val="32"/>
          <w:szCs w:val="32"/>
          <w:highlight w:val="none"/>
          <w:lang w:val="en-US" w:eastAsia="zh-CN"/>
        </w:rPr>
      </w:pPr>
      <w:r>
        <w:rPr>
          <w:rFonts w:hint="eastAsia" w:ascii="Times New Roman" w:hAnsi="Times New Roman" w:cs="Times New Roman"/>
          <w:sz w:val="32"/>
          <w:szCs w:val="32"/>
          <w:highlight w:val="none"/>
          <w:lang w:val="en-US" w:eastAsia="zh-CN"/>
        </w:rPr>
        <w:t xml:space="preserve"> </w:t>
      </w:r>
    </w:p>
    <w:p>
      <w:pPr>
        <w:ind w:left="1896" w:leftChars="903"/>
        <w:rPr>
          <w:rFonts w:ascii="Times New Roman" w:hAnsi="Times New Roman" w:eastAsia="宋体" w:cs="Times New Roman"/>
          <w:sz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highlight w:val="none"/>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TOC \o "1-1" \h \u </w:instrText>
          </w:r>
          <w:r>
            <w:rPr>
              <w:rFonts w:ascii="宋体" w:hAnsi="宋体" w:eastAsia="宋体"/>
              <w:highlight w:val="none"/>
            </w:rPr>
            <w:fldChar w:fldCharType="separate"/>
          </w:r>
          <w:r>
            <w:rPr>
              <w:rFonts w:ascii="宋体" w:hAnsi="宋体" w:eastAsia="宋体"/>
              <w:highlight w:val="none"/>
            </w:rPr>
            <w:fldChar w:fldCharType="begin"/>
          </w:r>
          <w:r>
            <w:rPr>
              <w:rFonts w:ascii="宋体" w:hAnsi="宋体" w:eastAsia="宋体"/>
              <w:highlight w:val="none"/>
            </w:rPr>
            <w:instrText xml:space="preserve"> HYPERLINK \l _Toc13477 </w:instrText>
          </w:r>
          <w:r>
            <w:rPr>
              <w:rFonts w:ascii="宋体" w:hAnsi="宋体" w:eastAsia="宋体"/>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_Toc13477 \h </w:instrText>
          </w:r>
          <w:r>
            <w:fldChar w:fldCharType="separate"/>
          </w:r>
          <w:r>
            <w:t>3</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_Toc1355 </w:instrText>
          </w:r>
          <w:r>
            <w:rPr>
              <w:rFonts w:ascii="宋体" w:hAnsi="宋体" w:eastAsia="宋体"/>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_Toc1355 \h </w:instrText>
          </w:r>
          <w:r>
            <w:fldChar w:fldCharType="separate"/>
          </w:r>
          <w:r>
            <w:t>6</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_Toc18085 </w:instrText>
          </w:r>
          <w:r>
            <w:rPr>
              <w:rFonts w:ascii="宋体" w:hAnsi="宋体" w:eastAsia="宋体"/>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_Toc18085 \h </w:instrText>
          </w:r>
          <w:r>
            <w:fldChar w:fldCharType="separate"/>
          </w:r>
          <w:r>
            <w:t>17</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_Toc3624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_Toc3624 \h </w:instrText>
          </w:r>
          <w:r>
            <w:fldChar w:fldCharType="separate"/>
          </w:r>
          <w:r>
            <w:t>24</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_Toc25756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第五章 </w:t>
          </w:r>
          <w:r>
            <w:rPr>
              <w:rFonts w:hint="eastAsia" w:ascii="Times New Roman" w:hAnsi="Times New Roman" w:eastAsia="宋体" w:cs="Times New Roman"/>
              <w:highlight w:val="none"/>
              <w:lang w:eastAsia="zh-CN"/>
            </w:rPr>
            <w:t>工程量清单</w:t>
          </w:r>
          <w:r>
            <w:tab/>
          </w:r>
          <w:r>
            <w:fldChar w:fldCharType="begin"/>
          </w:r>
          <w:r>
            <w:instrText xml:space="preserve"> PAGEREF _Toc25756 \h </w:instrText>
          </w:r>
          <w:r>
            <w:fldChar w:fldCharType="separate"/>
          </w:r>
          <w:r>
            <w:t>37</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_Toc11058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第六章 响应文件格式</w:t>
          </w:r>
          <w:r>
            <w:tab/>
          </w:r>
          <w:r>
            <w:fldChar w:fldCharType="begin"/>
          </w:r>
          <w:r>
            <w:instrText xml:space="preserve"> PAGEREF _Toc11058 \h </w:instrText>
          </w:r>
          <w:r>
            <w:fldChar w:fldCharType="separate"/>
          </w:r>
          <w:r>
            <w:t>37</w:t>
          </w:r>
          <w:r>
            <w:fldChar w:fldCharType="end"/>
          </w:r>
          <w:r>
            <w:rPr>
              <w:rFonts w:ascii="宋体" w:hAnsi="宋体" w:eastAsia="宋体"/>
              <w:highlight w:val="none"/>
            </w:rPr>
            <w:fldChar w:fldCharType="end"/>
          </w:r>
        </w:p>
        <w:p>
          <w:pPr>
            <w:jc w:val="center"/>
            <w:rPr>
              <w:rFonts w:ascii="宋体" w:hAnsi="宋体" w:eastAsia="宋体"/>
              <w:highlight w:val="none"/>
            </w:rPr>
          </w:pPr>
          <w:r>
            <w:rPr>
              <w:rFonts w:ascii="宋体" w:hAnsi="宋体" w:eastAsia="宋体"/>
              <w:highlight w:val="none"/>
            </w:rPr>
            <w:fldChar w:fldCharType="end"/>
          </w:r>
        </w:p>
      </w:sdtContent>
    </w:sdt>
    <w:p>
      <w:pPr>
        <w:jc w:val="center"/>
        <w:rPr>
          <w:rFonts w:ascii="宋体" w:hAnsi="宋体" w:eastAsia="宋体"/>
          <w:highlight w:val="none"/>
        </w:rPr>
      </w:pPr>
    </w:p>
    <w:p>
      <w:pPr>
        <w:pStyle w:val="3"/>
        <w:numPr>
          <w:ilvl w:val="0"/>
          <w:numId w:val="0"/>
        </w:numPr>
        <w:spacing w:before="312" w:after="312"/>
        <w:ind w:leftChars="0"/>
        <w:jc w:val="both"/>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r>
        <w:rPr>
          <w:rFonts w:hint="eastAsia" w:ascii="Times New Roman" w:hAnsi="Times New Roman" w:eastAsia="宋体" w:cs="Times New Roman"/>
          <w:highlight w:val="none"/>
          <w:lang w:val="en-US" w:eastAsia="zh-CN"/>
        </w:rPr>
        <w:t xml:space="preserve">  </w:t>
      </w:r>
    </w:p>
    <w:p>
      <w:pPr>
        <w:pStyle w:val="3"/>
        <w:spacing w:before="312" w:after="312"/>
        <w:rPr>
          <w:rFonts w:ascii="Times New Roman" w:hAnsi="Times New Roman" w:eastAsia="宋体" w:cs="Times New Roman"/>
          <w:highlight w:val="none"/>
        </w:rPr>
      </w:pPr>
      <w:bookmarkStart w:id="0" w:name="_Toc13477"/>
      <w:bookmarkStart w:id="1" w:name="_Toc15005"/>
      <w:r>
        <w:rPr>
          <w:rFonts w:ascii="Times New Roman" w:hAnsi="Times New Roman" w:eastAsia="宋体" w:cs="Times New Roman"/>
          <w:highlight w:val="none"/>
        </w:rPr>
        <w:t>采购公告</w:t>
      </w:r>
      <w:bookmarkEnd w:id="0"/>
      <w:bookmarkEnd w:id="1"/>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2" w:name="_Toc4489_WPSOffice_Level2"/>
      <w:bookmarkStart w:id="3" w:name="_Toc525632585"/>
      <w:bookmarkStart w:id="4" w:name="_Toc24354_WPSOffice_Level2"/>
      <w:bookmarkStart w:id="5" w:name="_Toc13871"/>
      <w:bookmarkStart w:id="6" w:name="_Toc10395_WPSOffice_Level2"/>
      <w:bookmarkStart w:id="7" w:name="_Toc6496_WPSOffice_Level2"/>
      <w:bookmarkStart w:id="8" w:name="_Toc12765"/>
      <w:r>
        <w:rPr>
          <w:rFonts w:ascii="Times New Roman" w:hAnsi="Times New Roman" w:eastAsia="黑体" w:cs="Times New Roman"/>
          <w:b w:val="0"/>
          <w:sz w:val="22"/>
          <w:szCs w:val="15"/>
          <w:highlight w:val="none"/>
        </w:rPr>
        <w:t>项目简介</w:t>
      </w:r>
      <w:bookmarkEnd w:id="2"/>
      <w:bookmarkEnd w:id="3"/>
      <w:bookmarkEnd w:id="4"/>
      <w:bookmarkEnd w:id="5"/>
      <w:bookmarkEnd w:id="6"/>
      <w:bookmarkEnd w:id="7"/>
      <w:bookmarkEnd w:id="8"/>
    </w:p>
    <w:p>
      <w:pPr>
        <w:widowControl/>
        <w:ind w:firstLine="420" w:firstLineChars="200"/>
        <w:jc w:val="both"/>
        <w:rPr>
          <w:rFonts w:hint="default" w:ascii="Times New Roman" w:hAnsi="Times New Roman" w:eastAsia="宋体" w:cs="Times New Roman"/>
          <w:sz w:val="32"/>
          <w:szCs w:val="32"/>
          <w:highlight w:val="none"/>
          <w:u w:val="none"/>
          <w:lang w:val="en-US" w:eastAsia="zh-CN"/>
        </w:rPr>
      </w:pPr>
      <w:r>
        <w:rPr>
          <w:rFonts w:hint="eastAsia" w:ascii="宋体" w:hAnsi="宋体" w:eastAsia="宋体" w:cs="宋体"/>
          <w:szCs w:val="21"/>
          <w:highlight w:val="none"/>
          <w:lang w:val="en-US" w:eastAsia="zh-CN"/>
        </w:rPr>
        <w:t>1.1项目名称：</w:t>
      </w:r>
      <w:r>
        <w:rPr>
          <w:rFonts w:hint="eastAsia" w:ascii="宋体" w:hAnsi="宋体" w:eastAsia="宋体" w:cs="宋体"/>
          <w:sz w:val="21"/>
          <w:szCs w:val="21"/>
          <w:highlight w:val="none"/>
          <w:u w:val="single"/>
          <w:lang w:val="en-US" w:eastAsia="zh-CN"/>
        </w:rPr>
        <w:t>合肥至周口高速公路寿县（保义）至颍上（南照）段铝板材料采购项目</w:t>
      </w:r>
    </w:p>
    <w:p>
      <w:pPr>
        <w:snapToGrid w:val="0"/>
        <w:spacing w:line="440" w:lineRule="exact"/>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1.2 采 购 人：</w:t>
      </w:r>
      <w:r>
        <w:rPr>
          <w:rFonts w:hint="eastAsia" w:ascii="宋体" w:hAnsi="宋体" w:eastAsia="宋体" w:cs="宋体"/>
          <w:sz w:val="21"/>
          <w:szCs w:val="21"/>
          <w:highlight w:val="none"/>
          <w:u w:val="single"/>
        </w:rPr>
        <w:t xml:space="preserve"> 安徽省经工物资有限公司</w:t>
      </w:r>
      <w:r>
        <w:rPr>
          <w:rFonts w:hint="eastAsia" w:ascii="宋体" w:hAnsi="宋体" w:eastAsia="宋体" w:cs="宋体"/>
          <w:sz w:val="21"/>
          <w:szCs w:val="21"/>
          <w:highlight w:val="none"/>
          <w:u w:val="single"/>
          <w:lang w:val="en-US" w:eastAsia="zh-CN"/>
        </w:rPr>
        <w:t xml:space="preserve">  </w:t>
      </w:r>
    </w:p>
    <w:p>
      <w:pPr>
        <w:keepNext w:val="0"/>
        <w:keepLines w:val="0"/>
        <w:widowControl/>
        <w:suppressLineNumbers w:val="0"/>
        <w:ind w:firstLine="420" w:firstLineChars="200"/>
        <w:jc w:val="left"/>
        <w:rPr>
          <w:rFonts w:hint="eastAsia" w:ascii="仿宋_GB2312" w:hAnsi="仿宋" w:eastAsia="仿宋_GB2312"/>
          <w:szCs w:val="21"/>
          <w:highlight w:val="none"/>
          <w:u w:val="none"/>
          <w:lang w:eastAsia="zh-CN"/>
        </w:rPr>
      </w:pPr>
      <w:r>
        <w:rPr>
          <w:rFonts w:hint="eastAsia" w:ascii="宋体" w:hAnsi="宋体" w:eastAsia="宋体" w:cs="宋体"/>
          <w:sz w:val="21"/>
          <w:szCs w:val="21"/>
          <w:highlight w:val="none"/>
        </w:rPr>
        <w:t>1.3 项目概况：合肥至周口高速公路寿县（保义）至颍上（南照）段铝板材料采购项目</w:t>
      </w:r>
      <w:r>
        <w:rPr>
          <w:rFonts w:hint="eastAsia" w:ascii="宋体" w:hAnsi="宋体" w:eastAsia="宋体" w:cs="宋体"/>
          <w:sz w:val="21"/>
          <w:szCs w:val="21"/>
          <w:highlight w:val="none"/>
          <w:u w:val="single"/>
          <w:lang w:val="en-US" w:eastAsia="zh-CN"/>
        </w:rPr>
        <w:t>，具体规格详见第五章工程量清单。</w:t>
      </w:r>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9" w:name="_Toc525632586"/>
      <w:bookmarkStart w:id="10" w:name="_Toc8128_WPSOffice_Level2"/>
      <w:bookmarkStart w:id="11" w:name="_Toc18367_WPSOffice_Level2"/>
      <w:bookmarkStart w:id="12" w:name="_Toc17858_WPSOffice_Level2"/>
      <w:bookmarkStart w:id="13" w:name="_Toc10274"/>
      <w:bookmarkStart w:id="14" w:name="_Toc18453"/>
      <w:bookmarkStart w:id="15" w:name="_Toc23266_WPSOffice_Level2"/>
      <w:r>
        <w:rPr>
          <w:rFonts w:ascii="Times New Roman" w:hAnsi="Times New Roman" w:eastAsia="黑体" w:cs="Times New Roman"/>
          <w:b w:val="0"/>
          <w:sz w:val="22"/>
          <w:szCs w:val="15"/>
          <w:highlight w:val="none"/>
        </w:rPr>
        <w:t>采购说明</w:t>
      </w:r>
      <w:bookmarkEnd w:id="9"/>
      <w:bookmarkEnd w:id="10"/>
      <w:bookmarkEnd w:id="11"/>
      <w:bookmarkEnd w:id="12"/>
      <w:bookmarkEnd w:id="13"/>
      <w:bookmarkEnd w:id="14"/>
      <w:bookmarkEnd w:id="15"/>
    </w:p>
    <w:p>
      <w:pPr>
        <w:snapToGrid w:val="0"/>
        <w:spacing w:line="440" w:lineRule="exact"/>
        <w:ind w:firstLine="420" w:firstLineChars="200"/>
        <w:rPr>
          <w:rFonts w:hint="default" w:ascii="宋体" w:hAnsi="宋体" w:eastAsia="宋体" w:cs="宋体"/>
          <w:szCs w:val="21"/>
          <w:highlight w:val="none"/>
          <w:u w:val="single"/>
          <w:lang w:val="en-US" w:eastAsia="zh-CN"/>
        </w:rPr>
      </w:pPr>
      <w:bookmarkStart w:id="16" w:name="_Toc4489_WPSOffice_Level3"/>
      <w:r>
        <w:rPr>
          <w:rFonts w:hint="eastAsia" w:ascii="宋体" w:hAnsi="宋体" w:eastAsia="宋体" w:cs="宋体"/>
          <w:szCs w:val="21"/>
          <w:highlight w:val="none"/>
        </w:rPr>
        <w:t>2.1 采购方式：</w:t>
      </w:r>
      <w:bookmarkEnd w:id="16"/>
      <w:r>
        <w:rPr>
          <w:rFonts w:hint="eastAsia" w:ascii="宋体" w:hAnsi="宋体" w:eastAsia="宋体" w:cs="宋体"/>
          <w:szCs w:val="21"/>
          <w:highlight w:val="none"/>
          <w:u w:val="single"/>
          <w:lang w:val="en-US" w:eastAsia="zh-CN"/>
        </w:rPr>
        <w:t xml:space="preserve">  询比采购   </w:t>
      </w:r>
    </w:p>
    <w:p>
      <w:pPr>
        <w:snapToGrid w:val="0"/>
        <w:spacing w:line="440" w:lineRule="exact"/>
        <w:ind w:firstLine="420" w:firstLineChars="200"/>
        <w:rPr>
          <w:rFonts w:hint="eastAsia" w:ascii="宋体" w:hAnsi="宋体" w:eastAsia="宋体" w:cs="宋体"/>
          <w:szCs w:val="21"/>
          <w:highlight w:val="none"/>
        </w:rPr>
      </w:pPr>
      <w:bookmarkStart w:id="17" w:name="_Toc23266_WPSOffice_Level3"/>
      <w:r>
        <w:rPr>
          <w:rFonts w:hint="eastAsia" w:ascii="宋体" w:hAnsi="宋体" w:eastAsia="宋体" w:cs="宋体"/>
          <w:szCs w:val="21"/>
          <w:highlight w:val="none"/>
        </w:rPr>
        <w:t>2.2 资金来源及比例：</w:t>
      </w:r>
      <w:bookmarkEnd w:id="17"/>
      <w:bookmarkStart w:id="18" w:name="_Toc22379_WPSOffice_Level3"/>
      <w:r>
        <w:rPr>
          <w:rFonts w:hint="eastAsia" w:ascii="宋体" w:hAnsi="宋体" w:eastAsia="宋体" w:cs="宋体"/>
          <w:szCs w:val="21"/>
          <w:highlight w:val="none"/>
          <w:u w:val="single"/>
        </w:rPr>
        <w:t>100%来自企业自筹</w:t>
      </w:r>
    </w:p>
    <w:p>
      <w:pPr>
        <w:snapToGrid w:val="0"/>
        <w:spacing w:line="44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 采购范围：</w:t>
      </w:r>
      <w:r>
        <w:rPr>
          <w:rFonts w:hint="eastAsia" w:ascii="宋体" w:hAnsi="宋体" w:eastAsia="宋体" w:cs="宋体"/>
          <w:sz w:val="21"/>
          <w:szCs w:val="21"/>
          <w:highlight w:val="none"/>
          <w:u w:val="single"/>
          <w:lang w:val="en-US" w:eastAsia="zh-CN"/>
        </w:rPr>
        <w:t>合肥至周口高速公路寿县（保义）至颍上（南照）段铝板材料采购项目，具体规格详见第五章工程量清单。</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 w:val="21"/>
          <w:szCs w:val="21"/>
          <w:highlight w:val="none"/>
          <w:u w:val="none"/>
          <w:lang w:val="en-US" w:eastAsia="zh-CN"/>
        </w:rPr>
        <w:t>2.4 推荐品牌范围：</w:t>
      </w:r>
      <w:r>
        <w:rPr>
          <w:rFonts w:hint="eastAsia" w:ascii="宋体" w:hAnsi="宋体" w:eastAsia="宋体" w:cs="宋体"/>
          <w:sz w:val="21"/>
          <w:szCs w:val="21"/>
          <w:highlight w:val="none"/>
          <w:u w:val="single"/>
          <w:lang w:val="en-US" w:eastAsia="zh-CN"/>
        </w:rPr>
        <w:t xml:space="preserve">    无 。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 xml:space="preserve"> 2个包；</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Times New Roman" w:hAnsi="Times New Roman" w:cs="Times New Roman"/>
          <w:b/>
          <w:bCs/>
          <w:color w:val="auto"/>
          <w:szCs w:val="22"/>
          <w:highlight w:val="none"/>
          <w:u w:val="single"/>
          <w:lang w:val="en-US" w:eastAsia="zh-CN"/>
        </w:rPr>
        <w:t>注：本项目中不同的标段,供应商均可以参与。多标段的成交原则：一家供应商只允许承接一个标段，如果某一供应商同时在两个标段排名第一，以综合优惠率低的做为成交标段。</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最高限价：</w:t>
      </w:r>
      <w:bookmarkEnd w:id="18"/>
      <w:r>
        <w:rPr>
          <w:rFonts w:hint="eastAsia" w:ascii="宋体" w:hAnsi="宋体" w:eastAsia="宋体" w:cs="宋体"/>
          <w:szCs w:val="21"/>
          <w:highlight w:val="none"/>
          <w:u w:val="single"/>
          <w:lang w:val="en-US" w:eastAsia="zh-CN"/>
        </w:rPr>
        <w:t xml:space="preserve"> 01包段113万元 ；02包段81万元 （01包段八里河服务区；02包段银河服务区）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供货周期</w:t>
      </w:r>
      <w:r>
        <w:rPr>
          <w:rFonts w:hint="eastAsia" w:ascii="宋体" w:hAnsi="宋体" w:eastAsia="宋体" w:cs="宋体"/>
          <w:szCs w:val="21"/>
          <w:highlight w:val="none"/>
        </w:rPr>
        <w:t>：</w:t>
      </w:r>
      <w:r>
        <w:rPr>
          <w:rFonts w:hint="eastAsia" w:ascii="宋体" w:hAnsi="宋体" w:eastAsia="宋体" w:cs="宋体"/>
          <w:szCs w:val="21"/>
          <w:highlight w:val="none"/>
          <w:u w:val="single"/>
          <w:lang w:val="en-US" w:eastAsia="zh-CN"/>
        </w:rPr>
        <w:t>暂定 20 天，</w:t>
      </w:r>
      <w:r>
        <w:rPr>
          <w:rFonts w:hint="eastAsia" w:ascii="Times New Roman" w:hAnsi="Times New Roman" w:eastAsia="宋体" w:cs="Times New Roman"/>
          <w:szCs w:val="22"/>
          <w:highlight w:val="none"/>
          <w:u w:val="single"/>
          <w:lang w:val="en-US" w:eastAsia="zh-CN"/>
        </w:rPr>
        <w:t>具体</w:t>
      </w:r>
      <w:r>
        <w:rPr>
          <w:rFonts w:hint="eastAsia" w:ascii="Times New Roman" w:hAnsi="Times New Roman" w:cs="Times New Roman"/>
          <w:szCs w:val="22"/>
          <w:highlight w:val="none"/>
          <w:u w:val="single"/>
        </w:rPr>
        <w:t>根据实际情况安排进度</w:t>
      </w:r>
      <w:r>
        <w:rPr>
          <w:rFonts w:hint="eastAsia" w:ascii="宋体" w:hAnsi="宋体" w:eastAsia="宋体" w:cs="宋体"/>
          <w:sz w:val="21"/>
          <w:szCs w:val="21"/>
          <w:highlight w:val="none"/>
          <w:u w:val="none"/>
          <w:lang w:val="en-US"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19" w:name="_Toc1622_WPSOffice_Level2"/>
      <w:bookmarkStart w:id="20" w:name="_Toc31673_WPSOffice_Level2"/>
      <w:bookmarkStart w:id="21" w:name="_Toc29516_WPSOffice_Level2"/>
      <w:bookmarkStart w:id="22" w:name="_Toc3714"/>
      <w:bookmarkStart w:id="23" w:name="_Toc6388"/>
      <w:bookmarkStart w:id="24" w:name="_Toc525632587"/>
      <w:bookmarkStart w:id="25" w:name="_Toc22379_WPSOffice_Level2"/>
      <w:r>
        <w:rPr>
          <w:rFonts w:ascii="Times New Roman" w:hAnsi="Times New Roman" w:eastAsia="黑体" w:cs="Times New Roman"/>
          <w:b w:val="0"/>
          <w:sz w:val="22"/>
          <w:szCs w:val="15"/>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color w:val="auto"/>
          <w:sz w:val="22"/>
          <w:szCs w:val="15"/>
          <w:highlight w:val="none"/>
          <w:lang w:eastAsia="zh-CN"/>
        </w:rPr>
        <w:t>（</w:t>
      </w:r>
      <w:r>
        <w:rPr>
          <w:rFonts w:hint="eastAsia" w:ascii="Times New Roman" w:hAnsi="Times New Roman" w:eastAsia="黑体" w:cs="Times New Roman"/>
          <w:bCs w:val="0"/>
          <w:color w:val="auto"/>
          <w:sz w:val="22"/>
          <w:szCs w:val="15"/>
          <w:highlight w:val="none"/>
          <w:lang w:val="en-US" w:eastAsia="zh-CN"/>
        </w:rPr>
        <w:t>两标段通用</w:t>
      </w:r>
      <w:r>
        <w:rPr>
          <w:rFonts w:hint="eastAsia" w:ascii="Times New Roman" w:hAnsi="Times New Roman" w:eastAsia="黑体" w:cs="Times New Roman"/>
          <w:bCs w:val="0"/>
          <w:color w:val="auto"/>
          <w:sz w:val="22"/>
          <w:szCs w:val="15"/>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highlight w:val="none"/>
        </w:rPr>
      </w:pP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rPr>
        <w:t>资质最低要求：</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①</w:t>
      </w:r>
      <w:r>
        <w:rPr>
          <w:rFonts w:hint="eastAsia"/>
          <w:b/>
          <w:bCs/>
          <w:highlight w:val="none"/>
        </w:rPr>
        <w:t>具备独立法人资格，持有有效的营业执照</w:t>
      </w:r>
      <w:r>
        <w:rPr>
          <w:rFonts w:hint="eastAsia"/>
          <w:b/>
          <w:bCs/>
          <w:highlight w:val="none"/>
          <w:lang w:val="en-US" w:eastAsia="zh-CN"/>
        </w:rPr>
        <w:t>。</w:t>
      </w:r>
      <w:r>
        <w:rPr>
          <w:rFonts w:hint="eastAsia"/>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②制造商/厂家参与询比的，应具备有生产、销售采购人所需材料的能力;制造商的授权代理商参加询比的，应具备代理证书/品牌授权书，有生产、销售采购人所需材料的能力。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2</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业绩最低要求：</w:t>
      </w:r>
    </w:p>
    <w:p>
      <w:pPr>
        <w:pStyle w:val="8"/>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至少提供1个自2021年1月1日以来，单项合同额不低于100万元的铝单</w:t>
      </w:r>
      <w:r>
        <w:rPr>
          <w:rFonts w:hint="eastAsia" w:ascii="Times New Roman" w:hAnsi="Times New Roman" w:cs="Times New Roman"/>
          <w:b/>
          <w:bCs/>
          <w:color w:val="auto"/>
          <w:szCs w:val="21"/>
          <w:highlight w:val="none"/>
          <w:u w:val="single"/>
          <w:lang w:val="en-US" w:eastAsia="zh-CN"/>
        </w:rPr>
        <w:t>板材销售合同业绩</w:t>
      </w:r>
      <w:r>
        <w:rPr>
          <w:rFonts w:hint="eastAsia" w:ascii="宋体" w:hAnsi="宋体" w:eastAsia="宋体" w:cs="宋体"/>
          <w:b/>
          <w:bCs/>
          <w:highlight w:val="none"/>
          <w:u w:val="single"/>
          <w:lang w:val="en-US" w:eastAsia="zh-CN"/>
        </w:rPr>
        <w:t xml:space="preserve"> 。</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highlight w:val="none"/>
          <w:lang w:val="en-US" w:eastAsia="zh-CN"/>
        </w:rPr>
      </w:pPr>
      <w:r>
        <w:rPr>
          <w:rFonts w:hint="eastAsia" w:asciiTheme="minorHAnsi" w:eastAsiaTheme="minorEastAsia"/>
          <w:highlight w:val="none"/>
          <w:lang w:val="en-US" w:eastAsia="zh-CN"/>
        </w:rPr>
        <w:t>业绩证明材料要求：</w:t>
      </w:r>
    </w:p>
    <w:p>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①合同协议书</w:t>
      </w:r>
      <w:r>
        <w:rPr>
          <w:rFonts w:hint="eastAsia" w:cstheme="minorBidi"/>
          <w:kern w:val="2"/>
          <w:sz w:val="21"/>
          <w:szCs w:val="24"/>
          <w:highlight w:val="none"/>
          <w:lang w:val="en-US" w:eastAsia="zh-CN" w:bidi="ar-SA"/>
        </w:rPr>
        <w:t>扫描</w:t>
      </w:r>
      <w:r>
        <w:rPr>
          <w:rFonts w:hint="eastAsia" w:asciiTheme="minorHAnsi" w:hAnsiTheme="minorHAnsi" w:eastAsiaTheme="minorEastAsia" w:cstheme="minorBidi"/>
          <w:kern w:val="2"/>
          <w:sz w:val="21"/>
          <w:szCs w:val="24"/>
          <w:highlight w:val="none"/>
          <w:lang w:val="en-US" w:eastAsia="zh-CN" w:bidi="ar-SA"/>
        </w:rPr>
        <w:t xml:space="preserve">件；                                                                                                                                                                                                                                                                                                                                                                                                                                                                                                                                                                                                                                                                                                                                                                                                                                                                                                                                                                                                                                                                                                                                                                                                                                                                                                                                                                                                                                                                                                                                                                                                                                                                                                                                                                                                                                                                                                                                                                                                                                                                                                                                                                          </w:t>
      </w:r>
    </w:p>
    <w:p>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②若合同协议书中不能明确反映出</w:t>
      </w:r>
      <w:r>
        <w:rPr>
          <w:rFonts w:hint="eastAsia" w:cstheme="minorBidi"/>
          <w:kern w:val="2"/>
          <w:sz w:val="21"/>
          <w:szCs w:val="24"/>
          <w:highlight w:val="none"/>
          <w:lang w:val="en-US" w:eastAsia="zh-CN" w:bidi="ar-SA"/>
        </w:rPr>
        <w:t>采购文件</w:t>
      </w:r>
      <w:r>
        <w:rPr>
          <w:rFonts w:hint="eastAsia" w:asciiTheme="minorHAnsi" w:hAnsiTheme="minorHAnsi" w:eastAsiaTheme="minorEastAsia" w:cstheme="minorBidi"/>
          <w:kern w:val="2"/>
          <w:sz w:val="21"/>
          <w:szCs w:val="24"/>
          <w:highlight w:val="none"/>
          <w:lang w:val="en-US" w:eastAsia="zh-CN" w:bidi="ar-SA"/>
        </w:rPr>
        <w:t>所要求内容的（如合同金额、合同签订时间、供货内容等），则须提供业主单位（甲方）出具加盖公章的证明材料</w:t>
      </w:r>
      <w:r>
        <w:rPr>
          <w:rFonts w:hint="eastAsia" w:cstheme="minorBidi"/>
          <w:kern w:val="2"/>
          <w:sz w:val="21"/>
          <w:szCs w:val="24"/>
          <w:highlight w:val="none"/>
          <w:lang w:val="en-US" w:eastAsia="zh-CN" w:bidi="ar-SA"/>
        </w:rPr>
        <w:t>复印</w:t>
      </w:r>
      <w:r>
        <w:rPr>
          <w:rFonts w:hint="eastAsia" w:asciiTheme="minorHAnsi" w:hAnsiTheme="minorHAnsi" w:eastAsiaTheme="minorEastAsia" w:cstheme="minorBidi"/>
          <w:kern w:val="2"/>
          <w:sz w:val="21"/>
          <w:szCs w:val="24"/>
          <w:highlight w:val="none"/>
          <w:lang w:val="en-US" w:eastAsia="zh-CN" w:bidi="ar-SA"/>
        </w:rPr>
        <w:t>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heme="minorHAnsi" w:hAnsiTheme="minorHAnsi" w:eastAsiaTheme="minorEastAsia" w:cstheme="minorBidi"/>
          <w:kern w:val="2"/>
          <w:sz w:val="21"/>
          <w:szCs w:val="24"/>
          <w:highlight w:val="none"/>
          <w:lang w:val="en-US" w:eastAsia="zh-CN" w:bidi="ar-SA"/>
        </w:rPr>
        <w:t>③若同一业绩合同中包含多项</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，则合同中应能体现资格要求中所需</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的内容和金额，无法体现的，须提供供货单据、供货发票、业主验收单等能证明</w:t>
      </w:r>
      <w:r>
        <w:rPr>
          <w:rFonts w:hint="eastAsia" w:ascii="Times New Roman" w:hAnsi="Times New Roman" w:cs="Times New Roman"/>
          <w:szCs w:val="22"/>
          <w:highlight w:val="none"/>
          <w:lang w:val="en-US" w:eastAsia="zh-CN"/>
        </w:rPr>
        <w:t>相关评审因素的证明材料，否则业绩不予认可。</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lang w:val="en-US" w:eastAsia="zh-CN"/>
        </w:rPr>
        <w:t>（3）信誉要求最低要求：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①</w:t>
      </w:r>
      <w:r>
        <w:rPr>
          <w:rFonts w:hint="eastAsia" w:ascii="Times New Roman" w:hAnsi="Times New Roman" w:cs="Times New Roman"/>
          <w:szCs w:val="22"/>
          <w:highlight w:val="none"/>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Fonts w:hint="eastAsia" w:ascii="Times New Roman" w:hAnsi="Times New Roman" w:cs="Times New Roman"/>
          <w:szCs w:val="22"/>
          <w:highlight w:val="none"/>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③</w:t>
      </w:r>
      <w:r>
        <w:rPr>
          <w:rFonts w:ascii="Times New Roman" w:hAnsi="Times New Roman" w:cs="Times New Roman"/>
          <w:szCs w:val="22"/>
          <w:highlight w:val="none"/>
        </w:rPr>
        <w:t>在国家企业信用信息公示系统（http://www.gsxt.gov.cn）中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④</w:t>
      </w:r>
      <w:r>
        <w:rPr>
          <w:rFonts w:ascii="Times New Roman" w:hAnsi="Times New Roman" w:cs="Times New Roman"/>
          <w:szCs w:val="22"/>
          <w:highlight w:val="none"/>
        </w:rPr>
        <w:t>在“信用中国”网站（http://www.creditchina.gov.cn）中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⑤</w:t>
      </w:r>
      <w:r>
        <w:rPr>
          <w:rFonts w:ascii="Times New Roman" w:hAnsi="Times New Roman" w:cs="Times New Roman"/>
          <w:szCs w:val="22"/>
          <w:highlight w:val="none"/>
        </w:rPr>
        <w:t>在近三年内（自</w:t>
      </w:r>
      <w:r>
        <w:rPr>
          <w:rFonts w:hint="eastAsia" w:ascii="Times New Roman" w:hAnsi="Times New Roman" w:cs="Times New Roman"/>
          <w:szCs w:val="22"/>
          <w:highlight w:val="none"/>
        </w:rPr>
        <w:t>响应文件递交截止之日</w:t>
      </w:r>
      <w:r>
        <w:rPr>
          <w:rFonts w:ascii="Times New Roman" w:hAnsi="Times New Roman" w:cs="Times New Roman"/>
          <w:szCs w:val="22"/>
          <w:highlight w:val="none"/>
        </w:rPr>
        <w:t>向前追溯3年）供应商或其法定代表人、拟委任的项目经理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如有</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未</w:t>
      </w:r>
      <w:r>
        <w:rPr>
          <w:rFonts w:ascii="Times New Roman" w:hAnsi="Times New Roman" w:cs="Times New Roman"/>
          <w:szCs w:val="22"/>
          <w:highlight w:val="none"/>
        </w:rPr>
        <w:t>有行贿犯罪行为。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highlight w:val="none"/>
        </w:rPr>
      </w:pPr>
      <w:r>
        <w:rPr>
          <w:rFonts w:hint="eastAsia" w:ascii="Times New Roman" w:hAnsi="Times New Roman"/>
          <w:highlight w:val="none"/>
        </w:rPr>
        <w:t>⑥其他要求：</w:t>
      </w:r>
      <w:r>
        <w:rPr>
          <w:rFonts w:hint="eastAsia" w:ascii="Times New Roman" w:hAnsi="Times New Roman"/>
          <w:highlight w:val="none"/>
          <w:u w:val="single"/>
          <w:lang w:val="en-US" w:eastAsia="zh-CN"/>
        </w:rPr>
        <w:t xml:space="preserve">        /        </w:t>
      </w:r>
      <w:r>
        <w:rPr>
          <w:rFonts w:hint="eastAsia" w:ascii="Times New Roman" w:hAnsi="Times New Roman"/>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3.2 联合体：本次采购</w:t>
      </w:r>
      <w:r>
        <w:rPr>
          <w:rFonts w:hint="eastAsia" w:ascii="Times New Roman" w:hAnsi="Times New Roman" w:cs="Times New Roman"/>
          <w:szCs w:val="22"/>
          <w:highlight w:val="none"/>
        </w:rPr>
        <w:t>不接受</w:t>
      </w:r>
      <w:r>
        <w:rPr>
          <w:rFonts w:ascii="Times New Roman" w:hAnsi="Times New Roman" w:cs="Times New Roman"/>
          <w:szCs w:val="22"/>
          <w:highlight w:val="none"/>
        </w:rPr>
        <w:t>联合体报价。</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3.3 单位负责人为同一人或者存在控股、管理关系的不同单位，不得同时参加同一合同包报价，否则相关响应文件均无效。</w:t>
      </w:r>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26" w:name="_Toc25666_WPSOffice_Level2"/>
      <w:bookmarkStart w:id="27" w:name="_Toc29452_WPSOffice_Level2"/>
      <w:bookmarkStart w:id="28" w:name="_Toc2996_WPSOffice_Level2"/>
      <w:bookmarkStart w:id="29" w:name="_Toc525632588"/>
      <w:bookmarkStart w:id="30" w:name="_Toc1994"/>
      <w:bookmarkStart w:id="31" w:name="_Toc4751"/>
      <w:bookmarkStart w:id="32" w:name="_Toc4109_WPSOffice_Level2"/>
      <w:r>
        <w:rPr>
          <w:rFonts w:hint="eastAsia" w:ascii="Times New Roman" w:hAnsi="Times New Roman" w:eastAsia="黑体" w:cs="Times New Roman"/>
          <w:b w:val="0"/>
          <w:sz w:val="22"/>
          <w:szCs w:val="15"/>
          <w:highlight w:val="none"/>
        </w:rPr>
        <w:t>询比文件</w:t>
      </w:r>
      <w:r>
        <w:rPr>
          <w:rFonts w:ascii="Times New Roman" w:hAnsi="Times New Roman" w:eastAsia="黑体" w:cs="Times New Roman"/>
          <w:b w:val="0"/>
          <w:sz w:val="22"/>
          <w:szCs w:val="15"/>
          <w:highlight w:val="none"/>
        </w:rPr>
        <w:t>的获取</w:t>
      </w:r>
      <w:bookmarkEnd w:id="26"/>
      <w:bookmarkEnd w:id="27"/>
      <w:bookmarkEnd w:id="28"/>
      <w:bookmarkEnd w:id="29"/>
      <w:bookmarkEnd w:id="30"/>
      <w:bookmarkEnd w:id="31"/>
      <w:bookmarkEnd w:id="32"/>
    </w:p>
    <w:p>
      <w:pPr>
        <w:snapToGrid w:val="0"/>
        <w:spacing w:line="440" w:lineRule="exact"/>
        <w:ind w:firstLine="367" w:firstLineChars="175"/>
        <w:rPr>
          <w:rFonts w:hint="default" w:ascii="宋体" w:hAnsi="宋体" w:eastAsia="宋体" w:cs="宋体"/>
          <w:szCs w:val="22"/>
          <w:highlight w:val="none"/>
          <w:lang w:val="en-US" w:eastAsia="zh-CN"/>
        </w:rPr>
      </w:pPr>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r>
        <w:rPr>
          <w:rFonts w:hint="eastAsia" w:ascii="宋体" w:hAnsi="宋体" w:eastAsia="宋体" w:cs="宋体"/>
          <w:szCs w:val="22"/>
          <w:highlight w:val="none"/>
          <w:lang w:val="en-US" w:eastAsia="zh-CN"/>
        </w:rPr>
        <w:t xml:space="preserve">  </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bookmarkStart w:id="33" w:name="_Toc525632589"/>
      <w:bookmarkStart w:id="34" w:name="_Toc726"/>
      <w:r>
        <w:rPr>
          <w:rFonts w:hint="eastAsia" w:ascii="Times New Roman" w:hAnsi="Times New Roman" w:eastAsia="黑体" w:cs="Times New Roman"/>
          <w:b w:val="0"/>
          <w:sz w:val="22"/>
          <w:szCs w:val="15"/>
          <w:highlight w:val="none"/>
        </w:rPr>
        <w:t>响应文件的递交</w:t>
      </w:r>
      <w:bookmarkEnd w:id="33"/>
      <w:bookmarkEnd w:id="34"/>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imes New Roman" w:hAnsi="Times New Roman" w:cs="Times New Roman" w:eastAsiaTheme="minorEastAsia"/>
          <w:kern w:val="2"/>
          <w:sz w:val="21"/>
          <w:szCs w:val="22"/>
          <w:highlight w:val="none"/>
          <w:u w:val="none"/>
          <w:lang w:val="en-US" w:eastAsia="zh-CN"/>
        </w:rPr>
      </w:pPr>
      <w:bookmarkStart w:id="35" w:name="_Toc22719"/>
      <w:bookmarkStart w:id="36" w:name="_Toc525632591"/>
      <w:r>
        <w:rPr>
          <w:rFonts w:hint="eastAsia" w:asciiTheme="minorEastAsia" w:hAnsiTheme="minorEastAsia" w:eastAsiaTheme="minorEastAsia" w:cstheme="minorEastAsia"/>
          <w:sz w:val="21"/>
          <w:szCs w:val="21"/>
          <w:highlight w:val="none"/>
        </w:rPr>
        <w:t>响应文件递交的截止时间</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b/>
          <w:bCs/>
          <w:sz w:val="21"/>
          <w:szCs w:val="21"/>
          <w:highlight w:val="none"/>
          <w:u w:val="single"/>
          <w:lang w:val="en-US" w:eastAsia="zh-CN"/>
        </w:rPr>
        <w:t xml:space="preserve"> 2024 </w:t>
      </w:r>
      <w:r>
        <w:rPr>
          <w:rFonts w:hint="eastAsia" w:asciiTheme="minorEastAsia" w:hAnsiTheme="minorEastAsia" w:eastAsiaTheme="minorEastAsia" w:cstheme="minorEastAsia"/>
          <w:b/>
          <w:bCs/>
          <w:sz w:val="21"/>
          <w:szCs w:val="21"/>
          <w:highlight w:val="none"/>
          <w:lang w:val="en-US" w:eastAsia="zh-CN"/>
        </w:rPr>
        <w:t>年</w:t>
      </w:r>
      <w:r>
        <w:rPr>
          <w:rFonts w:hint="eastAsia" w:asciiTheme="minorEastAsia" w:hAnsiTheme="minorEastAsia" w:eastAsiaTheme="minorEastAsia" w:cstheme="minorEastAsia"/>
          <w:b/>
          <w:bCs/>
          <w:sz w:val="21"/>
          <w:szCs w:val="21"/>
          <w:highlight w:val="none"/>
          <w:u w:val="single"/>
          <w:lang w:val="en-US" w:eastAsia="zh-CN"/>
        </w:rPr>
        <w:t xml:space="preserve"> 3 </w:t>
      </w:r>
      <w:r>
        <w:rPr>
          <w:rFonts w:hint="eastAsia" w:asciiTheme="minorEastAsia" w:hAnsiTheme="minorEastAsia" w:eastAsiaTheme="minorEastAsia" w:cstheme="minorEastAsia"/>
          <w:b/>
          <w:bCs/>
          <w:sz w:val="21"/>
          <w:szCs w:val="21"/>
          <w:highlight w:val="none"/>
          <w:lang w:val="en-US" w:eastAsia="zh-CN"/>
        </w:rPr>
        <w:t>月</w:t>
      </w:r>
      <w:r>
        <w:rPr>
          <w:rFonts w:hint="eastAsia" w:asciiTheme="minorEastAsia" w:hAnsiTheme="minorEastAsia" w:eastAsiaTheme="minorEastAsia" w:cstheme="minorEastAsia"/>
          <w:b/>
          <w:bCs/>
          <w:sz w:val="21"/>
          <w:szCs w:val="21"/>
          <w:highlight w:val="none"/>
          <w:u w:val="single"/>
          <w:lang w:val="en-US" w:eastAsia="zh-CN"/>
        </w:rPr>
        <w:t xml:space="preserve"> 12 </w:t>
      </w:r>
      <w:r>
        <w:rPr>
          <w:rFonts w:hint="eastAsia" w:asciiTheme="minorEastAsia" w:hAnsiTheme="minorEastAsia" w:eastAsiaTheme="minorEastAsia" w:cstheme="minorEastAsia"/>
          <w:b/>
          <w:bCs/>
          <w:sz w:val="21"/>
          <w:szCs w:val="21"/>
          <w:highlight w:val="none"/>
          <w:lang w:val="en-US" w:eastAsia="zh-CN"/>
        </w:rPr>
        <w:t>日</w:t>
      </w:r>
      <w:r>
        <w:rPr>
          <w:rFonts w:hint="eastAsia" w:asciiTheme="minorEastAsia" w:hAnsiTheme="minorEastAsia" w:eastAsiaTheme="minorEastAsia" w:cstheme="minorEastAsia"/>
          <w:b/>
          <w:bCs/>
          <w:sz w:val="21"/>
          <w:szCs w:val="21"/>
          <w:highlight w:val="none"/>
          <w:u w:val="single"/>
          <w:lang w:val="en-US" w:eastAsia="zh-CN"/>
        </w:rPr>
        <w:t xml:space="preserve"> 10</w:t>
      </w:r>
      <w:bookmarkStart w:id="156" w:name="_GoBack"/>
      <w:bookmarkEnd w:id="156"/>
      <w:r>
        <w:rPr>
          <w:rFonts w:hint="eastAsia" w:asciiTheme="minorEastAsia" w:hAnsiTheme="minorEastAsia" w:eastAsiaTheme="minorEastAsia" w:cstheme="minorEastAsia"/>
          <w:b/>
          <w:bCs/>
          <w:sz w:val="21"/>
          <w:szCs w:val="21"/>
          <w:highlight w:val="none"/>
          <w:lang w:val="en-US" w:eastAsia="zh-CN"/>
        </w:rPr>
        <w:t>时</w:t>
      </w:r>
      <w:r>
        <w:rPr>
          <w:rFonts w:hint="eastAsia" w:asciiTheme="minorEastAsia" w:hAnsiTheme="minorEastAsia" w:eastAsiaTheme="minorEastAsia" w:cstheme="minorEastAsia"/>
          <w:b/>
          <w:bCs/>
          <w:sz w:val="21"/>
          <w:szCs w:val="21"/>
          <w:highlight w:val="none"/>
          <w:u w:val="single"/>
          <w:lang w:val="en-US" w:eastAsia="zh-CN"/>
        </w:rPr>
        <w:t xml:space="preserve"> 30 </w:t>
      </w:r>
      <w:r>
        <w:rPr>
          <w:rFonts w:hint="eastAsia" w:asciiTheme="minorEastAsia" w:hAnsiTheme="minorEastAsia" w:eastAsiaTheme="minorEastAsia" w:cstheme="minorEastAsia"/>
          <w:b/>
          <w:bCs/>
          <w:sz w:val="21"/>
          <w:szCs w:val="21"/>
          <w:highlight w:val="none"/>
          <w:lang w:val="en-US" w:eastAsia="zh-CN"/>
        </w:rPr>
        <w:t>分</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供应商的法定代表人或其授权代理人应在文件递交截止时间前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将响应文件递交</w:t>
      </w:r>
      <w:r>
        <w:rPr>
          <w:rFonts w:hint="eastAsia" w:asciiTheme="minorEastAsia" w:hAnsiTheme="minorEastAsia" w:eastAsiaTheme="minorEastAsia" w:cstheme="minorEastAsia"/>
          <w:sz w:val="21"/>
          <w:szCs w:val="21"/>
          <w:highlight w:val="none"/>
          <w:u w:val="none"/>
          <w:lang w:val="en-US" w:eastAsia="zh-CN"/>
        </w:rPr>
        <w:t>至</w:t>
      </w:r>
      <w:r>
        <w:rPr>
          <w:rFonts w:hint="eastAsia" w:asciiTheme="minorEastAsia" w:hAnsiTheme="minorEastAsia" w:eastAsiaTheme="minorEastAsia" w:cstheme="minorEastAsia"/>
          <w:kern w:val="2"/>
          <w:sz w:val="21"/>
          <w:szCs w:val="21"/>
          <w:highlight w:val="none"/>
          <w:u w:val="none"/>
        </w:rPr>
        <w:t>安徽省合肥市包河区西藏路1</w:t>
      </w:r>
      <w:r>
        <w:rPr>
          <w:rFonts w:hint="eastAsia" w:asciiTheme="minorEastAsia" w:hAnsiTheme="minorEastAsia" w:eastAsiaTheme="minorEastAsia" w:cstheme="minorEastAsia"/>
          <w:kern w:val="2"/>
          <w:sz w:val="21"/>
          <w:szCs w:val="21"/>
          <w:highlight w:val="none"/>
          <w:u w:val="none"/>
          <w:lang w:val="en-US" w:eastAsia="zh-CN"/>
        </w:rPr>
        <w:t>588</w:t>
      </w:r>
      <w:r>
        <w:rPr>
          <w:rFonts w:hint="eastAsia" w:asciiTheme="minorEastAsia" w:hAnsiTheme="minorEastAsia" w:eastAsiaTheme="minorEastAsia" w:cstheme="minorEastAsia"/>
          <w:kern w:val="2"/>
          <w:sz w:val="21"/>
          <w:szCs w:val="21"/>
          <w:highlight w:val="none"/>
          <w:u w:val="none"/>
        </w:rPr>
        <w:t>号高速时代广场C1栋</w:t>
      </w:r>
      <w:r>
        <w:rPr>
          <w:rFonts w:hint="eastAsia" w:asciiTheme="minorEastAsia" w:hAnsiTheme="minorEastAsia" w:eastAsiaTheme="minorEastAsia" w:cstheme="minorEastAsia"/>
          <w:kern w:val="2"/>
          <w:sz w:val="21"/>
          <w:szCs w:val="21"/>
          <w:highlight w:val="none"/>
          <w:u w:val="none"/>
          <w:lang w:val="en-US" w:eastAsia="zh-CN"/>
        </w:rPr>
        <w:t>1008安徽省经工物资有限公司</w:t>
      </w:r>
      <w:r>
        <w:rPr>
          <w:rFonts w:hint="eastAsia" w:asciiTheme="minorEastAsia" w:hAnsiTheme="minorEastAsia" w:eastAsiaTheme="minorEastAsia" w:cstheme="minorEastAsia"/>
          <w:kern w:val="2"/>
          <w:sz w:val="21"/>
          <w:szCs w:val="21"/>
          <w:highlight w:val="none"/>
          <w:lang w:eastAsia="zh-CN"/>
        </w:rPr>
        <w:t>。</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响应文件启封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
          <w:bCs/>
          <w:szCs w:val="22"/>
          <w:highlight w:val="none"/>
          <w:lang w:val="en-US" w:eastAsia="zh-CN"/>
        </w:rPr>
      </w:pPr>
      <w:r>
        <w:rPr>
          <w:rFonts w:ascii="Times New Roman" w:hAnsi="Times New Roman" w:cs="Times New Roman"/>
          <w:szCs w:val="22"/>
          <w:highlight w:val="none"/>
        </w:rPr>
        <w:t>响应文件的递交截止时间到后，采购人将于</w:t>
      </w:r>
      <w:r>
        <w:rPr>
          <w:rFonts w:hint="eastAsia" w:ascii="Times New Roman" w:hAnsi="Times New Roman" w:cs="Times New Roman"/>
          <w:szCs w:val="22"/>
          <w:highlight w:val="none"/>
          <w:u w:val="single"/>
        </w:rPr>
        <w:t>安徽省合肥市包河区西藏路1</w:t>
      </w:r>
      <w:r>
        <w:rPr>
          <w:rFonts w:hint="eastAsia" w:ascii="Times New Roman" w:hAnsi="Times New Roman" w:cs="Times New Roman"/>
          <w:szCs w:val="22"/>
          <w:highlight w:val="none"/>
          <w:u w:val="single"/>
          <w:lang w:val="en-US" w:eastAsia="zh-CN"/>
        </w:rPr>
        <w:t>588</w:t>
      </w:r>
      <w:r>
        <w:rPr>
          <w:rFonts w:hint="eastAsia" w:ascii="Times New Roman" w:hAnsi="Times New Roman" w:cs="Times New Roman"/>
          <w:szCs w:val="22"/>
          <w:highlight w:val="none"/>
          <w:u w:val="single"/>
        </w:rPr>
        <w:t>号高速时代广场C1栋</w:t>
      </w:r>
      <w:r>
        <w:rPr>
          <w:rFonts w:hint="eastAsia" w:ascii="Times New Roman" w:hAnsi="Times New Roman" w:cs="Times New Roman"/>
          <w:szCs w:val="22"/>
          <w:highlight w:val="none"/>
          <w:u w:val="single"/>
          <w:lang w:val="en-US" w:eastAsia="zh-CN"/>
        </w:rPr>
        <w:t>1008安徽省经工物资有限公司</w:t>
      </w:r>
      <w:r>
        <w:rPr>
          <w:rFonts w:ascii="Times New Roman" w:hAnsi="Times New Roman" w:cs="Times New Roman"/>
          <w:szCs w:val="22"/>
          <w:highlight w:val="none"/>
        </w:rPr>
        <w:t>（地点）</w:t>
      </w:r>
      <w:r>
        <w:rPr>
          <w:rFonts w:hint="eastAsia" w:ascii="Times New Roman" w:hAnsi="Times New Roman" w:cs="Times New Roman"/>
          <w:szCs w:val="22"/>
          <w:highlight w:val="none"/>
        </w:rPr>
        <w:t>现场</w:t>
      </w:r>
      <w:r>
        <w:rPr>
          <w:rFonts w:ascii="Times New Roman" w:hAnsi="Times New Roman" w:cs="Times New Roman"/>
          <w:szCs w:val="22"/>
          <w:highlight w:val="none"/>
        </w:rPr>
        <w:t>组织进行响应文件的启</w:t>
      </w:r>
      <w:r>
        <w:rPr>
          <w:rFonts w:hint="eastAsia" w:ascii="Times New Roman" w:hAnsi="Times New Roman" w:cs="Times New Roman"/>
          <w:szCs w:val="22"/>
          <w:highlight w:val="none"/>
        </w:rPr>
        <w:t>封。</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响应保证金</w:t>
      </w:r>
    </w:p>
    <w:p>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本项目响应保证金：</w:t>
      </w:r>
      <w:r>
        <w:rPr>
          <w:rFonts w:hint="eastAsia" w:ascii="宋体" w:hAnsi="宋体" w:eastAsia="宋体" w:cs="宋体"/>
          <w:b/>
          <w:bCs/>
          <w:kern w:val="2"/>
          <w:sz w:val="21"/>
          <w:szCs w:val="21"/>
          <w:highlight w:val="none"/>
          <w:u w:val="single"/>
          <w:lang w:val="en-US" w:eastAsia="zh-CN"/>
        </w:rPr>
        <w:t xml:space="preserve"> </w:t>
      </w:r>
      <w:r>
        <w:rPr>
          <w:rFonts w:hint="eastAsia" w:cs="宋体"/>
          <w:b/>
          <w:bCs/>
          <w:kern w:val="2"/>
          <w:sz w:val="21"/>
          <w:szCs w:val="21"/>
          <w:highlight w:val="none"/>
          <w:u w:val="single"/>
          <w:lang w:val="en-US" w:eastAsia="zh-CN"/>
        </w:rPr>
        <w:t>10000</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b/>
          <w:bCs/>
          <w:kern w:val="2"/>
          <w:sz w:val="21"/>
          <w:szCs w:val="21"/>
          <w:highlight w:val="none"/>
        </w:rPr>
        <w:t>元（大写：</w:t>
      </w:r>
      <w:r>
        <w:rPr>
          <w:rFonts w:hint="eastAsia" w:cs="宋体"/>
          <w:b/>
          <w:bCs/>
          <w:kern w:val="2"/>
          <w:sz w:val="21"/>
          <w:szCs w:val="21"/>
          <w:highlight w:val="none"/>
          <w:u w:val="single"/>
          <w:lang w:val="en-US" w:eastAsia="zh-CN"/>
        </w:rPr>
        <w:t xml:space="preserve"> 壹万元整</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b/>
          <w:bCs/>
          <w:kern w:val="2"/>
          <w:sz w:val="21"/>
          <w:szCs w:val="21"/>
          <w:highlight w:val="none"/>
          <w:lang w:val="en-US" w:eastAsia="zh-CN"/>
        </w:rPr>
        <w:t xml:space="preserve"> </w:t>
      </w:r>
      <w:r>
        <w:rPr>
          <w:rFonts w:hint="eastAsia" w:ascii="宋体" w:hAnsi="宋体" w:eastAsia="宋体" w:cs="宋体"/>
          <w:b/>
          <w:bCs/>
          <w:kern w:val="2"/>
          <w:sz w:val="21"/>
          <w:szCs w:val="21"/>
          <w:highlight w:val="none"/>
        </w:rPr>
        <w:t>）</w:t>
      </w:r>
      <w:r>
        <w:rPr>
          <w:rFonts w:hint="eastAsia" w:ascii="Times New Roman" w:hAnsi="Times New Roman" w:cs="Times New Roman"/>
          <w:color w:val="auto"/>
          <w:highlight w:val="none"/>
          <w:u w:val="single"/>
          <w:lang w:val="en-US" w:eastAsia="zh-CN"/>
        </w:rPr>
        <w:t>（如参与两个标段，只需缴纳一次保证金）</w:t>
      </w:r>
      <w:r>
        <w:rPr>
          <w:rFonts w:hint="eastAsia" w:ascii="宋体" w:hAnsi="宋体" w:eastAsia="宋体" w:cs="宋体"/>
          <w:b/>
          <w:bCs/>
          <w:kern w:val="2"/>
          <w:sz w:val="21"/>
          <w:szCs w:val="21"/>
          <w:highlight w:val="none"/>
        </w:rPr>
        <w:t>。</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sz w:val="21"/>
          <w:szCs w:val="21"/>
          <w:highlight w:val="none"/>
        </w:rPr>
      </w:pPr>
      <w:r>
        <w:rPr>
          <w:rFonts w:hint="eastAsia" w:ascii="宋体" w:hAnsi="宋体" w:eastAsia="宋体" w:cs="宋体"/>
          <w:kern w:val="2"/>
          <w:sz w:val="21"/>
          <w:szCs w:val="21"/>
          <w:highlight w:val="none"/>
        </w:rPr>
        <w:t>报价方应向询价方以下账户递交询价响应保证金，以转账方式从报价方账户转出</w:t>
      </w:r>
      <w:r>
        <w:rPr>
          <w:rFonts w:hint="eastAsia" w:ascii="宋体" w:hAnsi="宋体" w:eastAsia="宋体" w:cs="宋体"/>
          <w:b w:val="0"/>
          <w:bCs w:val="0"/>
          <w:kern w:val="2"/>
          <w:sz w:val="21"/>
          <w:szCs w:val="21"/>
          <w:highlight w:val="none"/>
        </w:rPr>
        <w:t>，</w:t>
      </w:r>
      <w:r>
        <w:rPr>
          <w:rFonts w:hint="eastAsia" w:ascii="宋体" w:hAnsi="宋体" w:eastAsia="宋体" w:cs="宋体"/>
          <w:b/>
          <w:bCs/>
          <w:kern w:val="2"/>
          <w:sz w:val="21"/>
          <w:szCs w:val="21"/>
          <w:highlight w:val="none"/>
        </w:rPr>
        <w:t>并将银行的电子回执单作为其响应文件的组成部分。</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户名：安徽省经工物资有限公司</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lang w:val="en-US" w:eastAsia="zh-CN"/>
        </w:rPr>
        <w:t>开户银行</w:t>
      </w:r>
      <w:r>
        <w:rPr>
          <w:rFonts w:hint="eastAsia" w:ascii="宋体" w:hAnsi="宋体" w:eastAsia="宋体" w:cs="宋体"/>
          <w:b/>
          <w:bCs/>
          <w:kern w:val="2"/>
          <w:sz w:val="21"/>
          <w:szCs w:val="21"/>
          <w:highlight w:val="none"/>
        </w:rPr>
        <w:t>：</w:t>
      </w:r>
      <w:r>
        <w:rPr>
          <w:rFonts w:hint="eastAsia" w:ascii="宋体" w:hAnsi="宋体" w:eastAsia="宋体" w:cs="宋体"/>
          <w:b/>
          <w:bCs/>
          <w:kern w:val="2"/>
          <w:sz w:val="21"/>
          <w:szCs w:val="21"/>
          <w:highlight w:val="none"/>
          <w:lang w:val="en-US" w:eastAsia="zh-CN"/>
        </w:rPr>
        <w:t>工行合肥</w:t>
      </w:r>
      <w:r>
        <w:rPr>
          <w:rFonts w:hint="eastAsia" w:cs="宋体"/>
          <w:b/>
          <w:bCs/>
          <w:kern w:val="2"/>
          <w:sz w:val="21"/>
          <w:szCs w:val="21"/>
          <w:highlight w:val="none"/>
          <w:lang w:val="en-US" w:eastAsia="zh-CN"/>
        </w:rPr>
        <w:t>蜀山</w:t>
      </w:r>
      <w:r>
        <w:rPr>
          <w:rFonts w:hint="eastAsia" w:ascii="宋体" w:hAnsi="宋体" w:eastAsia="宋体" w:cs="宋体"/>
          <w:b/>
          <w:bCs/>
          <w:kern w:val="2"/>
          <w:sz w:val="21"/>
          <w:szCs w:val="21"/>
          <w:highlight w:val="none"/>
          <w:lang w:val="en-US" w:eastAsia="zh-CN"/>
        </w:rPr>
        <w:t>支行</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账号：</w:t>
      </w:r>
      <w:r>
        <w:rPr>
          <w:rFonts w:hint="eastAsia" w:ascii="宋体" w:hAnsi="宋体" w:eastAsia="宋体" w:cs="宋体"/>
          <w:b/>
          <w:bCs/>
          <w:kern w:val="2"/>
          <w:sz w:val="21"/>
          <w:szCs w:val="21"/>
          <w:highlight w:val="none"/>
          <w:lang w:val="en-US" w:eastAsia="zh-CN"/>
        </w:rPr>
        <w:t xml:space="preserve">1302 </w:t>
      </w:r>
      <w:r>
        <w:rPr>
          <w:rFonts w:hint="eastAsia" w:cs="宋体"/>
          <w:b/>
          <w:bCs/>
          <w:kern w:val="2"/>
          <w:sz w:val="21"/>
          <w:szCs w:val="21"/>
          <w:highlight w:val="none"/>
          <w:lang w:val="en-US" w:eastAsia="zh-CN"/>
        </w:rPr>
        <w:t>0121</w:t>
      </w:r>
      <w:r>
        <w:rPr>
          <w:rFonts w:hint="eastAsia" w:ascii="宋体" w:hAnsi="宋体" w:eastAsia="宋体" w:cs="宋体"/>
          <w:b/>
          <w:bCs/>
          <w:kern w:val="2"/>
          <w:sz w:val="21"/>
          <w:szCs w:val="21"/>
          <w:highlight w:val="none"/>
          <w:lang w:val="en-US" w:eastAsia="zh-CN"/>
        </w:rPr>
        <w:t xml:space="preserve"> 1</w:t>
      </w:r>
      <w:r>
        <w:rPr>
          <w:rFonts w:hint="eastAsia" w:cs="宋体"/>
          <w:b/>
          <w:bCs/>
          <w:kern w:val="2"/>
          <w:sz w:val="21"/>
          <w:szCs w:val="21"/>
          <w:highlight w:val="none"/>
          <w:lang w:val="en-US" w:eastAsia="zh-CN"/>
        </w:rPr>
        <w:t>920</w:t>
      </w:r>
      <w:r>
        <w:rPr>
          <w:rFonts w:hint="eastAsia" w:ascii="宋体" w:hAnsi="宋体" w:eastAsia="宋体" w:cs="宋体"/>
          <w:b/>
          <w:bCs/>
          <w:kern w:val="2"/>
          <w:sz w:val="21"/>
          <w:szCs w:val="21"/>
          <w:highlight w:val="none"/>
          <w:lang w:val="en-US" w:eastAsia="zh-CN"/>
        </w:rPr>
        <w:t xml:space="preserve"> 00</w:t>
      </w:r>
      <w:r>
        <w:rPr>
          <w:rFonts w:hint="eastAsia" w:cs="宋体"/>
          <w:b/>
          <w:bCs/>
          <w:kern w:val="2"/>
          <w:sz w:val="21"/>
          <w:szCs w:val="21"/>
          <w:highlight w:val="none"/>
          <w:lang w:val="en-US" w:eastAsia="zh-CN"/>
        </w:rPr>
        <w:t>34</w:t>
      </w:r>
      <w:r>
        <w:rPr>
          <w:rFonts w:hint="eastAsia" w:ascii="宋体" w:hAnsi="宋体" w:eastAsia="宋体" w:cs="宋体"/>
          <w:b/>
          <w:bCs/>
          <w:kern w:val="2"/>
          <w:sz w:val="21"/>
          <w:szCs w:val="21"/>
          <w:highlight w:val="none"/>
          <w:lang w:val="en-US" w:eastAsia="zh-CN"/>
        </w:rPr>
        <w:t xml:space="preserve"> 038</w:t>
      </w: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汇款或转账时，报价方必须在付款凭证备注栏中注明</w:t>
      </w:r>
      <w:r>
        <w:rPr>
          <w:rFonts w:hint="eastAsia" w:ascii="宋体" w:hAnsi="宋体" w:eastAsia="宋体" w:cs="宋体"/>
          <w:b/>
          <w:bCs/>
          <w:sz w:val="21"/>
          <w:szCs w:val="21"/>
          <w:highlight w:val="none"/>
          <w:u w:val="none"/>
        </w:rPr>
        <w:t>“</w:t>
      </w:r>
      <w:r>
        <w:rPr>
          <w:rFonts w:hint="eastAsia" w:ascii="宋体" w:hAnsi="宋体" w:eastAsia="宋体" w:cs="宋体"/>
          <w:b/>
          <w:bCs/>
          <w:sz w:val="21"/>
          <w:szCs w:val="21"/>
          <w:highlight w:val="none"/>
          <w:u w:val="none"/>
          <w:lang w:val="en-US" w:eastAsia="zh-CN"/>
        </w:rPr>
        <w:t>铝板采购项目保证金</w:t>
      </w:r>
      <w:r>
        <w:rPr>
          <w:rFonts w:hint="eastAsia" w:ascii="宋体" w:hAnsi="宋体" w:eastAsia="宋体" w:cs="宋体"/>
          <w:b/>
          <w:bCs/>
          <w:sz w:val="21"/>
          <w:szCs w:val="21"/>
          <w:highlight w:val="none"/>
          <w:u w:val="none"/>
        </w:rPr>
        <w:t>”</w:t>
      </w:r>
      <w:r>
        <w:rPr>
          <w:rFonts w:hint="eastAsia" w:ascii="宋体" w:hAnsi="宋体" w:eastAsia="宋体" w:cs="宋体"/>
          <w:sz w:val="21"/>
          <w:szCs w:val="21"/>
          <w:highlight w:val="none"/>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sz w:val="21"/>
          <w:szCs w:val="21"/>
          <w:highlight w:val="none"/>
          <w:u w:val="single"/>
        </w:rPr>
        <w:t>投标截止时间前一个小时到账，否则无效</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发布公告的媒介</w:t>
      </w:r>
      <w:bookmarkEnd w:id="35"/>
      <w:bookmarkEnd w:id="36"/>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本次采购公告在</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eastAsia="zh-CN"/>
        </w:rPr>
        <w:t>安徽交控建设工程集团有限公司</w:t>
      </w:r>
      <w:r>
        <w:rPr>
          <w:rFonts w:hint="eastAsia" w:ascii="宋体" w:hAnsi="宋体" w:eastAsia="宋体" w:cs="宋体"/>
          <w:b/>
          <w:bCs/>
          <w:sz w:val="21"/>
          <w:szCs w:val="21"/>
          <w:highlight w:val="none"/>
          <w:u w:val="single"/>
        </w:rPr>
        <w:t>网站（https://www.ahjggroup.com/）“</w:t>
      </w:r>
      <w:r>
        <w:rPr>
          <w:rFonts w:hint="eastAsia" w:ascii="宋体" w:hAnsi="宋体" w:eastAsia="宋体" w:cs="宋体"/>
          <w:b/>
          <w:bCs/>
          <w:sz w:val="21"/>
          <w:szCs w:val="21"/>
          <w:highlight w:val="none"/>
          <w:u w:val="single"/>
          <w:lang w:val="en-US" w:eastAsia="zh-CN"/>
        </w:rPr>
        <w:t>招标公告</w:t>
      </w:r>
      <w:r>
        <w:rPr>
          <w:rFonts w:hint="eastAsia" w:ascii="宋体" w:hAnsi="宋体" w:eastAsia="宋体" w:cs="宋体"/>
          <w:b/>
          <w:bCs/>
          <w:sz w:val="21"/>
          <w:szCs w:val="21"/>
          <w:highlight w:val="none"/>
          <w:u w:val="single"/>
        </w:rPr>
        <w:t>”栏</w:t>
      </w:r>
      <w:r>
        <w:rPr>
          <w:rFonts w:hint="eastAsia" w:ascii="宋体" w:hAnsi="宋体" w:eastAsia="宋体" w:cs="宋体"/>
          <w:sz w:val="21"/>
          <w:szCs w:val="21"/>
          <w:highlight w:val="none"/>
        </w:rPr>
        <w:t>上发布。</w:t>
      </w:r>
    </w:p>
    <w:p>
      <w:pPr>
        <w:pStyle w:val="4"/>
        <w:snapToGrid w:val="0"/>
        <w:spacing w:before="120" w:after="120" w:line="240" w:lineRule="auto"/>
        <w:ind w:firstLine="403"/>
        <w:rPr>
          <w:rFonts w:hint="eastAsia" w:ascii="宋体" w:hAnsi="宋体" w:eastAsia="宋体" w:cs="宋体"/>
          <w:b w:val="0"/>
          <w:sz w:val="21"/>
          <w:szCs w:val="21"/>
          <w:highlight w:val="none"/>
        </w:rPr>
      </w:pPr>
      <w:bookmarkStart w:id="37" w:name="_Toc321_WPSOffice_Level2"/>
      <w:bookmarkStart w:id="38" w:name="_Toc20572_WPSOffice_Level2"/>
      <w:bookmarkStart w:id="39" w:name="_Toc525632592"/>
      <w:bookmarkStart w:id="40" w:name="_Toc8501"/>
      <w:bookmarkStart w:id="41" w:name="_Toc26829"/>
      <w:bookmarkStart w:id="42" w:name="_Toc14943_WPSOffice_Level2"/>
      <w:bookmarkStart w:id="43" w:name="_Toc28571_WPSOffice_Level2"/>
      <w:r>
        <w:rPr>
          <w:rFonts w:hint="eastAsia" w:ascii="Times New Roman" w:hAnsi="Times New Roman" w:eastAsia="黑体" w:cs="Times New Roman"/>
          <w:b w:val="0"/>
          <w:sz w:val="22"/>
          <w:szCs w:val="15"/>
          <w:highlight w:val="none"/>
        </w:rPr>
        <w:t>采购人联系方式</w:t>
      </w:r>
      <w:bookmarkEnd w:id="37"/>
      <w:bookmarkEnd w:id="38"/>
      <w:bookmarkEnd w:id="39"/>
      <w:bookmarkEnd w:id="40"/>
      <w:bookmarkEnd w:id="41"/>
      <w:bookmarkEnd w:id="42"/>
      <w:bookmarkEnd w:id="43"/>
      <w:r>
        <w:rPr>
          <w:rFonts w:hint="eastAsia" w:ascii="Times New Roman" w:hAnsi="Times New Roman" w:eastAsia="黑体" w:cs="Times New Roman"/>
          <w:b w:val="0"/>
          <w:sz w:val="22"/>
          <w:szCs w:val="15"/>
          <w:highlight w:val="none"/>
          <w:lang w:val="en-US" w:eastAsia="zh-CN"/>
        </w:rPr>
        <w:t xml:space="preserve">     </w:t>
      </w:r>
      <w:r>
        <w:rPr>
          <w:rFonts w:hint="eastAsia" w:ascii="宋体" w:hAnsi="宋体" w:eastAsia="宋体" w:cs="宋体"/>
          <w:b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 购 人：安徽省经工物资有限公司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    址：</w:t>
      </w:r>
      <w:r>
        <w:rPr>
          <w:rFonts w:hint="eastAsia" w:ascii="宋体" w:hAnsi="宋体" w:eastAsia="宋体" w:cs="宋体"/>
          <w:kern w:val="2"/>
          <w:sz w:val="21"/>
          <w:szCs w:val="21"/>
          <w:highlight w:val="none"/>
        </w:rPr>
        <w:t>安徽省合肥市包河区西藏路1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号高速时代广场C1栋</w:t>
      </w:r>
      <w:r>
        <w:rPr>
          <w:rFonts w:hint="eastAsia" w:ascii="宋体" w:hAnsi="宋体" w:eastAsia="宋体" w:cs="宋体"/>
          <w:kern w:val="2"/>
          <w:sz w:val="21"/>
          <w:szCs w:val="21"/>
          <w:highlight w:val="none"/>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lang w:val="en-US" w:eastAsia="zh-CN"/>
        </w:rPr>
        <w:t xml:space="preserve">     高工、周工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pPr>
        <w:pStyle w:val="29"/>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p>
    <w:p>
      <w:pPr>
        <w:pStyle w:val="2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2024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3 </w:t>
      </w:r>
      <w:r>
        <w:rPr>
          <w:rFonts w:hint="eastAsia" w:ascii="宋体" w:hAnsi="宋体" w:eastAsia="宋体" w:cs="宋体"/>
          <w:color w:val="auto"/>
          <w:sz w:val="21"/>
          <w:szCs w:val="21"/>
          <w:highlight w:val="none"/>
        </w:rPr>
        <w:t>月</w:t>
      </w:r>
    </w:p>
    <w:p>
      <w:pPr>
        <w:rPr>
          <w:rFonts w:ascii="Times New Roman" w:hAnsi="Times New Roman" w:cs="Times New Roman"/>
          <w:sz w:val="24"/>
          <w:szCs w:val="28"/>
          <w:highlight w:val="none"/>
        </w:rPr>
      </w:pPr>
    </w:p>
    <w:p>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pPr>
        <w:pStyle w:val="3"/>
        <w:spacing w:before="312" w:after="312"/>
        <w:rPr>
          <w:rFonts w:ascii="Times New Roman" w:hAnsi="Times New Roman" w:eastAsia="宋体" w:cs="Times New Roman"/>
          <w:highlight w:val="none"/>
        </w:rPr>
      </w:pPr>
      <w:bookmarkStart w:id="44" w:name="_Toc1355"/>
      <w:r>
        <w:rPr>
          <w:rFonts w:ascii="Times New Roman" w:hAnsi="Times New Roman" w:eastAsia="宋体" w:cs="Times New Roman"/>
          <w:highlight w:val="none"/>
        </w:rPr>
        <w:t>供应商须知</w:t>
      </w:r>
      <w:bookmarkEnd w:id="44"/>
    </w:p>
    <w:p>
      <w:pPr>
        <w:spacing w:line="440" w:lineRule="exact"/>
        <w:jc w:val="center"/>
        <w:outlineLvl w:val="1"/>
        <w:rPr>
          <w:rFonts w:ascii="Times New Roman" w:hAnsi="Times New Roman" w:eastAsia="黑体" w:cs="Times New Roman"/>
          <w:sz w:val="28"/>
          <w:szCs w:val="28"/>
          <w:highlight w:val="none"/>
        </w:rPr>
      </w:pPr>
      <w:bookmarkStart w:id="45" w:name="_Toc19501"/>
      <w:bookmarkStart w:id="46" w:name="_Toc26656928"/>
      <w:bookmarkStart w:id="47" w:name="_Toc29381_WPSOffice_Level2"/>
      <w:bookmarkStart w:id="48" w:name="_Toc55466811"/>
      <w:bookmarkStart w:id="49" w:name="_Toc16069"/>
      <w:r>
        <w:rPr>
          <w:rFonts w:ascii="Times New Roman" w:hAnsi="Times New Roman" w:eastAsia="黑体" w:cs="Times New Roman"/>
          <w:sz w:val="28"/>
          <w:szCs w:val="28"/>
          <w:highlight w:val="none"/>
        </w:rPr>
        <w:t>供应商须知前附表</w:t>
      </w:r>
      <w:bookmarkEnd w:id="45"/>
      <w:bookmarkEnd w:id="46"/>
      <w:bookmarkEnd w:id="47"/>
      <w:bookmarkEnd w:id="48"/>
      <w:bookmarkEnd w:id="49"/>
    </w:p>
    <w:tbl>
      <w:tblPr>
        <w:tblStyle w:val="22"/>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eastAsiaTheme="minor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color w:val="auto"/>
                <w:sz w:val="22"/>
                <w:szCs w:val="21"/>
                <w:highlight w:val="none"/>
              </w:rPr>
            </w:pPr>
            <w:r>
              <w:rPr>
                <w:color w:val="auto"/>
                <w:sz w:val="22"/>
                <w:szCs w:val="21"/>
                <w:highlight w:val="none"/>
              </w:rPr>
              <w:t>（1）资质要求：</w:t>
            </w:r>
            <w:r>
              <w:rPr>
                <w:color w:val="auto"/>
                <w:sz w:val="22"/>
                <w:highlight w:val="none"/>
              </w:rPr>
              <w:t>见附录1</w:t>
            </w:r>
          </w:p>
          <w:p>
            <w:pPr>
              <w:ind w:left="42" w:leftChars="20" w:right="42" w:rightChars="20"/>
              <w:rPr>
                <w:color w:val="auto"/>
                <w:sz w:val="22"/>
                <w:highlight w:val="none"/>
              </w:rPr>
            </w:pPr>
            <w:r>
              <w:rPr>
                <w:color w:val="auto"/>
                <w:sz w:val="22"/>
                <w:szCs w:val="21"/>
                <w:highlight w:val="none"/>
              </w:rPr>
              <w:t>（</w:t>
            </w:r>
            <w:r>
              <w:rPr>
                <w:rFonts w:hint="eastAsia"/>
                <w:color w:val="auto"/>
                <w:sz w:val="22"/>
                <w:szCs w:val="21"/>
                <w:highlight w:val="none"/>
              </w:rPr>
              <w:t>2</w:t>
            </w:r>
            <w:r>
              <w:rPr>
                <w:color w:val="auto"/>
                <w:sz w:val="22"/>
                <w:szCs w:val="21"/>
                <w:highlight w:val="none"/>
              </w:rPr>
              <w:t>）</w:t>
            </w:r>
            <w:r>
              <w:rPr>
                <w:rFonts w:hint="eastAsia" w:eastAsiaTheme="minorEastAsia"/>
                <w:color w:val="auto"/>
                <w:sz w:val="22"/>
                <w:szCs w:val="21"/>
                <w:highlight w:val="none"/>
                <w:lang w:eastAsia="zh-CN"/>
              </w:rPr>
              <w:t>供应商</w:t>
            </w:r>
            <w:r>
              <w:rPr>
                <w:color w:val="auto"/>
                <w:sz w:val="22"/>
                <w:szCs w:val="21"/>
                <w:highlight w:val="none"/>
              </w:rPr>
              <w:t>业绩</w:t>
            </w:r>
            <w:r>
              <w:rPr>
                <w:rFonts w:hint="eastAsia"/>
                <w:color w:val="auto"/>
                <w:sz w:val="22"/>
                <w:szCs w:val="21"/>
                <w:highlight w:val="none"/>
              </w:rPr>
              <w:t>：</w:t>
            </w:r>
            <w:r>
              <w:rPr>
                <w:color w:val="auto"/>
                <w:sz w:val="22"/>
                <w:highlight w:val="none"/>
              </w:rPr>
              <w:t>见附录2</w:t>
            </w:r>
          </w:p>
          <w:p>
            <w:pPr>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rPr>
              <w:t>3</w:t>
            </w:r>
            <w:r>
              <w:rPr>
                <w:color w:val="auto"/>
                <w:sz w:val="22"/>
                <w:szCs w:val="21"/>
                <w:highlight w:val="none"/>
              </w:rPr>
              <w:t>）财务要求：</w:t>
            </w:r>
            <w:r>
              <w:rPr>
                <w:rFonts w:hint="eastAsia"/>
                <w:color w:val="auto"/>
                <w:sz w:val="22"/>
                <w:szCs w:val="21"/>
                <w:highlight w:val="none"/>
              </w:rPr>
              <w:t>见附录3</w:t>
            </w:r>
          </w:p>
          <w:p>
            <w:pPr>
              <w:ind w:left="42" w:leftChars="20" w:right="42" w:rightChars="20"/>
              <w:rPr>
                <w:rFonts w:hint="eastAsia"/>
                <w:color w:val="auto"/>
                <w:sz w:val="22"/>
                <w:szCs w:val="21"/>
                <w:highlight w:val="none"/>
              </w:rPr>
            </w:pPr>
            <w:r>
              <w:rPr>
                <w:rFonts w:hint="eastAsia"/>
                <w:color w:val="auto"/>
                <w:sz w:val="22"/>
                <w:szCs w:val="21"/>
                <w:highlight w:val="none"/>
              </w:rPr>
              <w:t>（4）信誉要求：</w:t>
            </w:r>
            <w:r>
              <w:rPr>
                <w:color w:val="auto"/>
                <w:sz w:val="22"/>
                <w:highlight w:val="none"/>
              </w:rPr>
              <w:t>见附录</w:t>
            </w:r>
            <w:r>
              <w:rPr>
                <w:rFonts w:hint="eastAsia"/>
                <w:color w:val="auto"/>
                <w:sz w:val="22"/>
                <w:highlight w:val="none"/>
              </w:rPr>
              <w:t>4</w:t>
            </w:r>
          </w:p>
          <w:p>
            <w:pPr>
              <w:ind w:left="42" w:leftChars="20" w:right="42" w:rightChars="20"/>
              <w:rPr>
                <w:rFonts w:hint="eastAsia"/>
                <w:color w:val="auto"/>
                <w:szCs w:val="21"/>
                <w:highlight w:val="none"/>
              </w:rPr>
            </w:pPr>
            <w:r>
              <w:rPr>
                <w:rFonts w:hint="eastAsia"/>
                <w:color w:val="auto"/>
                <w:sz w:val="22"/>
                <w:szCs w:val="21"/>
                <w:highlight w:val="none"/>
              </w:rPr>
              <w:t>（5）其他要求：无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44"/>
                <w:rFonts w:ascii="Times New Roman" w:hAnsi="Times New Roman" w:cs="Times New Roman"/>
                <w:bCs/>
                <w:color w:val="auto"/>
                <w:sz w:val="22"/>
                <w:szCs w:val="21"/>
                <w:highlight w:val="none"/>
                <w:lang w:bidi="ar"/>
              </w:rPr>
              <w:t>允许</w:t>
            </w:r>
            <w:r>
              <w:rPr>
                <w:rStyle w:val="44"/>
                <w:rFonts w:hint="eastAsia" w:ascii="Times New Roman" w:hAnsi="Times New Roman" w:cs="Times New Roman"/>
                <w:bCs/>
                <w:color w:val="auto"/>
                <w:sz w:val="22"/>
                <w:szCs w:val="21"/>
                <w:highlight w:val="none"/>
                <w:lang w:bidi="ar"/>
              </w:rPr>
              <w:t>有利于</w:t>
            </w:r>
            <w:r>
              <w:rPr>
                <w:rStyle w:val="44"/>
                <w:rFonts w:hint="eastAsia" w:ascii="Times New Roman" w:hAnsi="Times New Roman" w:cs="Times New Roman"/>
                <w:bCs/>
                <w:color w:val="auto"/>
                <w:sz w:val="22"/>
                <w:szCs w:val="21"/>
                <w:highlight w:val="none"/>
                <w:lang w:eastAsia="zh-CN" w:bidi="ar"/>
              </w:rPr>
              <w:t>采购人</w:t>
            </w:r>
            <w:r>
              <w:rPr>
                <w:rStyle w:val="44"/>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eastAsiaTheme="minor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eastAsiaTheme="minorEastAsia"/>
                <w:color w:val="auto"/>
                <w:sz w:val="22"/>
                <w:highlight w:val="none"/>
                <w:lang w:eastAsia="zh-CN"/>
              </w:rPr>
              <w:t>采购人</w:t>
            </w:r>
            <w:r>
              <w:rPr>
                <w:color w:val="auto"/>
                <w:sz w:val="22"/>
                <w:highlight w:val="none"/>
              </w:rPr>
              <w:t>发布的有关本次</w:t>
            </w:r>
            <w:r>
              <w:rPr>
                <w:rFonts w:hint="eastAsia" w:eastAsiaTheme="minor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eastAsiaTheme="minorEastAsia"/>
                <w:color w:val="auto"/>
                <w:sz w:val="22"/>
                <w:szCs w:val="21"/>
                <w:highlight w:val="none"/>
                <w:lang w:eastAsia="zh-CN"/>
              </w:rPr>
              <w:t>供应商</w:t>
            </w:r>
            <w:r>
              <w:rPr>
                <w:color w:val="auto"/>
                <w:sz w:val="22"/>
                <w:szCs w:val="21"/>
                <w:highlight w:val="none"/>
              </w:rPr>
              <w:t>要求澄清</w:t>
            </w:r>
            <w:r>
              <w:rPr>
                <w:rFonts w:hint="eastAsia" w:eastAsiaTheme="minorEastAsia"/>
                <w:color w:val="auto"/>
                <w:sz w:val="22"/>
                <w:szCs w:val="21"/>
                <w:highlight w:val="none"/>
                <w:lang w:eastAsia="zh-CN"/>
              </w:rPr>
              <w:t>响应文件</w:t>
            </w:r>
          </w:p>
        </w:tc>
        <w:tc>
          <w:tcPr>
            <w:tcW w:w="5107" w:type="dxa"/>
            <w:vAlign w:val="center"/>
          </w:tcPr>
          <w:p>
            <w:pPr>
              <w:widowControl w:val="0"/>
              <w:snapToGrid w:val="0"/>
              <w:ind w:left="42" w:leftChars="20" w:right="42" w:rightChars="20"/>
              <w:jc w:val="both"/>
              <w:rPr>
                <w:rFonts w:asciiTheme="minorHAnsi" w:hAnsiTheme="minorHAnsi" w:eastAsiaTheme="minorEastAsia" w:cstheme="minorBidi"/>
                <w:color w:val="auto"/>
                <w:kern w:val="2"/>
                <w:sz w:val="21"/>
                <w:szCs w:val="21"/>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时间：递交</w:t>
            </w:r>
            <w:r>
              <w:rPr>
                <w:rFonts w:hint="eastAsia" w:asciiTheme="minorHAnsi" w:hAnsiTheme="minorHAnsi" w:eastAsiaTheme="minorEastAsia" w:cstheme="minorBidi"/>
                <w:color w:val="auto"/>
                <w:kern w:val="2"/>
                <w:sz w:val="22"/>
                <w:szCs w:val="24"/>
                <w:highlight w:val="none"/>
                <w:lang w:val="en-US" w:eastAsia="zh-CN" w:bidi="ar-SA"/>
              </w:rPr>
              <w:t>响应</w:t>
            </w:r>
            <w:r>
              <w:rPr>
                <w:rFonts w:asciiTheme="minorHAnsi" w:hAnsiTheme="minorHAnsi" w:eastAsiaTheme="minorEastAsia" w:cstheme="minorBidi"/>
                <w:color w:val="auto"/>
                <w:kern w:val="2"/>
                <w:sz w:val="22"/>
                <w:szCs w:val="24"/>
                <w:highlight w:val="none"/>
                <w:lang w:val="en-US" w:eastAsia="zh-CN" w:bidi="ar-SA"/>
              </w:rPr>
              <w:t>文件</w:t>
            </w:r>
            <w:r>
              <w:rPr>
                <w:rFonts w:hint="eastAsia" w:asciiTheme="minorHAnsi" w:hAnsiTheme="minorHAnsi" w:eastAsiaTheme="minorEastAsia" w:cstheme="minorBidi"/>
                <w:color w:val="auto"/>
                <w:kern w:val="2"/>
                <w:sz w:val="22"/>
                <w:szCs w:val="24"/>
                <w:highlight w:val="none"/>
                <w:lang w:val="en-US" w:eastAsia="zh-CN" w:bidi="ar-SA"/>
              </w:rPr>
              <w:t>截止</w:t>
            </w:r>
            <w:r>
              <w:rPr>
                <w:rFonts w:asciiTheme="minorHAnsi" w:hAnsiTheme="minorHAnsi" w:eastAsiaTheme="minorEastAsia" w:cstheme="minorBidi"/>
                <w:color w:val="auto"/>
                <w:kern w:val="2"/>
                <w:sz w:val="22"/>
                <w:szCs w:val="24"/>
                <w:highlight w:val="none"/>
                <w:lang w:val="en-US" w:eastAsia="zh-CN" w:bidi="ar-SA"/>
              </w:rPr>
              <w:t>之日</w:t>
            </w:r>
            <w:r>
              <w:rPr>
                <w:rFonts w:hint="eastAsia" w:asciiTheme="minorHAnsi" w:hAnsiTheme="minorHAnsi" w:eastAsiaTheme="minorEastAsia" w:cstheme="minorBidi"/>
                <w:color w:val="auto"/>
                <w:kern w:val="2"/>
                <w:sz w:val="22"/>
                <w:szCs w:val="24"/>
                <w:highlight w:val="none"/>
                <w:lang w:val="en-US" w:eastAsia="zh-CN" w:bidi="ar-SA"/>
              </w:rPr>
              <w:t>3</w:t>
            </w:r>
            <w:r>
              <w:rPr>
                <w:rFonts w:asciiTheme="minorHAnsi" w:hAnsiTheme="minorHAnsi" w:eastAsiaTheme="minorEastAsia" w:cstheme="minorBidi"/>
                <w:color w:val="auto"/>
                <w:kern w:val="2"/>
                <w:sz w:val="22"/>
                <w:szCs w:val="24"/>
                <w:highlight w:val="none"/>
                <w:lang w:val="en-US" w:eastAsia="zh-CN" w:bidi="ar-SA"/>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widowControl w:val="0"/>
              <w:snapToGrid w:val="0"/>
              <w:ind w:left="42" w:leftChars="20" w:right="42" w:rightChars="20"/>
              <w:jc w:val="both"/>
              <w:rPr>
                <w:rFonts w:hint="eastAsia" w:asciiTheme="minorHAnsi" w:hAnsiTheme="minorHAnsi" w:eastAsiaTheme="minorEastAsia" w:cstheme="minorBidi"/>
                <w:color w:val="auto"/>
                <w:kern w:val="2"/>
                <w:sz w:val="21"/>
                <w:szCs w:val="21"/>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形式：</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“安徽交控建设工程集团有限公司”（网址：http://www.ahjggroup.com）“通知公告”栏目发布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eastAsiaTheme="minor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eastAsiaTheme="minor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asciiTheme="minorHAnsi" w:eastAsiaTheme="minor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eastAsiaTheme="minorEastAsia"/>
                <w:color w:val="auto"/>
                <w:sz w:val="22"/>
                <w:szCs w:val="21"/>
                <w:highlight w:val="none"/>
                <w:lang w:eastAsia="zh-CN"/>
              </w:rPr>
              <w:t>供应商</w:t>
            </w:r>
            <w:r>
              <w:rPr>
                <w:rFonts w:hint="eastAsia"/>
                <w:color w:val="auto"/>
                <w:sz w:val="22"/>
                <w:szCs w:val="21"/>
                <w:highlight w:val="none"/>
              </w:rPr>
              <w:t>确认收到</w:t>
            </w:r>
            <w:r>
              <w:rPr>
                <w:rFonts w:hint="eastAsia" w:eastAsiaTheme="minor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widowControl w:val="0"/>
              <w:snapToGrid w:val="0"/>
              <w:ind w:left="42" w:leftChars="20" w:right="42" w:rightChars="20"/>
              <w:jc w:val="left"/>
              <w:rPr>
                <w:rFonts w:asciiTheme="minorHAnsi" w:hAnsiTheme="minorHAnsi" w:eastAsiaTheme="minorEastAsia" w:cstheme="minorBidi"/>
                <w:color w:val="auto"/>
                <w:kern w:val="2"/>
                <w:sz w:val="21"/>
                <w:szCs w:val="21"/>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形式：</w:t>
            </w:r>
            <w:r>
              <w:rPr>
                <w:rFonts w:hint="eastAsia" w:asciiTheme="minorHAnsi" w:hAnsiTheme="minorHAnsi" w:eastAsiaTheme="minorEastAsia" w:cstheme="minorBidi"/>
                <w:color w:val="auto"/>
                <w:kern w:val="2"/>
                <w:sz w:val="22"/>
                <w:szCs w:val="24"/>
                <w:highlight w:val="none"/>
                <w:lang w:val="en-US" w:eastAsia="zh-CN" w:bidi="ar-SA"/>
              </w:rPr>
              <w:t>供应商</w:t>
            </w:r>
            <w:r>
              <w:rPr>
                <w:rFonts w:asciiTheme="minorHAnsi" w:hAnsiTheme="minorHAnsi" w:eastAsiaTheme="minorEastAsia" w:cstheme="minorBidi"/>
                <w:color w:val="auto"/>
                <w:kern w:val="2"/>
                <w:sz w:val="22"/>
                <w:szCs w:val="24"/>
                <w:highlight w:val="none"/>
                <w:lang w:val="en-US" w:eastAsia="zh-CN" w:bidi="ar-SA"/>
              </w:rPr>
              <w:t>应关注</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安徽交控建设工程集团有限公司（网址：http://www.ahjggroup.com）</w:t>
            </w:r>
            <w:r>
              <w:rPr>
                <w:rFonts w:asciiTheme="minorHAnsi" w:hAnsiTheme="minorHAnsi" w:eastAsiaTheme="minorEastAsia" w:cstheme="minorBidi"/>
                <w:color w:val="auto"/>
                <w:kern w:val="2"/>
                <w:sz w:val="22"/>
                <w:szCs w:val="24"/>
                <w:highlight w:val="none"/>
                <w:lang w:val="en-US" w:eastAsia="zh-CN" w:bidi="ar-SA"/>
              </w:rPr>
              <w:t>的网站，及时</w:t>
            </w:r>
            <w:r>
              <w:rPr>
                <w:rFonts w:hint="eastAsia" w:asciiTheme="minorHAnsi" w:hAnsiTheme="minorHAnsi" w:eastAsiaTheme="minorEastAsia" w:cstheme="minorBidi"/>
                <w:color w:val="auto"/>
                <w:kern w:val="2"/>
                <w:sz w:val="22"/>
                <w:szCs w:val="24"/>
                <w:highlight w:val="none"/>
                <w:lang w:val="en-US" w:eastAsia="zh-CN" w:bidi="ar-SA"/>
              </w:rPr>
              <w:t>查看响应文件</w:t>
            </w:r>
            <w:r>
              <w:rPr>
                <w:rFonts w:asciiTheme="minorHAnsi" w:hAnsiTheme="minorHAnsi" w:eastAsiaTheme="minorEastAsia" w:cstheme="minorBidi"/>
                <w:color w:val="auto"/>
                <w:kern w:val="2"/>
                <w:sz w:val="22"/>
                <w:szCs w:val="24"/>
                <w:highlight w:val="none"/>
                <w:lang w:val="en-US" w:eastAsia="zh-CN" w:bidi="ar-SA"/>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color w:val="auto"/>
                <w:kern w:val="2"/>
                <w:sz w:val="22"/>
                <w:szCs w:val="24"/>
                <w:highlight w:val="none"/>
                <w:lang w:val="en-US" w:eastAsia="zh-CN" w:bidi="ar-SA"/>
              </w:rPr>
              <w:t>响应文件副本份数</w:t>
            </w:r>
          </w:p>
        </w:tc>
        <w:tc>
          <w:tcPr>
            <w:tcW w:w="5107"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装订包封要求</w:t>
            </w:r>
          </w:p>
        </w:tc>
        <w:tc>
          <w:tcPr>
            <w:tcW w:w="5107"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rPr>
              <w:t>□</w:t>
            </w:r>
            <w:r>
              <w:rPr>
                <w:color w:val="auto"/>
                <w:sz w:val="22"/>
                <w:szCs w:val="21"/>
                <w:highlight w:val="none"/>
              </w:rPr>
              <w:t>单信封</w:t>
            </w:r>
          </w:p>
          <w:p>
            <w:pPr>
              <w:rPr>
                <w:color w:val="auto"/>
                <w:szCs w:val="21"/>
                <w:highlight w:val="none"/>
              </w:rPr>
            </w:pPr>
            <w:r>
              <w:rPr>
                <w:rFonts w:hint="eastAsia"/>
                <w:b/>
                <w:bCs/>
                <w:color w:val="auto"/>
                <w:szCs w:val="21"/>
                <w:highlight w:val="none"/>
              </w:rPr>
              <w:sym w:font="Wingdings" w:char="00FE"/>
            </w:r>
            <w:r>
              <w:rPr>
                <w:b/>
                <w:bCs/>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eastAsiaTheme="minorEastAsia"/>
                <w:color w:val="auto"/>
                <w:sz w:val="22"/>
                <w:szCs w:val="21"/>
                <w:highlight w:val="none"/>
                <w:lang w:eastAsia="zh-CN"/>
              </w:rPr>
              <w:t>响应</w:t>
            </w:r>
            <w:r>
              <w:rPr>
                <w:color w:val="auto"/>
                <w:sz w:val="22"/>
                <w:szCs w:val="21"/>
                <w:highlight w:val="none"/>
              </w:rPr>
              <w:t>限价</w:t>
            </w:r>
          </w:p>
        </w:tc>
        <w:tc>
          <w:tcPr>
            <w:tcW w:w="5107" w:type="dxa"/>
            <w:vAlign w:val="center"/>
          </w:tcPr>
          <w:p>
            <w:pPr>
              <w:ind w:left="42" w:leftChars="20" w:right="42" w:rightChars="20"/>
              <w:rPr>
                <w:rFonts w:hint="eastAsia"/>
                <w:b/>
                <w:bCs/>
                <w:color w:val="auto"/>
                <w:sz w:val="22"/>
                <w:szCs w:val="22"/>
                <w:highlight w:val="none"/>
                <w:u w:val="single"/>
                <w:lang w:val="en-US" w:eastAsia="zh-CN"/>
              </w:rPr>
            </w:pPr>
            <w:r>
              <w:rPr>
                <w:rFonts w:hint="eastAsia" w:asciiTheme="minorHAnsi" w:eastAsiaTheme="minorEastAsia"/>
                <w:b/>
                <w:bCs/>
                <w:color w:val="auto"/>
                <w:sz w:val="22"/>
                <w:szCs w:val="22"/>
                <w:highlight w:val="none"/>
                <w:lang w:val="en-US" w:eastAsia="zh-CN"/>
              </w:rPr>
              <w:t>一包段：人民币</w:t>
            </w:r>
            <w:r>
              <w:rPr>
                <w:rFonts w:hint="eastAsia" w:asciiTheme="minorHAnsi" w:eastAsiaTheme="minorEastAsia"/>
                <w:b/>
                <w:bCs/>
                <w:color w:val="auto"/>
                <w:sz w:val="22"/>
                <w:szCs w:val="22"/>
                <w:highlight w:val="none"/>
                <w:u w:val="single"/>
                <w:lang w:val="en-US" w:eastAsia="zh-CN"/>
              </w:rPr>
              <w:t>113万元；</w:t>
            </w:r>
          </w:p>
          <w:p>
            <w:pPr>
              <w:pStyle w:val="8"/>
              <w:rPr>
                <w:rFonts w:hint="default"/>
                <w:lang w:val="en-US"/>
              </w:rPr>
            </w:pPr>
            <w:r>
              <w:rPr>
                <w:rFonts w:hint="eastAsia"/>
                <w:b/>
                <w:bCs/>
                <w:color w:val="auto"/>
                <w:sz w:val="22"/>
                <w:szCs w:val="22"/>
                <w:highlight w:val="none"/>
                <w:u w:val="none"/>
                <w:lang w:val="en-US" w:eastAsia="zh-CN"/>
              </w:rPr>
              <w:t>二包段：</w:t>
            </w:r>
            <w:r>
              <w:rPr>
                <w:rFonts w:hint="eastAsia"/>
                <w:b/>
                <w:bCs/>
                <w:color w:val="auto"/>
                <w:sz w:val="22"/>
                <w:szCs w:val="22"/>
                <w:highlight w:val="none"/>
                <w:lang w:val="en-US" w:eastAsia="zh-CN"/>
              </w:rPr>
              <w:t>人民币</w:t>
            </w:r>
            <w:r>
              <w:rPr>
                <w:rFonts w:hint="eastAsia"/>
                <w:b/>
                <w:bCs/>
                <w:color w:val="auto"/>
                <w:sz w:val="22"/>
                <w:szCs w:val="22"/>
                <w:highlight w:val="none"/>
                <w:u w:val="single"/>
                <w:lang w:val="en-US" w:eastAsia="zh-CN"/>
              </w:rPr>
              <w:t>81万元。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color w:val="auto"/>
                <w:sz w:val="22"/>
                <w:szCs w:val="22"/>
                <w:highlight w:val="none"/>
              </w:rPr>
              <w:t>1.</w:t>
            </w:r>
            <w:r>
              <w:rPr>
                <w:rFonts w:hint="eastAsia" w:eastAsiaTheme="minorEastAsia"/>
                <w:color w:val="auto"/>
                <w:sz w:val="22"/>
                <w:szCs w:val="22"/>
                <w:highlight w:val="none"/>
                <w:lang w:eastAsia="zh-CN"/>
              </w:rPr>
              <w:t>供应商</w:t>
            </w:r>
            <w:r>
              <w:rPr>
                <w:color w:val="auto"/>
                <w:sz w:val="22"/>
                <w:szCs w:val="22"/>
                <w:highlight w:val="none"/>
              </w:rPr>
              <w:t>按照</w:t>
            </w:r>
            <w:r>
              <w:rPr>
                <w:rFonts w:hint="eastAsia" w:eastAsiaTheme="minorEastAsia"/>
                <w:color w:val="auto"/>
                <w:sz w:val="22"/>
                <w:szCs w:val="22"/>
                <w:highlight w:val="none"/>
                <w:lang w:eastAsia="zh-CN"/>
              </w:rPr>
              <w:t>响应文件</w:t>
            </w:r>
            <w:r>
              <w:rPr>
                <w:color w:val="auto"/>
                <w:sz w:val="22"/>
                <w:szCs w:val="22"/>
                <w:highlight w:val="none"/>
              </w:rPr>
              <w:t>中提供的填写要求填写；</w:t>
            </w:r>
          </w:p>
          <w:p>
            <w:pPr>
              <w:ind w:right="42" w:rightChars="20"/>
              <w:rPr>
                <w:color w:val="auto"/>
                <w:sz w:val="22"/>
                <w:szCs w:val="22"/>
                <w:highlight w:val="none"/>
              </w:rPr>
            </w:pPr>
            <w:r>
              <w:rPr>
                <w:rFonts w:hint="eastAsia"/>
                <w:color w:val="auto"/>
                <w:sz w:val="22"/>
                <w:szCs w:val="22"/>
                <w:highlight w:val="none"/>
              </w:rPr>
              <w:t>2.</w:t>
            </w:r>
            <w:r>
              <w:rPr>
                <w:rFonts w:hint="eastAsia" w:eastAsiaTheme="minorEastAsia"/>
                <w:color w:val="auto"/>
                <w:sz w:val="22"/>
                <w:szCs w:val="22"/>
                <w:highlight w:val="none"/>
                <w:lang w:eastAsia="zh-CN"/>
              </w:rPr>
              <w:t>响应</w:t>
            </w:r>
            <w:r>
              <w:rPr>
                <w:color w:val="auto"/>
                <w:sz w:val="22"/>
                <w:szCs w:val="22"/>
                <w:highlight w:val="none"/>
              </w:rPr>
              <w:t>报价为货物生产、制造及供货、包装运输（包括</w:t>
            </w:r>
            <w:r>
              <w:rPr>
                <w:rFonts w:hint="eastAsia"/>
                <w:color w:val="auto"/>
                <w:sz w:val="22"/>
                <w:szCs w:val="22"/>
                <w:highlight w:val="none"/>
              </w:rPr>
              <w:t>物品</w:t>
            </w:r>
            <w:r>
              <w:rPr>
                <w:color w:val="auto"/>
                <w:sz w:val="22"/>
                <w:szCs w:val="22"/>
                <w:highlight w:val="none"/>
              </w:rPr>
              <w:t>卸车、搬运到安装地点）、验收、</w:t>
            </w:r>
            <w:r>
              <w:rPr>
                <w:rFonts w:hint="eastAsia" w:asciiTheme="minorHAnsi" w:eastAsiaTheme="minorEastAsia"/>
                <w:color w:val="auto"/>
                <w:sz w:val="22"/>
                <w:szCs w:val="22"/>
                <w:highlight w:val="none"/>
                <w:lang w:val="en-US" w:eastAsia="zh-CN"/>
              </w:rPr>
              <w:t>安装、</w:t>
            </w:r>
            <w:r>
              <w:rPr>
                <w:color w:val="auto"/>
                <w:sz w:val="22"/>
                <w:szCs w:val="22"/>
                <w:highlight w:val="none"/>
              </w:rPr>
              <w:t>取证、技术服务、损耗费、附属材料费、售后服务、保险费、利润、税金、质保期维护维修服务等全部内容报价。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eastAsiaTheme="minorEastAsia"/>
                <w:color w:val="auto"/>
                <w:sz w:val="22"/>
                <w:szCs w:val="21"/>
                <w:highlight w:val="none"/>
                <w:lang w:eastAsia="zh-CN"/>
              </w:rPr>
              <w:t>供应商</w:t>
            </w:r>
            <w:r>
              <w:rPr>
                <w:color w:val="auto"/>
                <w:sz w:val="22"/>
                <w:szCs w:val="21"/>
                <w:highlight w:val="none"/>
              </w:rPr>
              <w:t>提交投标文件截止之日起计算</w:t>
            </w:r>
            <w:r>
              <w:rPr>
                <w:rFonts w:hint="eastAsia" w:asciiTheme="minorHAnsi" w:eastAsiaTheme="minor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6"/>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6"/>
              <w:rPr>
                <w:color w:val="auto"/>
                <w:szCs w:val="21"/>
                <w:highlight w:val="none"/>
              </w:rPr>
            </w:pPr>
            <w:r>
              <w:rPr>
                <w:rFonts w:hint="eastAsia"/>
                <w:color w:val="auto"/>
                <w:szCs w:val="21"/>
                <w:highlight w:val="none"/>
              </w:rPr>
              <w:t xml:space="preserve">□不要求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color w:val="auto"/>
                <w:szCs w:val="21"/>
                <w:highlight w:val="none"/>
              </w:rPr>
              <w:t>要求，</w:t>
            </w:r>
          </w:p>
          <w:p>
            <w:pPr>
              <w:pStyle w:val="6"/>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6"/>
              <w:rPr>
                <w:rFonts w:hint="eastAsia"/>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壹</w:t>
            </w:r>
            <w:r>
              <w:rPr>
                <w:rFonts w:hint="eastAsia"/>
                <w:b/>
                <w:bCs/>
                <w:color w:val="auto"/>
                <w:szCs w:val="21"/>
                <w:highlight w:val="none"/>
              </w:rPr>
              <w:t>万元</w:t>
            </w:r>
          </w:p>
          <w:p>
            <w:pPr>
              <w:pStyle w:val="6"/>
              <w:rPr>
                <w:color w:val="auto"/>
                <w:szCs w:val="21"/>
                <w:highlight w:val="none"/>
              </w:rPr>
            </w:pPr>
            <w:r>
              <w:rPr>
                <w:rFonts w:hint="eastAsia"/>
                <w:color w:val="auto"/>
                <w:szCs w:val="21"/>
                <w:highlight w:val="none"/>
              </w:rPr>
              <w:t xml:space="preserve">递交要求： </w:t>
            </w:r>
          </w:p>
          <w:p>
            <w:pPr>
              <w:pStyle w:val="6"/>
              <w:rPr>
                <w:color w:val="auto"/>
                <w:szCs w:val="21"/>
                <w:highlight w:val="none"/>
              </w:rPr>
            </w:pPr>
            <w:r>
              <w:rPr>
                <w:rFonts w:hint="eastAsia"/>
                <w:color w:val="auto"/>
                <w:szCs w:val="21"/>
                <w:highlight w:val="none"/>
              </w:rPr>
              <w:t>①投标保证金的到账截止时间：投标截止时间。</w:t>
            </w:r>
          </w:p>
          <w:p>
            <w:pPr>
              <w:pStyle w:val="6"/>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6"/>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asciiTheme="minorHAnsi" w:eastAsiaTheme="minorEastAsia"/>
                <w:color w:val="auto"/>
                <w:sz w:val="22"/>
                <w:szCs w:val="21"/>
                <w:highlight w:val="none"/>
                <w:lang w:val="en-US" w:eastAsia="zh-CN"/>
              </w:rPr>
              <w:t>1</w:t>
            </w:r>
            <w:r>
              <w:rPr>
                <w:color w:val="auto"/>
                <w:sz w:val="22"/>
                <w:szCs w:val="21"/>
                <w:highlight w:val="none"/>
              </w:rPr>
              <w:t>）</w:t>
            </w:r>
            <w:r>
              <w:rPr>
                <w:rFonts w:hint="eastAsia" w:asciiTheme="minorHAnsi" w:eastAsiaTheme="minorEastAsia"/>
                <w:color w:val="auto"/>
                <w:sz w:val="22"/>
                <w:szCs w:val="21"/>
                <w:highlight w:val="none"/>
                <w:lang w:val="en-US" w:eastAsia="zh-CN"/>
              </w:rPr>
              <w:t>成交</w:t>
            </w:r>
            <w:r>
              <w:rPr>
                <w:color w:val="auto"/>
                <w:sz w:val="22"/>
                <w:szCs w:val="21"/>
                <w:highlight w:val="none"/>
              </w:rPr>
              <w:t>候选人放弃</w:t>
            </w:r>
            <w:r>
              <w:rPr>
                <w:rFonts w:hint="eastAsia" w:asciiTheme="minorHAnsi" w:eastAsiaTheme="minorEastAsia"/>
                <w:color w:val="auto"/>
                <w:sz w:val="22"/>
                <w:szCs w:val="21"/>
                <w:highlight w:val="none"/>
                <w:lang w:val="en-US" w:eastAsia="zh-CN"/>
              </w:rPr>
              <w:t>成交</w:t>
            </w:r>
            <w:r>
              <w:rPr>
                <w:color w:val="auto"/>
                <w:sz w:val="22"/>
                <w:szCs w:val="21"/>
                <w:highlight w:val="none"/>
              </w:rPr>
              <w:t>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asciiTheme="minorHAnsi" w:eastAsiaTheme="minorEastAsia"/>
                <w:color w:val="auto"/>
                <w:sz w:val="22"/>
                <w:szCs w:val="21"/>
                <w:highlight w:val="none"/>
                <w:lang w:val="en-US" w:eastAsia="zh-CN"/>
              </w:rPr>
              <w:t>2</w:t>
            </w:r>
            <w:r>
              <w:rPr>
                <w:color w:val="auto"/>
                <w:sz w:val="22"/>
                <w:szCs w:val="21"/>
                <w:highlight w:val="none"/>
              </w:rPr>
              <w:t>）</w:t>
            </w:r>
            <w:r>
              <w:rPr>
                <w:rFonts w:hint="eastAsia" w:eastAsiaTheme="minorEastAsia"/>
                <w:color w:val="auto"/>
                <w:sz w:val="22"/>
                <w:szCs w:val="21"/>
                <w:highlight w:val="none"/>
                <w:lang w:eastAsia="zh-CN"/>
              </w:rPr>
              <w:t>供应商</w:t>
            </w:r>
            <w:r>
              <w:rPr>
                <w:color w:val="auto"/>
                <w:sz w:val="22"/>
                <w:szCs w:val="21"/>
                <w:highlight w:val="none"/>
              </w:rPr>
              <w:t>在投标过程中存在弄虚作假、与</w:t>
            </w:r>
            <w:r>
              <w:rPr>
                <w:rFonts w:hint="eastAsia" w:eastAsiaTheme="minorEastAsia"/>
                <w:color w:val="auto"/>
                <w:sz w:val="22"/>
                <w:szCs w:val="21"/>
                <w:highlight w:val="none"/>
                <w:lang w:eastAsia="zh-CN"/>
              </w:rPr>
              <w:t>采购人</w:t>
            </w:r>
            <w:r>
              <w:rPr>
                <w:color w:val="auto"/>
                <w:sz w:val="22"/>
                <w:szCs w:val="21"/>
                <w:highlight w:val="none"/>
              </w:rPr>
              <w:t>或者其他</w:t>
            </w:r>
            <w:r>
              <w:rPr>
                <w:rFonts w:hint="eastAsia" w:eastAsiaTheme="minor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eastAsiaTheme="minor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asciiTheme="minorHAnsi" w:eastAsiaTheme="minor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eastAsiaTheme="minorEastAsia"/>
                <w:color w:val="auto"/>
                <w:sz w:val="22"/>
                <w:szCs w:val="21"/>
                <w:highlight w:val="none"/>
                <w:lang w:eastAsia="zh-CN"/>
              </w:rPr>
              <w:t>采购文件</w:t>
            </w:r>
            <w:r>
              <w:rPr>
                <w:color w:val="auto"/>
                <w:sz w:val="22"/>
                <w:szCs w:val="21"/>
                <w:highlight w:val="none"/>
              </w:rPr>
              <w:t>所要求的履约保证金的</w:t>
            </w:r>
            <w:r>
              <w:rPr>
                <w:rFonts w:hint="eastAsia" w:eastAsiaTheme="minor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widowControl w:val="0"/>
              <w:tabs>
                <w:tab w:val="left" w:pos="799"/>
                <w:tab w:val="left" w:pos="1569"/>
                <w:tab w:val="left" w:pos="2340"/>
              </w:tabs>
              <w:snapToGrid w:val="0"/>
              <w:spacing w:before="122"/>
              <w:ind w:left="42" w:leftChars="20" w:right="42" w:rightChars="2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s="宋体" w:eastAsiaTheme="minorEastAsia"/>
                <w:color w:val="auto"/>
                <w:kern w:val="2"/>
                <w:sz w:val="22"/>
                <w:szCs w:val="24"/>
                <w:highlight w:val="none"/>
                <w:u w:val="single"/>
                <w:lang w:val="en-US" w:eastAsia="zh-CN" w:bidi="ar-SA"/>
              </w:rPr>
              <w:t>2021</w:t>
            </w:r>
            <w:r>
              <w:rPr>
                <w:rFonts w:hint="eastAsia" w:ascii="宋体" w:hAnsi="宋体" w:cs="宋体" w:eastAsiaTheme="minorEastAsia"/>
                <w:color w:val="auto"/>
                <w:kern w:val="2"/>
                <w:sz w:val="22"/>
                <w:szCs w:val="24"/>
                <w:highlight w:val="none"/>
                <w:lang w:val="en-US" w:eastAsia="zh-CN" w:bidi="ar-SA"/>
              </w:rPr>
              <w:t>年</w:t>
            </w:r>
            <w:r>
              <w:rPr>
                <w:rFonts w:hint="eastAsia" w:ascii="宋体" w:hAnsi="宋体" w:cs="宋体" w:eastAsiaTheme="minorEastAsia"/>
                <w:color w:val="auto"/>
                <w:kern w:val="2"/>
                <w:sz w:val="22"/>
                <w:szCs w:val="24"/>
                <w:highlight w:val="none"/>
                <w:u w:val="single"/>
                <w:lang w:val="en-US" w:eastAsia="zh-CN" w:bidi="ar-SA"/>
              </w:rPr>
              <w:t>1</w:t>
            </w:r>
            <w:r>
              <w:rPr>
                <w:rFonts w:hint="eastAsia" w:ascii="宋体" w:hAnsi="宋体" w:cs="宋体" w:eastAsiaTheme="minorEastAsia"/>
                <w:color w:val="auto"/>
                <w:kern w:val="2"/>
                <w:sz w:val="22"/>
                <w:szCs w:val="24"/>
                <w:highlight w:val="none"/>
                <w:lang w:val="en-US" w:eastAsia="zh-CN" w:bidi="ar-SA"/>
              </w:rPr>
              <w:t>月</w:t>
            </w:r>
            <w:r>
              <w:rPr>
                <w:rFonts w:hint="eastAsia" w:ascii="宋体" w:hAnsi="宋体" w:cs="宋体" w:eastAsiaTheme="minorEastAsia"/>
                <w:color w:val="auto"/>
                <w:kern w:val="2"/>
                <w:sz w:val="22"/>
                <w:szCs w:val="24"/>
                <w:highlight w:val="none"/>
                <w:u w:val="single"/>
                <w:lang w:val="en-US" w:eastAsia="zh-CN" w:bidi="ar-SA"/>
              </w:rPr>
              <w:t xml:space="preserve"> 1</w:t>
            </w:r>
            <w:r>
              <w:rPr>
                <w:rFonts w:hint="eastAsia" w:ascii="宋体" w:hAnsi="宋体" w:cs="宋体" w:eastAsiaTheme="minorEastAsia"/>
                <w:color w:val="auto"/>
                <w:kern w:val="2"/>
                <w:sz w:val="22"/>
                <w:szCs w:val="24"/>
                <w:highlight w:val="none"/>
                <w:lang w:val="en-US" w:eastAsia="zh-CN" w:bidi="ar-SA"/>
              </w:rPr>
              <w:t>日</w:t>
            </w:r>
            <w:r>
              <w:rPr>
                <w:rFonts w:asciiTheme="minorHAnsi" w:hAnsiTheme="minorHAnsi" w:eastAsiaTheme="minorEastAsia" w:cstheme="minorBidi"/>
                <w:color w:val="auto"/>
                <w:kern w:val="2"/>
                <w:sz w:val="22"/>
                <w:szCs w:val="24"/>
                <w:highlight w:val="none"/>
                <w:lang w:val="en-US" w:eastAsia="zh-CN" w:bidi="ar-SA"/>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widowControl w:val="0"/>
              <w:tabs>
                <w:tab w:val="left" w:pos="799"/>
                <w:tab w:val="left" w:pos="1569"/>
                <w:tab w:val="left" w:pos="2340"/>
              </w:tabs>
              <w:snapToGrid w:val="0"/>
              <w:spacing w:before="122"/>
              <w:ind w:left="42" w:leftChars="20" w:right="42" w:rightChars="20"/>
              <w:jc w:val="both"/>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ascii="宋体" w:hAnsi="宋体" w:cs="宋体" w:eastAsiaTheme="minorEastAsia"/>
                <w:color w:val="auto"/>
                <w:kern w:val="2"/>
                <w:sz w:val="22"/>
                <w:szCs w:val="24"/>
                <w:highlight w:val="none"/>
                <w:u w:val="single"/>
                <w:lang w:val="en-US" w:eastAsia="zh-CN" w:bidi="ar-SA"/>
              </w:rPr>
              <w:t xml:space="preserve"> 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eastAsiaTheme="minor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密封情况检查：宣布开标后，供应商代表互检响应文件密封及递交情况，并就检查结果明确意见。开标顺序：以响应签到先后顺序，先开商务技术文件，商务技术文件评审完成后开启报价文件。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评</w:t>
            </w:r>
            <w:r>
              <w:rPr>
                <w:rFonts w:hint="eastAsia" w:ascii="宋体" w:hAnsi="宋体" w:cs="宋体"/>
                <w:color w:val="auto"/>
                <w:sz w:val="22"/>
                <w:highlight w:val="none"/>
                <w:lang w:val="en-US" w:eastAsia="zh-CN"/>
              </w:rPr>
              <w:t>审</w:t>
            </w:r>
            <w:r>
              <w:rPr>
                <w:rFonts w:hint="eastAsia" w:ascii="宋体" w:hAnsi="宋体" w:cs="宋体"/>
                <w:color w:val="auto"/>
                <w:sz w:val="22"/>
                <w:highlight w:val="none"/>
              </w:rPr>
              <w:t>办法</w:t>
            </w:r>
          </w:p>
        </w:tc>
        <w:tc>
          <w:tcPr>
            <w:tcW w:w="5107" w:type="dxa"/>
            <w:vAlign w:val="center"/>
          </w:tcPr>
          <w:p>
            <w:pPr>
              <w:ind w:left="42" w:leftChars="20" w:right="42" w:rightChars="20"/>
              <w:jc w:val="both"/>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eastAsiaTheme="minorEastAsia"/>
                <w:color w:val="auto"/>
                <w:sz w:val="22"/>
                <w:szCs w:val="21"/>
                <w:highlight w:val="none"/>
                <w:lang w:eastAsia="zh-CN"/>
              </w:rPr>
              <w:t>评审小组</w:t>
            </w:r>
            <w:r>
              <w:rPr>
                <w:color w:val="auto"/>
                <w:sz w:val="22"/>
                <w:szCs w:val="21"/>
                <w:highlight w:val="none"/>
              </w:rPr>
              <w:t>构成：</w:t>
            </w:r>
            <w:r>
              <w:rPr>
                <w:rFonts w:hint="eastAsia" w:asciiTheme="minorHAnsi" w:eastAsiaTheme="minorEastAsia"/>
                <w:color w:val="auto"/>
                <w:sz w:val="22"/>
                <w:szCs w:val="21"/>
                <w:highlight w:val="none"/>
                <w:u w:val="single"/>
                <w:lang w:val="en-US" w:eastAsia="zh-CN"/>
              </w:rPr>
              <w:t>3</w:t>
            </w:r>
            <w:r>
              <w:rPr>
                <w:color w:val="auto"/>
                <w:sz w:val="22"/>
                <w:szCs w:val="21"/>
                <w:highlight w:val="none"/>
              </w:rPr>
              <w:t>人</w:t>
            </w:r>
            <w:r>
              <w:rPr>
                <w:rFonts w:hint="eastAsia" w:eastAsiaTheme="minor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评审小组</w:t>
            </w:r>
            <w:r>
              <w:rPr>
                <w:color w:val="auto"/>
                <w:sz w:val="22"/>
                <w:szCs w:val="21"/>
                <w:highlight w:val="none"/>
              </w:rPr>
              <w:t>推荐</w:t>
            </w:r>
            <w:r>
              <w:rPr>
                <w:rFonts w:hint="eastAsia" w:asciiTheme="minorHAnsi" w:eastAsiaTheme="minorEastAsia"/>
                <w:color w:val="auto"/>
                <w:sz w:val="22"/>
                <w:szCs w:val="21"/>
                <w:highlight w:val="none"/>
                <w:lang w:val="en-US" w:eastAsia="zh-CN"/>
              </w:rPr>
              <w:t>成交</w:t>
            </w:r>
            <w:r>
              <w:rPr>
                <w:color w:val="auto"/>
                <w:sz w:val="22"/>
                <w:szCs w:val="21"/>
                <w:highlight w:val="none"/>
              </w:rPr>
              <w:t>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rFonts w:hint="eastAsia" w:asciiTheme="minorHAnsi" w:eastAsiaTheme="minorEastAsia"/>
                <w:color w:val="auto"/>
                <w:sz w:val="22"/>
                <w:szCs w:val="21"/>
                <w:highlight w:val="none"/>
                <w:lang w:val="en-US" w:eastAsia="zh-CN"/>
              </w:rPr>
              <w:t>成交</w:t>
            </w:r>
            <w:r>
              <w:rPr>
                <w:color w:val="auto"/>
                <w:sz w:val="22"/>
                <w:szCs w:val="21"/>
                <w:highlight w:val="none"/>
              </w:rPr>
              <w:t>候选人公示媒介及期限</w:t>
            </w:r>
          </w:p>
        </w:tc>
        <w:tc>
          <w:tcPr>
            <w:tcW w:w="5107" w:type="dxa"/>
            <w:vAlign w:val="center"/>
          </w:tcPr>
          <w:p>
            <w:pPr>
              <w:widowControl w:val="0"/>
              <w:wordWrap w:val="0"/>
              <w:snapToGrid w:val="0"/>
              <w:spacing w:before="107"/>
              <w:ind w:left="42" w:leftChars="20" w:right="42" w:rightChars="20"/>
              <w:jc w:val="left"/>
              <w:rPr>
                <w:rFonts w:asciiTheme="minorHAnsi" w:hAnsiTheme="minorHAnsi" w:eastAsiaTheme="minorEastAsia" w:cstheme="minorBidi"/>
                <w:color w:val="auto"/>
                <w:kern w:val="2"/>
                <w:sz w:val="22"/>
                <w:szCs w:val="24"/>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公示媒介：</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“安徽交控建设工程集团有限公司”（网址：http://www.ahjggroup.com）“通知公告”栏目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eastAsiaTheme="minorEastAsia"/>
                <w:color w:val="auto"/>
                <w:sz w:val="22"/>
                <w:szCs w:val="21"/>
                <w:highlight w:val="none"/>
                <w:lang w:eastAsia="zh-CN"/>
              </w:rPr>
              <w:t>是否授权评审小组确定</w:t>
            </w:r>
            <w:r>
              <w:rPr>
                <w:rFonts w:hint="eastAsia" w:asciiTheme="minorHAnsi" w:eastAsiaTheme="minorEastAsia"/>
                <w:color w:val="auto"/>
                <w:sz w:val="22"/>
                <w:szCs w:val="21"/>
                <w:highlight w:val="none"/>
                <w:lang w:val="en-US" w:eastAsia="zh-CN"/>
              </w:rPr>
              <w:t>成交</w:t>
            </w:r>
            <w:r>
              <w:rPr>
                <w:rFonts w:hint="eastAsia" w:eastAsiaTheme="minorEastAsia"/>
                <w:color w:val="auto"/>
                <w:sz w:val="22"/>
                <w:szCs w:val="21"/>
                <w:highlight w:val="none"/>
                <w:lang w:eastAsia="zh-CN"/>
              </w:rPr>
              <w:t>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eastAsiaTheme="minor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eastAsiaTheme="minorEastAsia"/>
                <w:color w:val="auto"/>
                <w:szCs w:val="21"/>
                <w:highlight w:val="none"/>
                <w:lang w:eastAsia="zh-CN"/>
              </w:rPr>
              <w:t>见第二章第七项条款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asciiTheme="minorHAnsi" w:eastAsiaTheme="minor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asciiTheme="minorHAnsi" w:eastAsiaTheme="minor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eastAsiaTheme="minor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asciiTheme="minorHAnsi" w:eastAsiaTheme="minor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eastAsiaTheme="minor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pPr>
              <w:snapToGrid w:val="0"/>
              <w:spacing w:line="480" w:lineRule="exact"/>
              <w:rPr>
                <w:rFonts w:hint="eastAsia"/>
                <w:highlight w:val="none"/>
                <w:lang w:val="en-US" w:eastAsia="zh-CN"/>
              </w:rPr>
            </w:pPr>
            <w:r>
              <w:rPr>
                <w:rFonts w:hint="eastAsia" w:asciiTheme="minorHAnsi" w:eastAsiaTheme="minorEastAsia"/>
                <w:b/>
                <w:bCs/>
                <w:highlight w:val="none"/>
                <w:lang w:val="en-US" w:eastAsia="zh-CN"/>
              </w:rPr>
              <w:t>一、如在约定的供货期限内达不到招标人要求的供货数量：</w:t>
            </w:r>
          </w:p>
          <w:p>
            <w:pPr>
              <w:snapToGrid w:val="0"/>
              <w:spacing w:line="480" w:lineRule="exact"/>
              <w:rPr>
                <w:rFonts w:hint="eastAsia"/>
                <w:highlight w:val="none"/>
                <w:lang w:val="en-US" w:eastAsia="zh-CN"/>
              </w:rPr>
            </w:pPr>
            <w:r>
              <w:rPr>
                <w:rFonts w:hint="eastAsia" w:asciiTheme="minorHAnsi" w:eastAsiaTheme="minorEastAsia"/>
                <w:highlight w:val="none"/>
                <w:lang w:val="en-US" w:eastAsia="zh-CN"/>
              </w:rPr>
              <w:t>1.采购人人有权终止合同，并依据合同规定追究法律责任。</w:t>
            </w:r>
          </w:p>
          <w:p>
            <w:pPr>
              <w:snapToGrid w:val="0"/>
              <w:spacing w:line="480" w:lineRule="exact"/>
              <w:rPr>
                <w:rFonts w:hint="eastAsia"/>
                <w:highlight w:val="none"/>
                <w:lang w:val="en-US" w:eastAsia="zh-CN"/>
              </w:rPr>
            </w:pPr>
            <w:r>
              <w:rPr>
                <w:rFonts w:hint="eastAsia" w:asciiTheme="minorHAnsi" w:eastAsiaTheme="minorEastAsia"/>
                <w:highlight w:val="none"/>
                <w:lang w:val="en-US" w:eastAsia="zh-CN"/>
              </w:rPr>
              <w:t>2.采购人有权将违约行为有权按照约定进行处罚。</w:t>
            </w:r>
          </w:p>
          <w:p>
            <w:pPr>
              <w:snapToGrid w:val="0"/>
              <w:spacing w:line="480" w:lineRule="exact"/>
              <w:rPr>
                <w:rFonts w:hint="eastAsia"/>
                <w:b/>
                <w:bCs/>
                <w:highlight w:val="none"/>
                <w:lang w:val="en-US" w:eastAsia="zh-CN"/>
              </w:rPr>
            </w:pPr>
            <w:r>
              <w:rPr>
                <w:rFonts w:hint="eastAsia" w:asciiTheme="minorHAnsi" w:eastAsiaTheme="minorEastAsia"/>
                <w:b/>
                <w:bCs/>
                <w:highlight w:val="none"/>
                <w:lang w:val="en-US" w:eastAsia="zh-CN"/>
              </w:rPr>
              <w:t>二、异常低价，采购人有权做废标处理。</w:t>
            </w:r>
          </w:p>
          <w:p>
            <w:pPr>
              <w:snapToGrid w:val="0"/>
              <w:spacing w:line="480" w:lineRule="exact"/>
              <w:rPr>
                <w:rFonts w:hint="eastAsia"/>
                <w:b/>
                <w:bCs/>
                <w:highlight w:val="yellow"/>
                <w:lang w:val="en-US" w:eastAsia="zh-CN"/>
              </w:rPr>
            </w:pPr>
            <w:r>
              <w:rPr>
                <w:rFonts w:hint="eastAsia" w:asciiTheme="minorHAnsi" w:eastAsiaTheme="minorEastAsia"/>
                <w:b/>
                <w:bCs/>
                <w:highlight w:val="yellow"/>
                <w:lang w:val="en-US" w:eastAsia="zh-CN"/>
              </w:rPr>
              <w:t>三、注意事项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HAnsi" w:hAnsiTheme="minorHAnsi" w:eastAsiaTheme="minorEastAsia" w:cstheme="minorBidi"/>
                <w:color w:val="000000"/>
                <w:kern w:val="2"/>
                <w:sz w:val="21"/>
                <w:szCs w:val="24"/>
                <w:highlight w:val="yellow"/>
                <w:lang w:val="en-US" w:eastAsia="zh-CN" w:bidi="ar-SA"/>
              </w:rPr>
            </w:pPr>
            <w:r>
              <w:rPr>
                <w:rFonts w:hint="eastAsia" w:asciiTheme="minorHAnsi" w:hAnsiTheme="minorHAnsi" w:eastAsiaTheme="minorEastAsia" w:cstheme="minorBidi"/>
                <w:color w:val="000000"/>
                <w:kern w:val="2"/>
                <w:sz w:val="21"/>
                <w:szCs w:val="24"/>
                <w:highlight w:val="yellow"/>
                <w:lang w:val="en-US" w:eastAsia="zh-CN" w:bidi="ar-SA"/>
              </w:rPr>
              <w:t>1.二次图纸深化设计及现场尺寸测量、排版下料费用含在总报价内</w:t>
            </w:r>
            <w:r>
              <w:rPr>
                <w:rFonts w:hint="eastAsia" w:ascii="Fang Song" w:hAnsi="Fang Song" w:eastAsia="Fang Song" w:cstheme="minorBidi"/>
                <w:color w:val="000000"/>
                <w:kern w:val="2"/>
                <w:sz w:val="21"/>
                <w:szCs w:val="24"/>
                <w:highlight w:val="yellow"/>
                <w:lang w:val="en-US" w:eastAsia="zh-CN" w:bidi="ar-SA"/>
              </w:rPr>
              <w:t>。</w:t>
            </w:r>
          </w:p>
          <w:p>
            <w:pPr>
              <w:rPr>
                <w:rFonts w:hint="default" w:eastAsia="宋体"/>
                <w:lang w:val="en-US" w:eastAsia="zh-CN"/>
              </w:rPr>
            </w:pPr>
            <w:r>
              <w:rPr>
                <w:rFonts w:hint="eastAsia" w:asciiTheme="minorHAnsi" w:hAnsiTheme="minorHAnsi" w:eastAsiaTheme="minorEastAsia" w:cstheme="minorBidi"/>
                <w:kern w:val="2"/>
                <w:sz w:val="21"/>
                <w:szCs w:val="24"/>
                <w:highlight w:val="yellow"/>
                <w:lang w:val="en-US" w:eastAsia="zh-CN" w:bidi="ar-SA"/>
              </w:rPr>
              <w:t>2</w:t>
            </w:r>
            <w:r>
              <w:rPr>
                <w:rFonts w:hint="default" w:asciiTheme="minorHAnsi" w:hAnsiTheme="minorHAnsi" w:eastAsiaTheme="minorEastAsia" w:cstheme="minorBidi"/>
                <w:kern w:val="2"/>
                <w:sz w:val="21"/>
                <w:szCs w:val="24"/>
                <w:highlight w:val="yellow"/>
                <w:lang w:val="en-US" w:eastAsia="zh-CN" w:bidi="ar-SA"/>
              </w:rPr>
              <w:t>.</w:t>
            </w:r>
            <w:r>
              <w:rPr>
                <w:rFonts w:hint="default" w:asciiTheme="minorHAnsi" w:hAnsiTheme="minorHAnsi" w:eastAsiaTheme="minorEastAsia" w:cstheme="minorBidi"/>
                <w:b/>
                <w:bCs/>
                <w:kern w:val="2"/>
                <w:sz w:val="21"/>
                <w:szCs w:val="24"/>
                <w:highlight w:val="yellow"/>
                <w:lang w:val="en-US" w:eastAsia="zh-CN" w:bidi="ar-SA"/>
              </w:rPr>
              <w:t>厂家需充分熟悉图纸、现场情况后报价，后期不能以铝板造型复杂</w:t>
            </w:r>
            <w:r>
              <w:rPr>
                <w:rFonts w:hint="eastAsia" w:asciiTheme="minorHAnsi" w:hAnsiTheme="minorHAnsi" w:eastAsiaTheme="minorEastAsia" w:cstheme="minorBidi"/>
                <w:b/>
                <w:bCs/>
                <w:kern w:val="2"/>
                <w:sz w:val="21"/>
                <w:szCs w:val="24"/>
                <w:highlight w:val="yellow"/>
                <w:lang w:val="en-US" w:eastAsia="zh-CN" w:bidi="ar-SA"/>
              </w:rPr>
              <w:t>等</w:t>
            </w:r>
            <w:r>
              <w:rPr>
                <w:rFonts w:hint="default" w:asciiTheme="minorHAnsi" w:hAnsiTheme="minorHAnsi" w:eastAsiaTheme="minorEastAsia" w:cstheme="minorBidi"/>
                <w:b/>
                <w:bCs/>
                <w:kern w:val="2"/>
                <w:sz w:val="21"/>
                <w:szCs w:val="24"/>
                <w:highlight w:val="yellow"/>
                <w:lang w:val="en-US" w:eastAsia="zh-CN" w:bidi="ar-SA"/>
              </w:rPr>
              <w:t>情况要求增加费用</w:t>
            </w:r>
            <w:r>
              <w:rPr>
                <w:rFonts w:hint="eastAsia" w:asciiTheme="minorHAnsi" w:hAnsiTheme="minorHAnsi" w:eastAsiaTheme="minorEastAsia" w:cstheme="minorBidi"/>
                <w:b/>
                <w:bCs/>
                <w:kern w:val="2"/>
                <w:sz w:val="21"/>
                <w:szCs w:val="24"/>
                <w:highlight w:val="yellow"/>
                <w:lang w:val="en-US" w:eastAsia="zh-CN" w:bidi="ar-SA"/>
              </w:rPr>
              <w:t>，</w:t>
            </w:r>
            <w:r>
              <w:rPr>
                <w:rFonts w:hint="eastAsia" w:cstheme="minorBidi"/>
                <w:b/>
                <w:bCs/>
                <w:kern w:val="2"/>
                <w:sz w:val="21"/>
                <w:szCs w:val="24"/>
                <w:highlight w:val="yellow"/>
                <w:lang w:val="en-US" w:eastAsia="zh-CN" w:bidi="ar-SA"/>
              </w:rPr>
              <w:t>若被通知要求</w:t>
            </w:r>
            <w:r>
              <w:rPr>
                <w:rFonts w:hint="eastAsia" w:asciiTheme="minorHAnsi" w:hAnsiTheme="minorHAnsi" w:eastAsiaTheme="minorEastAsia" w:cstheme="minorBidi"/>
                <w:b/>
                <w:bCs/>
                <w:kern w:val="2"/>
                <w:sz w:val="21"/>
                <w:szCs w:val="24"/>
                <w:highlight w:val="yellow"/>
                <w:lang w:val="en-US" w:eastAsia="zh-CN" w:bidi="ar-SA"/>
              </w:rPr>
              <w:t>铝板颜色</w:t>
            </w:r>
            <w:r>
              <w:rPr>
                <w:rFonts w:hint="eastAsia" w:cstheme="minorBidi"/>
                <w:b/>
                <w:bCs/>
                <w:kern w:val="2"/>
                <w:sz w:val="21"/>
                <w:szCs w:val="24"/>
                <w:highlight w:val="yellow"/>
                <w:lang w:val="en-US" w:eastAsia="zh-CN" w:bidi="ar-SA"/>
              </w:rPr>
              <w:t>须变更为非常规色，则要求更换的非常规色铝板按相应规格型号的常规色铝板中标单价每平方米增加5元结算。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pPr>
              <w:jc w:val="center"/>
              <w:rPr>
                <w:rFonts w:hint="default"/>
                <w:color w:val="auto"/>
                <w:sz w:val="22"/>
                <w:szCs w:val="21"/>
                <w:highlight w:val="none"/>
                <w:lang w:val="en-US" w:eastAsia="zh-CN"/>
              </w:rPr>
            </w:pPr>
            <w:r>
              <w:rPr>
                <w:rFonts w:hint="eastAsia" w:asciiTheme="minorHAnsi" w:eastAsiaTheme="minorEastAsia"/>
                <w:color w:val="auto"/>
                <w:sz w:val="22"/>
                <w:szCs w:val="21"/>
                <w:highlight w:val="none"/>
                <w:lang w:val="en-US" w:eastAsia="zh-CN"/>
              </w:rPr>
              <w:t>51</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highlight w:val="none"/>
        </w:rPr>
      </w:pPr>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pPr>
        <w:rPr>
          <w:rFonts w:ascii="Times New Roman" w:hAnsi="Times New Roman" w:eastAsia="黑体" w:cs="Times New Roman"/>
          <w:bCs/>
          <w:sz w:val="24"/>
          <w:szCs w:val="32"/>
          <w:highlight w:val="none"/>
        </w:rPr>
      </w:pPr>
      <w:bookmarkStart w:id="50" w:name="_Toc9067720"/>
      <w:bookmarkStart w:id="51" w:name="_Toc26656938"/>
      <w:bookmarkStart w:id="52" w:name="_Toc14201207"/>
      <w:r>
        <w:rPr>
          <w:rFonts w:ascii="Times New Roman" w:hAnsi="Times New Roman" w:eastAsia="黑体" w:cs="Times New Roman"/>
          <w:bCs/>
          <w:sz w:val="24"/>
          <w:szCs w:val="32"/>
          <w:highlight w:val="none"/>
        </w:rPr>
        <w:br w:type="page"/>
      </w:r>
    </w:p>
    <w:p>
      <w:pPr>
        <w:jc w:val="center"/>
        <w:rPr>
          <w:highlight w:val="none"/>
        </w:rPr>
      </w:pPr>
      <w:r>
        <w:rPr>
          <w:rFonts w:hint="eastAsia" w:ascii="黑体" w:eastAsia="黑体"/>
          <w:sz w:val="24"/>
          <w:szCs w:val="24"/>
          <w:highlight w:val="none"/>
        </w:rPr>
        <w:t>附录1 资格审查条件（资质最低条件）</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sz w:val="22"/>
                <w:szCs w:val="22"/>
                <w:highlight w:val="none"/>
              </w:rPr>
            </w:pPr>
            <w:r>
              <w:rPr>
                <w:rFonts w:hint="eastAsia"/>
                <w:sz w:val="21"/>
                <w:szCs w:val="21"/>
                <w:highlight w:val="none"/>
                <w:lang w:val="en-US" w:eastAsia="zh-CN"/>
              </w:rPr>
              <w:t>具备独立法人资格，持有有效的营业执照；制造商/厂家参与询比的，应具备有生产、销售采购人所需材料的能力;制造商的授权代理商参加询比的，应具备代理证书/品牌授权书，有生产、销售采购人所需材料的能力。</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8"/>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sz w:val="21"/>
                <w:szCs w:val="21"/>
                <w:highlight w:val="none"/>
                <w:lang w:val="en-US" w:eastAsia="zh-CN"/>
              </w:rPr>
              <w:t>至少提供1个自2021年1月1日以来，单项合同额不低于100万元的铝单板材销售合同业绩。</w:t>
            </w:r>
          </w:p>
        </w:tc>
      </w:tr>
    </w:tbl>
    <w:p>
      <w:pPr>
        <w:bidi w:val="0"/>
        <w:rPr>
          <w:rFonts w:hint="eastAsia"/>
          <w:highlight w:val="none"/>
          <w:lang w:val="en-US" w:eastAsia="zh-CN"/>
        </w:rPr>
      </w:pPr>
      <w:r>
        <w:rPr>
          <w:rFonts w:hint="eastAsia"/>
          <w:highlight w:val="none"/>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②若合同协议书中不能明确反映出招标文件所要求内容的（如合同金额、合同签订时间、供货内容等），则须提供业主单位（甲方）出具加盖公章的证明材料扫描件。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highlight w:val="none"/>
          <w:lang w:val="en-US" w:eastAsia="zh-CN"/>
        </w:rPr>
        <w:t>④</w:t>
      </w:r>
      <w:r>
        <w:rPr>
          <w:rFonts w:hint="eastAsia"/>
          <w:highlight w:val="none"/>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8"/>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highlight w:val="none"/>
              </w:rPr>
            </w:pPr>
            <w:r>
              <w:rPr>
                <w:rFonts w:hint="eastAsia"/>
                <w:highlight w:val="none"/>
              </w:rPr>
              <w:t>1.投标人、法定代表人近三年内无行贿犯罪行为。</w:t>
            </w:r>
          </w:p>
          <w:p>
            <w:pPr>
              <w:spacing w:line="276" w:lineRule="auto"/>
              <w:ind w:firstLine="210" w:firstLineChars="100"/>
              <w:jc w:val="left"/>
              <w:rPr>
                <w:rFonts w:hint="eastAsia"/>
                <w:highlight w:val="none"/>
              </w:rPr>
            </w:pPr>
            <w:r>
              <w:rPr>
                <w:rFonts w:hint="eastAsia"/>
                <w:highlight w:val="none"/>
              </w:rPr>
              <w:t>2.投标人未被人民法院列入失信被执行人（</w:t>
            </w:r>
            <w:r>
              <w:rPr>
                <w:rFonts w:hint="eastAsia"/>
                <w:b/>
                <w:bCs/>
                <w:highlight w:val="none"/>
              </w:rPr>
              <w:t>以“信用中国”官网http://www.creditchina.gov.cn查询为准</w:t>
            </w:r>
            <w:r>
              <w:rPr>
                <w:rFonts w:hint="eastAsia"/>
                <w:highlight w:val="none"/>
              </w:rPr>
              <w:t>）。</w:t>
            </w:r>
          </w:p>
          <w:p>
            <w:pPr>
              <w:spacing w:line="276" w:lineRule="auto"/>
              <w:ind w:firstLine="210" w:firstLineChars="100"/>
              <w:jc w:val="left"/>
              <w:rPr>
                <w:rFonts w:hint="eastAsia"/>
                <w:highlight w:val="none"/>
              </w:rPr>
            </w:pPr>
            <w:r>
              <w:rPr>
                <w:rFonts w:hint="eastAsia"/>
                <w:highlight w:val="none"/>
              </w:rPr>
              <w:t>3投标人没有正受到责令停业，暂扣或吊销执照，或吊销资质证书。</w:t>
            </w:r>
          </w:p>
          <w:p>
            <w:pPr>
              <w:spacing w:line="276" w:lineRule="auto"/>
              <w:ind w:firstLine="210" w:firstLineChars="100"/>
              <w:jc w:val="left"/>
              <w:rPr>
                <w:rFonts w:hint="eastAsia"/>
                <w:highlight w:val="none"/>
              </w:rPr>
            </w:pPr>
            <w:r>
              <w:rPr>
                <w:rFonts w:hint="eastAsia"/>
                <w:highlight w:val="none"/>
                <w:lang w:val="en-US" w:eastAsia="zh-CN"/>
              </w:rPr>
              <w:t>4</w:t>
            </w:r>
            <w:r>
              <w:rPr>
                <w:rFonts w:hint="eastAsia"/>
                <w:highlight w:val="none"/>
              </w:rPr>
              <w:t>.没有进入清算程序，或被宣告破产，或其他丧失履约能力的情形。</w:t>
            </w:r>
          </w:p>
          <w:p>
            <w:pPr>
              <w:spacing w:line="276" w:lineRule="auto"/>
              <w:ind w:firstLine="210" w:firstLineChars="100"/>
              <w:jc w:val="left"/>
              <w:rPr>
                <w:rFonts w:hint="eastAsia"/>
                <w:highlight w:val="none"/>
              </w:rPr>
            </w:pPr>
            <w:r>
              <w:rPr>
                <w:rFonts w:hint="eastAsia"/>
                <w:highlight w:val="none"/>
                <w:lang w:val="en-US" w:eastAsia="zh-CN"/>
              </w:rPr>
              <w:t>5</w:t>
            </w:r>
            <w:r>
              <w:rPr>
                <w:rFonts w:hint="eastAsia"/>
                <w:highlight w:val="none"/>
              </w:rPr>
              <w:t>.没有在国家企业信用信息公示系统</w:t>
            </w:r>
            <w:r>
              <w:rPr>
                <w:rFonts w:hint="eastAsia"/>
                <w:b/>
                <w:bCs/>
                <w:highlight w:val="none"/>
              </w:rPr>
              <w:t>（http://www.gsxt.gov.cn）</w:t>
            </w:r>
            <w:r>
              <w:rPr>
                <w:rFonts w:hint="eastAsia"/>
                <w:highlight w:val="none"/>
              </w:rPr>
              <w:t>中被列入严重违法失信企业名单。</w:t>
            </w:r>
          </w:p>
          <w:p>
            <w:pPr>
              <w:spacing w:line="276" w:lineRule="auto"/>
              <w:ind w:firstLine="210" w:firstLineChars="100"/>
              <w:jc w:val="left"/>
              <w:rPr>
                <w:rFonts w:hint="eastAsia"/>
                <w:highlight w:val="none"/>
              </w:rPr>
            </w:pPr>
            <w:r>
              <w:rPr>
                <w:rFonts w:hint="eastAsia"/>
                <w:highlight w:val="none"/>
                <w:lang w:val="en-US" w:eastAsia="zh-CN"/>
              </w:rPr>
              <w:t>6</w:t>
            </w:r>
            <w:r>
              <w:rPr>
                <w:rFonts w:hint="eastAsia"/>
                <w:highlight w:val="none"/>
              </w:rPr>
              <w:t>.没有法律法规规定的其他情形。</w:t>
            </w:r>
          </w:p>
          <w:p>
            <w:pPr>
              <w:pStyle w:val="29"/>
              <w:rPr>
                <w:rFonts w:hint="eastAsia"/>
                <w:highlight w:val="none"/>
              </w:rPr>
            </w:pPr>
          </w:p>
        </w:tc>
      </w:tr>
    </w:tbl>
    <w:p>
      <w:pPr>
        <w:pStyle w:val="29"/>
        <w:rPr>
          <w:rFonts w:ascii="Times New Roman" w:hAnsi="Times New Roman" w:eastAsia="黑体" w:cs="Times New Roman"/>
          <w:bCs/>
          <w:sz w:val="24"/>
          <w:szCs w:val="32"/>
          <w:highlight w:val="none"/>
        </w:rPr>
      </w:pPr>
    </w:p>
    <w:p>
      <w:pPr>
        <w:keepNext/>
        <w:keepLines/>
        <w:spacing w:before="156" w:beforeLines="50" w:after="156"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1.1 质量要求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rPr>
        <w:t>见供应商须知前附表。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采购邀请书第3.1款要求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要求：见供应商须知前附表</w:t>
      </w:r>
      <w:r>
        <w:rPr>
          <w:rFonts w:ascii="Times New Roman" w:hAnsi="Times New Roman" w:cs="Times New Roman"/>
          <w:szCs w:val="21"/>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p>
    <w:p>
      <w:pPr>
        <w:spacing w:line="440" w:lineRule="exact"/>
        <w:ind w:firstLine="420"/>
        <w:rPr>
          <w:rFonts w:hint="eastAsia" w:ascii="Times New Roman" w:hAnsi="Times New Roman" w:cs="Times New Roman"/>
          <w:szCs w:val="21"/>
          <w:highlight w:val="none"/>
        </w:rPr>
      </w:pPr>
      <w:r>
        <w:rPr>
          <w:rFonts w:hint="eastAsia" w:ascii="Times New Roman" w:hAnsi="Times New Roman" w:cs="Times New Roman"/>
          <w:szCs w:val="21"/>
          <w:highlight w:val="none"/>
        </w:rPr>
        <w:t>供应商准备和参加询比活动发生的费用自理。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highlight w:val="none"/>
        </w:rPr>
      </w:pPr>
      <w:r>
        <w:rPr>
          <w:rFonts w:ascii="Times New Roman" w:hAnsi="Times New Roman" w:cs="Times New Roman"/>
          <w:highlight w:val="none"/>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r>
        <w:rPr>
          <w:rFonts w:hint="eastAsia" w:ascii="Times New Roman" w:hAnsi="Times New Roman" w:eastAsia="黑体" w:cs="Times New Roman"/>
          <w:bCs/>
          <w:sz w:val="24"/>
          <w:szCs w:val="32"/>
          <w:highlight w:val="none"/>
        </w:rPr>
        <w:t>差</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.2 响应文件存在第三章“评审办法”中所列任一否决</w:t>
      </w:r>
      <w:r>
        <w:rPr>
          <w:rFonts w:hint="eastAsia" w:ascii="Times New Roman" w:hAnsi="Times New Roman" w:cs="Times New Roman"/>
          <w:highlight w:val="none"/>
        </w:rPr>
        <w:t>响应文件</w:t>
      </w:r>
      <w:r>
        <w:rPr>
          <w:rFonts w:ascii="Times New Roman" w:hAnsi="Times New Roman" w:cs="Times New Roman"/>
          <w:highlight w:val="none"/>
        </w:rPr>
        <w:t>情形的，均属于存在重大偏差</w:t>
      </w:r>
      <w:r>
        <w:rPr>
          <w:rFonts w:hint="eastAsia" w:ascii="Times New Roman" w:hAnsi="Times New Roman" w:cs="Times New Roman"/>
          <w:highlight w:val="none"/>
        </w:rPr>
        <w:t>，响应文件将被否决</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询比文件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询比文件的组成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本询比文件包括：</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pPr>
        <w:spacing w:line="440" w:lineRule="exact"/>
        <w:ind w:firstLine="420"/>
        <w:rPr>
          <w:rFonts w:hint="eastAsia" w:ascii="Times New Roman" w:hAnsi="Times New Roman" w:eastAsia="宋体" w:cs="Times New Roman"/>
          <w:highlight w:val="none"/>
          <w:lang w:eastAsia="zh-CN"/>
        </w:rPr>
      </w:pPr>
      <w:r>
        <w:rPr>
          <w:rFonts w:ascii="Times New Roman" w:hAnsi="Times New Roman" w:cs="Times New Roman"/>
          <w:highlight w:val="none"/>
        </w:rPr>
        <w:t>（4）合同内容</w:t>
      </w:r>
      <w:r>
        <w:rPr>
          <w:rFonts w:hint="eastAsia" w:ascii="Times New Roman" w:hAnsi="Times New Roman" w:eastAsia="宋体" w:cs="Times New Roman"/>
          <w:highlight w:val="none"/>
          <w:lang w:eastAsia="zh-CN"/>
        </w:rPr>
        <w:t>；</w:t>
      </w:r>
    </w:p>
    <w:p>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供货要求</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6</w:t>
      </w:r>
      <w:r>
        <w:rPr>
          <w:rFonts w:ascii="Times New Roman" w:hAnsi="Times New Roman" w:cs="Times New Roman"/>
          <w:highlight w:val="none"/>
        </w:rPr>
        <w:t>）采购需求及清单；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7</w:t>
      </w:r>
      <w:r>
        <w:rPr>
          <w:rFonts w:ascii="Times New Roman" w:hAnsi="Times New Roman" w:cs="Times New Roman"/>
          <w:highlight w:val="none"/>
        </w:rPr>
        <w:t>）响应文件格式</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根据本章第2.2款对询比文件所作的澄清、修改，构成询比文件的组成部分。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询比文件的澄清</w:t>
      </w:r>
      <w:r>
        <w:rPr>
          <w:rFonts w:hint="eastAsia" w:ascii="Times New Roman" w:hAnsi="Times New Roman" w:eastAsia="黑体" w:cs="Times New Roman"/>
          <w:bCs/>
          <w:sz w:val="24"/>
          <w:szCs w:val="32"/>
          <w:highlight w:val="none"/>
        </w:rPr>
        <w:t>与修改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w:t>
      </w:r>
      <w:r>
        <w:rPr>
          <w:rFonts w:hint="eastAsia" w:ascii="Times New Roman" w:hAnsi="Times New Roman" w:cs="Times New Roman"/>
          <w:highlight w:val="none"/>
        </w:rPr>
        <w:t xml:space="preserve"> </w:t>
      </w:r>
      <w:r>
        <w:rPr>
          <w:rFonts w:ascii="Times New Roman" w:hAnsi="Times New Roman" w:cs="Times New Roman"/>
          <w:highlight w:val="none"/>
        </w:rPr>
        <w:t>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highlight w:val="none"/>
          <w:lang w:eastAsia="zh-CN"/>
        </w:rPr>
        <w:t>“安徽交控建设工程集团有限公司</w:t>
      </w:r>
      <w:r>
        <w:rPr>
          <w:rFonts w:hint="eastAsia" w:ascii="Times New Roman" w:hAnsi="Times New Roman" w:cs="Times New Roman"/>
          <w:highlight w:val="none"/>
          <w:lang w:val="en-US" w:eastAsia="zh-CN"/>
        </w:rPr>
        <w:t>”官网平台联系采购人</w:t>
      </w:r>
      <w:r>
        <w:rPr>
          <w:rFonts w:ascii="Times New Roman" w:hAnsi="Times New Roman" w:cs="Times New Roman"/>
          <w:highlight w:val="none"/>
        </w:rPr>
        <w:t>对询比文件予以澄清</w:t>
      </w:r>
      <w:r>
        <w:rPr>
          <w:rFonts w:hint="eastAsia" w:ascii="Times New Roman" w:hAnsi="Times New Roman" w:cs="Times New Roman"/>
          <w:highlight w:val="none"/>
        </w:rPr>
        <w:t>或修改</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响应文件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3.1响应文件的组成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商务及技术文件应包括下列内容：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p>
    <w:p>
      <w:pPr>
        <w:spacing w:line="440" w:lineRule="exact"/>
        <w:ind w:firstLine="42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供应商应按第六章“响应文件格式”的要求在报价函中进行报价并填写工程量清单相应表格</w:t>
      </w:r>
      <w:r>
        <w:rPr>
          <w:rFonts w:hint="eastAsia" w:ascii="Times New Roman" w:hAnsi="Times New Roman" w:cs="Times New Roman"/>
          <w:highlight w:val="none"/>
          <w:lang w:val="en-US"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第2.</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款</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为</w:t>
      </w:r>
      <w:r>
        <w:rPr>
          <w:rFonts w:hint="eastAsia" w:ascii="Times New Roman" w:hAnsi="Times New Roman" w:cs="Times New Roman"/>
          <w:highlight w:val="none"/>
          <w:u w:val="single"/>
        </w:rPr>
        <w:t xml:space="preserve">  见供应商须知前附表  </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szCs w:val="21"/>
          <w:highlight w:val="none"/>
        </w:rPr>
        <w:t>见供应商须知前附表</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3.3响应有效期</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3.4响应保证金</w:t>
      </w:r>
    </w:p>
    <w:p>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第7条的要求</w:t>
      </w:r>
      <w:r>
        <w:rPr>
          <w:rFonts w:ascii="Times New Roman" w:hAnsi="Times New Roman" w:cs="Times New Roman"/>
          <w:highlight w:val="none"/>
        </w:rPr>
        <w:t>递交响应保证金，并作为其响应文件的组成部分。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3.4.2 供应商不按本章第3.4.1项要求提交响应保证金的，</w:t>
      </w:r>
      <w:r>
        <w:rPr>
          <w:rFonts w:hint="eastAsia" w:ascii="Times New Roman" w:hAnsi="Times New Roman" w:cs="Times New Roman"/>
          <w:highlight w:val="none"/>
        </w:rPr>
        <w:t>评审小组</w:t>
      </w:r>
      <w:r>
        <w:rPr>
          <w:rFonts w:ascii="Times New Roman" w:hAnsi="Times New Roman" w:cs="Times New Roman"/>
          <w:highlight w:val="none"/>
        </w:rPr>
        <w:t>将否决其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（1）供应商在规定的响应有效期内撤销其响应文件；</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szCs w:val="21"/>
          <w:highlight w:val="none"/>
        </w:rPr>
        <w:t>供应商须知前附表规定的</w:t>
      </w:r>
      <w:r>
        <w:rPr>
          <w:rFonts w:ascii="Times New Roman" w:hAnsi="Times New Roman" w:cs="Times New Roman"/>
          <w:szCs w:val="21"/>
          <w:highlight w:val="none"/>
        </w:rPr>
        <w:t>其他情形</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3.5资格审查资料</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w:t>
      </w:r>
      <w:r>
        <w:rPr>
          <w:rFonts w:hint="eastAsia" w:ascii="Times New Roman" w:hAnsi="Times New Roman" w:cs="Times New Roman"/>
          <w:highlight w:val="none"/>
        </w:rPr>
        <w:t>能力、</w:t>
      </w:r>
      <w:r>
        <w:rPr>
          <w:rFonts w:ascii="Times New Roman" w:hAnsi="Times New Roman" w:cs="Times New Roman"/>
          <w:highlight w:val="none"/>
        </w:rPr>
        <w:t>信誉等要求。</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响应文件应按第六章“响应文件格式”进行编写，如有必要，可以增加附页，作为响应文件的组成部分。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响应文件应当对询比文件有关工期、响应有效期、质量要求、技术标准和要求、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imes New Roman" w:hAnsi="Times New Roman" w:cs="Times New Roman"/>
          <w:highlight w:val="none"/>
        </w:rPr>
        <w:t>响应文件</w:t>
      </w:r>
      <w:r>
        <w:rPr>
          <w:rFonts w:ascii="Times New Roman" w:hAnsi="Times New Roman" w:cs="Times New Roman"/>
          <w:highlight w:val="none"/>
        </w:rPr>
        <w:t>格式”的要求进行</w:t>
      </w:r>
      <w:r>
        <w:rPr>
          <w:rFonts w:hint="eastAsia" w:ascii="Times New Roman" w:hAnsi="Times New Roman" w:cs="Times New Roman"/>
          <w:highlight w:val="none"/>
        </w:rPr>
        <w:t>签名</w:t>
      </w:r>
      <w:r>
        <w:rPr>
          <w:rFonts w:ascii="Times New Roman" w:hAnsi="Times New Roman" w:cs="Times New Roman"/>
          <w:highlight w:val="none"/>
        </w:rPr>
        <w:t>和（或）盖章。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（2）</w:t>
      </w:r>
      <w:r>
        <w:rPr>
          <w:rFonts w:hint="eastAsia" w:ascii="Times New Roman" w:hAnsi="Times New Roman" w:cs="Times New Roman"/>
          <w:highlight w:val="none"/>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 响应文件的递交</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4.1响应文件的密封和标记</w:t>
      </w:r>
    </w:p>
    <w:p>
      <w:pPr>
        <w:spacing w:line="440" w:lineRule="exact"/>
        <w:ind w:firstLine="420"/>
        <w:rPr>
          <w:rFonts w:hint="eastAsia" w:ascii="Times New Roman" w:hAnsi="Times New Roman" w:cs="Times New Roman"/>
          <w:highlight w:val="none"/>
          <w:lang w:val="en-US" w:eastAsia="zh-CN"/>
        </w:rPr>
      </w:pPr>
      <w:r>
        <w:rPr>
          <w:rFonts w:ascii="Times New Roman" w:hAnsi="Times New Roman" w:cs="Times New Roman"/>
          <w:highlight w:val="none"/>
        </w:rPr>
        <w:t>4.1.1响应文件</w:t>
      </w:r>
      <w:r>
        <w:rPr>
          <w:rFonts w:hint="eastAsia" w:ascii="Times New Roman" w:hAnsi="Times New Roman" w:cs="Times New Roman"/>
          <w:highlight w:val="none"/>
        </w:rPr>
        <w:t>正、副本</w:t>
      </w:r>
      <w:r>
        <w:rPr>
          <w:rFonts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第一信封（商务及技术文件）与第二信封（报价文件）分开密封。</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响应文件第一信封（商务及技术文件）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none"/>
          <w:lang w:val="en-US" w:eastAsia="zh-CN"/>
        </w:rPr>
        <w:t>第一信封（商务及技术文件）</w:t>
      </w:r>
      <w:r>
        <w:rPr>
          <w:rFonts w:hint="eastAsia" w:ascii="Times New Roman" w:hAnsi="Times New Roman" w:eastAsia="黑体" w:cs="黑体"/>
          <w:bCs/>
          <w:snapToGrid w:val="0"/>
          <w:kern w:val="0"/>
          <w:szCs w:val="21"/>
          <w:highlight w:val="none"/>
        </w:rPr>
        <w:t>响应文件</w:t>
      </w:r>
    </w:p>
    <w:p>
      <w:pPr>
        <w:spacing w:line="440" w:lineRule="exact"/>
        <w:ind w:firstLine="420"/>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在</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年</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月</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日</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时</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分（递交响应文件的截止时间）前不得开启</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响应文件第二信封（报价文件）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none"/>
          <w:lang w:val="en-US" w:eastAsia="zh-CN"/>
        </w:rPr>
        <w:t>第二信封（报价文件）</w:t>
      </w:r>
      <w:r>
        <w:rPr>
          <w:rFonts w:hint="eastAsia" w:ascii="Times New Roman" w:hAnsi="Times New Roman" w:eastAsia="黑体" w:cs="黑体"/>
          <w:bCs/>
          <w:snapToGrid w:val="0"/>
          <w:kern w:val="0"/>
          <w:szCs w:val="21"/>
          <w:highlight w:val="none"/>
        </w:rPr>
        <w:t>响应文件</w:t>
      </w:r>
    </w:p>
    <w:p>
      <w:pPr>
        <w:spacing w:line="440" w:lineRule="exact"/>
        <w:ind w:firstLine="420" w:firstLineChars="200"/>
        <w:jc w:val="both"/>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lang w:val="en-US" w:eastAsia="zh-CN"/>
        </w:rPr>
        <w:t>在第一信封开启</w:t>
      </w:r>
      <w:r>
        <w:rPr>
          <w:rFonts w:hint="eastAsia" w:ascii="Times New Roman" w:hAnsi="Times New Roman" w:eastAsia="黑体" w:cs="黑体"/>
          <w:bCs/>
          <w:snapToGrid w:val="0"/>
          <w:kern w:val="0"/>
          <w:szCs w:val="21"/>
          <w:highlight w:val="none"/>
        </w:rPr>
        <w:t>前不得开启</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4.1.2</w:t>
      </w:r>
      <w:r>
        <w:rPr>
          <w:rFonts w:ascii="Times New Roman" w:hAnsi="Times New Roman"/>
          <w:highlight w:val="none"/>
        </w:rPr>
        <w:t>未按本章第4.1.1项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第5条的规定递交响应文件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 启封</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第6条的规定进行启封</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highlight w:val="none"/>
        </w:rPr>
        <w:t>（3）</w:t>
      </w:r>
      <w:r>
        <w:rPr>
          <w:rFonts w:hint="eastAsia" w:ascii="Times New Roman" w:hAnsi="Times New Roman" w:cs="Times New Roman"/>
          <w:bCs/>
          <w:highlight w:val="none"/>
          <w:lang w:val="en-US" w:eastAsia="zh-CN"/>
        </w:rPr>
        <w:t>开启商务及技术文件</w:t>
      </w:r>
      <w:r>
        <w:rPr>
          <w:rFonts w:ascii="Times New Roman" w:hAnsi="Times New Roman" w:cs="Times New Roman"/>
          <w:bCs/>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highlight w:val="none"/>
          <w:lang w:val="en-US" w:eastAsia="zh-CN"/>
        </w:rPr>
      </w:pPr>
      <w:r>
        <w:rPr>
          <w:rFonts w:ascii="Times New Roman" w:hAnsi="Times New Roman" w:cs="Times New Roman"/>
          <w:bCs/>
          <w:highlight w:val="none"/>
        </w:rPr>
        <w:t>（</w:t>
      </w:r>
      <w:r>
        <w:rPr>
          <w:rFonts w:hint="eastAsia" w:ascii="Times New Roman" w:hAnsi="Times New Roman" w:cs="Times New Roman"/>
          <w:bCs/>
          <w:highlight w:val="none"/>
        </w:rPr>
        <w:t>4</w:t>
      </w:r>
      <w:r>
        <w:rPr>
          <w:rFonts w:ascii="Times New Roman" w:hAnsi="Times New Roman" w:cs="Times New Roman"/>
          <w:bCs/>
          <w:highlight w:val="none"/>
        </w:rPr>
        <w:t>）</w:t>
      </w:r>
      <w:r>
        <w:rPr>
          <w:rFonts w:hint="eastAsia" w:ascii="Times New Roman" w:hAnsi="Times New Roman" w:cs="Times New Roman"/>
          <w:bCs/>
          <w:highlight w:val="none"/>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bCs/>
          <w:highlight w:val="none"/>
        </w:rPr>
        <w:t>（</w:t>
      </w:r>
      <w:r>
        <w:rPr>
          <w:rFonts w:hint="eastAsia" w:ascii="Times New Roman" w:hAnsi="Times New Roman" w:cs="Times New Roman"/>
          <w:bCs/>
          <w:highlight w:val="none"/>
        </w:rPr>
        <w:t>5</w:t>
      </w:r>
      <w:r>
        <w:rPr>
          <w:rFonts w:ascii="Times New Roman" w:hAnsi="Times New Roman" w:cs="Times New Roman"/>
          <w:bCs/>
          <w:highlight w:val="none"/>
        </w:rPr>
        <w:t>）</w:t>
      </w:r>
      <w:r>
        <w:rPr>
          <w:rFonts w:hint="eastAsia" w:ascii="Times New Roman" w:hAnsi="Times New Roman" w:cs="Times New Roman"/>
          <w:bCs/>
          <w:highlight w:val="none"/>
        </w:rPr>
        <w:t>启封</w:t>
      </w:r>
      <w:r>
        <w:rPr>
          <w:rFonts w:ascii="Times New Roman" w:hAnsi="Times New Roman" w:cs="Times New Roman"/>
          <w:highlight w:val="none"/>
        </w:rPr>
        <w:t>结束</w:t>
      </w:r>
      <w:r>
        <w:rPr>
          <w:rFonts w:ascii="Times New Roman" w:hAnsi="Times New Roman" w:cs="Times New Roman"/>
          <w:bCs/>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 评审</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6.1</w:t>
      </w:r>
      <w:r>
        <w:rPr>
          <w:rFonts w:hint="eastAsia" w:ascii="Times New Roman" w:hAnsi="Times New Roman" w:eastAsia="黑体" w:cs="Times New Roman"/>
          <w:bCs/>
          <w:sz w:val="24"/>
          <w:szCs w:val="32"/>
          <w:highlight w:val="none"/>
        </w:rPr>
        <w:t>评审小组</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w:t>
      </w:r>
      <w:r>
        <w:rPr>
          <w:rFonts w:hint="eastAsia" w:ascii="Times New Roman" w:hAnsi="Times New Roman" w:cs="Times New Roman"/>
          <w:highlight w:val="none"/>
          <w:lang w:val="en-US" w:eastAsia="zh-CN"/>
        </w:rPr>
        <w:t>3人及以上单数</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 合同授予</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采用公开询比方式采购的项目，公示期不得少于</w:t>
      </w:r>
      <w:r>
        <w:rPr>
          <w:rFonts w:hint="eastAsia" w:ascii="Times New Roman" w:hAnsi="Times New Roman" w:cs="Times New Roman"/>
          <w:highlight w:val="none"/>
        </w:rPr>
        <w:t>3</w:t>
      </w:r>
      <w:r>
        <w:rPr>
          <w:rFonts w:ascii="Times New Roman" w:hAnsi="Times New Roman" w:cs="Times New Roman"/>
          <w:highlight w:val="none"/>
        </w:rPr>
        <w:t>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按照询比文件规定的标准和方法进行审查确认。</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7.4履约保证金</w:t>
      </w:r>
    </w:p>
    <w:p>
      <w:pPr>
        <w:ind w:firstLine="420" w:firstLineChars="200"/>
        <w:rPr>
          <w:rFonts w:ascii="Times New Roman" w:hAnsi="Times New Roman" w:cs="Times New Roman"/>
          <w:highlight w:val="none"/>
        </w:rPr>
      </w:pPr>
      <w:r>
        <w:rPr>
          <w:rFonts w:ascii="Times New Roman" w:hAnsi="Times New Roman" w:cs="Times New Roman"/>
          <w:highlight w:val="none"/>
        </w:rPr>
        <w:t>7.4.1</w:t>
      </w:r>
      <w:r>
        <w:rPr>
          <w:rFonts w:hint="eastAsia" w:ascii="宋体" w:hAnsi="宋体" w:eastAsia="宋体" w:cs="宋体"/>
          <w:kern w:val="2"/>
          <w:sz w:val="21"/>
          <w:szCs w:val="21"/>
          <w:highlight w:val="none"/>
          <w:lang w:val="en-US" w:eastAsia="zh-CN" w:bidi="ar-SA"/>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7.5签订合同</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8. 纪律和监督</w:t>
      </w:r>
    </w:p>
    <w:p>
      <w:pPr>
        <w:keepNext/>
        <w:keepLines/>
        <w:spacing w:before="120" w:after="120"/>
        <w:outlineLvl w:val="2"/>
        <w:rPr>
          <w:rFonts w:hint="eastAsia" w:ascii="Times New Roman" w:hAnsi="Times New Roman" w:eastAsia="黑体" w:cs="Times New Roman"/>
          <w:bCs/>
          <w:sz w:val="24"/>
          <w:szCs w:val="32"/>
          <w:highlight w:val="none"/>
        </w:rPr>
      </w:pPr>
      <w:r>
        <w:rPr>
          <w:rFonts w:hint="eastAsia" w:ascii="Times New Roman" w:hAnsi="Times New Roman" w:eastAsia="黑体" w:cs="Times New Roman"/>
          <w:bCs/>
          <w:sz w:val="24"/>
          <w:szCs w:val="32"/>
          <w:highlight w:val="none"/>
          <w:lang w:val="en-US" w:eastAsia="zh-CN"/>
        </w:rPr>
        <w:t xml:space="preserve">8.1 </w:t>
      </w:r>
      <w:r>
        <w:rPr>
          <w:rFonts w:hint="eastAsia" w:ascii="Times New Roman" w:hAnsi="Times New Roman" w:eastAsia="黑体" w:cs="Times New Roman"/>
          <w:bCs/>
          <w:sz w:val="24"/>
          <w:szCs w:val="32"/>
          <w:highlight w:val="none"/>
        </w:rPr>
        <w:t>对</w:t>
      </w:r>
      <w:r>
        <w:rPr>
          <w:rFonts w:hint="eastAsia" w:ascii="Times New Roman" w:hAnsi="Times New Roman" w:eastAsia="黑体" w:cs="Times New Roman"/>
          <w:bCs/>
          <w:sz w:val="24"/>
          <w:szCs w:val="32"/>
          <w:highlight w:val="none"/>
          <w:lang w:eastAsia="zh-CN"/>
        </w:rPr>
        <w:t>采购</w:t>
      </w:r>
      <w:r>
        <w:rPr>
          <w:rFonts w:hint="eastAsia" w:ascii="Times New Roman" w:hAnsi="Times New Roman" w:eastAsia="黑体" w:cs="Times New Roman"/>
          <w:bCs/>
          <w:sz w:val="24"/>
          <w:szCs w:val="32"/>
          <w:highlight w:val="none"/>
        </w:rPr>
        <w:t>人的纪律要求</w:t>
      </w:r>
    </w:p>
    <w:p>
      <w:pPr>
        <w:spacing w:line="440" w:lineRule="exact"/>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eastAsia="zh-CN"/>
        </w:rPr>
        <w:t>采购</w:t>
      </w:r>
      <w:r>
        <w:rPr>
          <w:rFonts w:hint="eastAsia" w:ascii="Times New Roman" w:hAnsi="Times New Roman" w:cs="Times New Roman"/>
          <w:highlight w:val="none"/>
        </w:rPr>
        <w:t>人不得泄露</w:t>
      </w:r>
      <w:r>
        <w:rPr>
          <w:rFonts w:hint="eastAsia" w:ascii="Times New Roman" w:hAnsi="Times New Roman" w:cs="Times New Roman"/>
          <w:highlight w:val="none"/>
          <w:lang w:eastAsia="zh-CN"/>
        </w:rPr>
        <w:t>采购</w:t>
      </w:r>
      <w:r>
        <w:rPr>
          <w:rFonts w:hint="eastAsia" w:ascii="Times New Roman" w:hAnsi="Times New Roman" w:cs="Times New Roman"/>
          <w:highlight w:val="none"/>
        </w:rPr>
        <w:t>活动中应当保密的情况和资料， 不得与</w:t>
      </w:r>
      <w:r>
        <w:rPr>
          <w:rFonts w:hint="eastAsia" w:ascii="Times New Roman" w:hAnsi="Times New Roman" w:cs="Times New Roman"/>
          <w:highlight w:val="none"/>
          <w:lang w:eastAsia="zh-CN"/>
        </w:rPr>
        <w:t>响应供应商</w:t>
      </w:r>
      <w:r>
        <w:rPr>
          <w:rFonts w:hint="eastAsia" w:ascii="Times New Roman" w:hAnsi="Times New Roman" w:cs="Times New Roman"/>
          <w:highlight w:val="none"/>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8.2对响应供应商的纪律要求</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8.3 对评审小组成员的纪律要求</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成员不得收受他人的财物或者其他好处，不得向他人透露对</w:t>
      </w:r>
      <w:r>
        <w:rPr>
          <w:rFonts w:hint="eastAsia" w:ascii="Times New Roman" w:hAnsi="Times New Roman" w:cs="Times New Roman"/>
          <w:highlight w:val="none"/>
          <w:lang w:eastAsia="zh-CN"/>
        </w:rPr>
        <w:t>响应</w:t>
      </w:r>
      <w:r>
        <w:rPr>
          <w:rFonts w:hint="eastAsia" w:ascii="Times New Roman" w:hAnsi="Times New Roman" w:cs="Times New Roman"/>
          <w:highlight w:val="none"/>
        </w:rPr>
        <w:t>文件的评审和比较、中标候选人的推荐情况以及</w:t>
      </w:r>
      <w:r>
        <w:rPr>
          <w:rFonts w:hint="eastAsia" w:ascii="Times New Roman" w:hAnsi="Times New Roman" w:cs="Times New Roman"/>
          <w:highlight w:val="none"/>
          <w:lang w:eastAsia="zh-CN"/>
        </w:rPr>
        <w:t>评审</w:t>
      </w:r>
      <w:r>
        <w:rPr>
          <w:rFonts w:hint="eastAsia" w:ascii="Times New Roman" w:hAnsi="Times New Roman" w:cs="Times New Roman"/>
          <w:highlight w:val="none"/>
        </w:rPr>
        <w:t>有关的其他情况。在</w:t>
      </w:r>
      <w:r>
        <w:rPr>
          <w:rFonts w:hint="eastAsia" w:ascii="Times New Roman" w:hAnsi="Times New Roman" w:cs="Times New Roman"/>
          <w:highlight w:val="none"/>
          <w:lang w:eastAsia="zh-CN"/>
        </w:rPr>
        <w:t>评审</w:t>
      </w:r>
      <w:r>
        <w:rPr>
          <w:rFonts w:hint="eastAsia" w:ascii="Times New Roman" w:hAnsi="Times New Roman" w:cs="Times New Roman"/>
          <w:highlight w:val="none"/>
        </w:rPr>
        <w:t>活动中，</w:t>
      </w: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成员应当客观、公正地履行职责，遵守职业道德，不得擅离职守，影响评标程序正常进行，不得使用第三章“</w:t>
      </w:r>
      <w:r>
        <w:rPr>
          <w:rFonts w:hint="eastAsia" w:ascii="Times New Roman" w:hAnsi="Times New Roman" w:cs="Times New Roman"/>
          <w:highlight w:val="none"/>
          <w:lang w:eastAsia="zh-CN"/>
        </w:rPr>
        <w:t>评审</w:t>
      </w:r>
      <w:r>
        <w:rPr>
          <w:rFonts w:hint="eastAsia" w:ascii="Times New Roman" w:hAnsi="Times New Roman" w:cs="Times New Roman"/>
          <w:highlight w:val="none"/>
        </w:rPr>
        <w:t>办法”没有规定的评审因素和标准进行</w:t>
      </w:r>
      <w:r>
        <w:rPr>
          <w:rFonts w:hint="eastAsia" w:ascii="Times New Roman" w:hAnsi="Times New Roman" w:cs="Times New Roman"/>
          <w:highlight w:val="none"/>
          <w:lang w:eastAsia="zh-CN"/>
        </w:rPr>
        <w:t>评审</w:t>
      </w:r>
      <w:r>
        <w:rPr>
          <w:rFonts w:hint="eastAsia"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hint="eastAsia" w:ascii="Times New Roman" w:hAnsi="Times New Roman" w:eastAsia="黑体" w:cs="Times New Roman"/>
          <w:bCs/>
          <w:sz w:val="24"/>
          <w:szCs w:val="32"/>
          <w:highlight w:val="none"/>
        </w:rPr>
        <w:t xml:space="preserve">9. </w:t>
      </w:r>
      <w:r>
        <w:rPr>
          <w:rFonts w:ascii="Times New Roman" w:hAnsi="Times New Roman" w:eastAsia="黑体" w:cs="Times New Roman"/>
          <w:bCs/>
          <w:sz w:val="24"/>
          <w:szCs w:val="32"/>
          <w:highlight w:val="none"/>
        </w:rPr>
        <w:t>需要补充的其他内容</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t>需要补充的其他内容：见供应商须知前附表。</w:t>
      </w:r>
    </w:p>
    <w:bookmarkEnd w:id="50"/>
    <w:bookmarkEnd w:id="51"/>
    <w:bookmarkEnd w:id="52"/>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br w:type="page"/>
      </w:r>
    </w:p>
    <w:p>
      <w:pPr>
        <w:pStyle w:val="3"/>
        <w:spacing w:before="312" w:after="312"/>
        <w:rPr>
          <w:rFonts w:ascii="Times New Roman" w:hAnsi="Times New Roman" w:eastAsia="宋体" w:cs="Times New Roman"/>
          <w:highlight w:val="none"/>
        </w:rPr>
      </w:pPr>
      <w:bookmarkStart w:id="53" w:name="_Toc18085"/>
      <w:r>
        <w:rPr>
          <w:rFonts w:ascii="Times New Roman" w:hAnsi="Times New Roman" w:eastAsia="宋体" w:cs="Times New Roman"/>
          <w:highlight w:val="none"/>
        </w:rPr>
        <w:t>评审办法</w:t>
      </w:r>
      <w:bookmarkEnd w:id="53"/>
    </w:p>
    <w:p>
      <w:pPr>
        <w:rPr>
          <w:rFonts w:ascii="Times New Roman" w:hAnsi="Times New Roman" w:eastAsia="宋体" w:cs="Times New Roman"/>
          <w:highlight w:val="none"/>
          <w:vertAlign w:val="baseline"/>
        </w:rPr>
      </w:pPr>
    </w:p>
    <w:p>
      <w:pPr>
        <w:rPr>
          <w:rFonts w:ascii="Times New Roman" w:hAnsi="Times New Roman" w:eastAsia="宋体" w:cs="Times New Roman"/>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highlight w:val="none"/>
        </w:rPr>
      </w:pPr>
      <w:bookmarkStart w:id="54" w:name="_Toc14847"/>
      <w:bookmarkStart w:id="55" w:name="_Toc457482536"/>
      <w:bookmarkStart w:id="56" w:name="_Toc152045528"/>
      <w:bookmarkStart w:id="57" w:name="_Toc3834"/>
      <w:bookmarkStart w:id="58" w:name="_Toc144974496"/>
      <w:bookmarkStart w:id="59" w:name="_Toc447808662"/>
      <w:bookmarkStart w:id="60" w:name="_Toc152042304"/>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pPr>
        <w:pStyle w:val="33"/>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54"/>
      <w:bookmarkEnd w:id="55"/>
      <w:bookmarkEnd w:id="56"/>
      <w:bookmarkEnd w:id="57"/>
      <w:bookmarkEnd w:id="58"/>
      <w:bookmarkEnd w:id="59"/>
      <w:bookmarkEnd w:id="60"/>
      <w:r>
        <w:rPr>
          <w:rFonts w:hint="eastAsia" w:ascii="宋体" w:hAnsi="宋体" w:eastAsia="宋体"/>
          <w:b/>
          <w:bCs/>
          <w:szCs w:val="28"/>
          <w:highlight w:val="none"/>
        </w:rPr>
        <w:t>A</w:t>
      </w:r>
    </w:p>
    <w:tbl>
      <w:tblPr>
        <w:tblStyle w:val="2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2"/>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945" w:type="dxa"/>
            <w:vAlign w:val="center"/>
          </w:tcPr>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3"/>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T≥3</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pPr>
        <w:rPr>
          <w:rFonts w:hint="eastAsia"/>
          <w:highlight w:val="none"/>
        </w:rPr>
      </w:pPr>
    </w:p>
    <w:tbl>
      <w:tblPr>
        <w:tblStyle w:val="2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8"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pStyle w:val="33"/>
        <w:numPr>
          <w:ilvl w:val="0"/>
          <w:numId w:val="0"/>
        </w:numPr>
        <w:spacing w:before="0"/>
        <w:outlineLvl w:val="9"/>
        <w:rPr>
          <w:rFonts w:hint="eastAsia" w:ascii="宋体" w:hAnsi="宋体" w:eastAsia="宋体"/>
          <w:b/>
          <w:bCs/>
          <w:szCs w:val="28"/>
          <w:highlight w:val="none"/>
        </w:rPr>
      </w:pPr>
    </w:p>
    <w:p>
      <w:pPr>
        <w:pStyle w:val="33"/>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2"/>
        <w:tblpPr w:leftFromText="180" w:rightFromText="180" w:vertAnchor="text" w:horzAnchor="page" w:tblpX="1855" w:tblpY="576"/>
        <w:tblOverlap w:val="never"/>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5" w:type="dxa"/>
            <w:vAlign w:val="center"/>
          </w:tcPr>
          <w:p>
            <w:pPr>
              <w:pStyle w:val="8"/>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385"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25" w:type="dxa"/>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385"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highlight w:val="yellow"/>
              </w:rPr>
              <w:t>业    绩：</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 xml:space="preserve">25 </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rPr>
              <w:t>分</w:t>
            </w:r>
          </w:p>
          <w:p>
            <w:pPr>
              <w:ind w:left="618" w:hanging="630" w:hangingChars="300"/>
              <w:jc w:val="both"/>
              <w:rPr>
                <w:rFonts w:hint="eastAsia" w:ascii="宋体" w:hAnsi="宋体" w:eastAsia="宋体" w:cs="宋体"/>
                <w:sz w:val="21"/>
                <w:szCs w:val="21"/>
                <w:highlight w:val="yellow"/>
              </w:rPr>
            </w:pPr>
            <w:r>
              <w:rPr>
                <w:rFonts w:hint="eastAsia" w:ascii="宋体" w:hAnsi="宋体" w:eastAsia="宋体" w:cs="宋体"/>
                <w:sz w:val="21"/>
                <w:szCs w:val="21"/>
                <w:highlight w:val="yellow"/>
                <w:lang w:val="en-US" w:eastAsia="zh-CN"/>
              </w:rPr>
              <w:t>企业实力：</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 xml:space="preserve">30 </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rPr>
              <w:t>生产体系认证</w:t>
            </w: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 xml:space="preserve">3 </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生产设备及生产工艺：</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 xml:space="preserve">25 </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yellow"/>
                <w:lang w:val="en-US" w:eastAsia="zh-CN"/>
              </w:rPr>
              <w:t>供货方案：</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u w:val="single"/>
                <w:lang w:val="en-US" w:eastAsia="zh-CN"/>
              </w:rPr>
              <w:t xml:space="preserve">17 </w:t>
            </w:r>
            <w:r>
              <w:rPr>
                <w:rFonts w:hint="eastAsia" w:ascii="宋体" w:hAnsi="宋体" w:eastAsia="宋体" w:cs="宋体"/>
                <w:sz w:val="21"/>
                <w:szCs w:val="21"/>
                <w:highlight w:val="yellow"/>
                <w:u w:val="single"/>
              </w:rPr>
              <w:t xml:space="preserve"> </w:t>
            </w:r>
            <w:r>
              <w:rPr>
                <w:rFonts w:hint="eastAsia" w:ascii="宋体" w:hAnsi="宋体" w:eastAsia="宋体" w:cs="宋体"/>
                <w:sz w:val="21"/>
                <w:szCs w:val="21"/>
                <w:highlight w:val="yello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25" w:type="dxa"/>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385"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2"/>
        <w:tblW w:w="54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01"/>
        <w:gridCol w:w="938"/>
        <w:gridCol w:w="1777"/>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5" w:hRule="atLeast"/>
        </w:trPr>
        <w:tc>
          <w:tcPr>
            <w:tcW w:w="493" w:type="pct"/>
            <w:vAlign w:val="center"/>
          </w:tcPr>
          <w:p>
            <w:pPr>
              <w:pStyle w:val="8"/>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13" w:type="pct"/>
            <w:vAlign w:val="center"/>
          </w:tcPr>
          <w:p>
            <w:pPr>
              <w:pStyle w:val="8"/>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972" w:type="pct"/>
            <w:vAlign w:val="center"/>
          </w:tcPr>
          <w:p>
            <w:pPr>
              <w:pStyle w:val="8"/>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020" w:type="pct"/>
            <w:vAlign w:val="center"/>
          </w:tcPr>
          <w:p>
            <w:pPr>
              <w:pStyle w:val="8"/>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4" w:hRule="atLeast"/>
        </w:trPr>
        <w:tc>
          <w:tcPr>
            <w:tcW w:w="493" w:type="pct"/>
            <w:vMerge w:val="restart"/>
            <w:vAlign w:val="center"/>
          </w:tcPr>
          <w:p>
            <w:pPr>
              <w:pStyle w:val="8"/>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8"/>
              <w:adjustRightInd w:val="0"/>
              <w:snapToGrid w:val="0"/>
              <w:rPr>
                <w:rFonts w:hint="eastAsia" w:ascii="宋体" w:hAnsi="宋体" w:eastAsia="宋体" w:cs="宋体"/>
                <w:sz w:val="21"/>
                <w:szCs w:val="21"/>
                <w:highlight w:val="none"/>
              </w:rPr>
            </w:pPr>
          </w:p>
        </w:tc>
        <w:tc>
          <w:tcPr>
            <w:tcW w:w="513" w:type="pct"/>
            <w:vMerge w:val="restart"/>
            <w:vAlign w:val="center"/>
          </w:tcPr>
          <w:p>
            <w:pPr>
              <w:pStyle w:val="8"/>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72" w:type="pct"/>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8"/>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25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8"/>
              <w:adjustRightInd w:val="0"/>
              <w:snapToGrid w:val="0"/>
              <w:jc w:val="both"/>
              <w:rPr>
                <w:rFonts w:hint="eastAsia"/>
                <w:highlight w:val="none"/>
                <w:lang w:val="en-US" w:eastAsia="zh-CN"/>
              </w:rPr>
            </w:pPr>
            <w:r>
              <w:rPr>
                <w:rFonts w:hint="eastAsia"/>
                <w:highlight w:val="none"/>
                <w:lang w:val="en-US" w:eastAsia="zh-CN"/>
              </w:rPr>
              <w:t>自2021年1月1日以来（以合同签订时间为准），具有单项合同额不低于100万元的铝单板销售合同业绩，每提供一个业绩得5分，满分25分。</w:t>
            </w:r>
          </w:p>
          <w:p>
            <w:pPr>
              <w:pStyle w:val="8"/>
              <w:numPr>
                <w:ilvl w:val="0"/>
                <w:numId w:val="0"/>
              </w:numPr>
              <w:adjustRightInd w:val="0"/>
              <w:snapToGrid w:val="0"/>
              <w:jc w:val="both"/>
              <w:rPr>
                <w:rFonts w:hint="eastAsia"/>
                <w:highlight w:val="none"/>
                <w:lang w:val="en-US" w:eastAsia="zh-CN"/>
              </w:rPr>
            </w:pPr>
            <w:r>
              <w:rPr>
                <w:rFonts w:hint="eastAsia"/>
                <w:highlight w:val="none"/>
                <w:lang w:val="en-US" w:eastAsia="zh-CN"/>
              </w:rPr>
              <w:t>1.响应</w:t>
            </w:r>
            <w:r>
              <w:rPr>
                <w:rFonts w:hint="eastAsia"/>
                <w:highlight w:val="none"/>
              </w:rPr>
              <w:t>文件中提供业绩合同扫描件，如业绩合同中无法体现合同签订时间、供货内容</w:t>
            </w:r>
            <w:r>
              <w:rPr>
                <w:rFonts w:hint="eastAsia"/>
                <w:highlight w:val="none"/>
                <w:lang w:eastAsia="zh-CN"/>
              </w:rPr>
              <w:t>、</w:t>
            </w:r>
            <w:r>
              <w:rPr>
                <w:rFonts w:hint="eastAsia"/>
                <w:highlight w:val="none"/>
                <w:lang w:val="en-US" w:eastAsia="zh-CN"/>
              </w:rPr>
              <w:t>金额</w:t>
            </w:r>
            <w:r>
              <w:rPr>
                <w:rFonts w:hint="eastAsia"/>
                <w:highlight w:val="none"/>
              </w:rPr>
              <w:t>等信息，</w:t>
            </w:r>
            <w:r>
              <w:rPr>
                <w:rFonts w:hint="eastAsia"/>
                <w:highlight w:val="none"/>
                <w:lang w:val="en-US" w:eastAsia="zh-CN"/>
              </w:rPr>
              <w:t>应另附合同甲方证明材料（须加盖合同甲方单位章）予以明确说明，否则评审委员会不予认可。</w:t>
            </w:r>
          </w:p>
          <w:p>
            <w:pPr>
              <w:pStyle w:val="8"/>
              <w:numPr>
                <w:ilvl w:val="0"/>
                <w:numId w:val="0"/>
              </w:numPr>
              <w:adjustRightInd w:val="0"/>
              <w:snapToGrid w:val="0"/>
              <w:jc w:val="both"/>
              <w:rPr>
                <w:rFonts w:hint="default"/>
                <w:highlight w:val="none"/>
                <w:lang w:val="en-US" w:eastAsia="zh-CN"/>
              </w:rPr>
            </w:pPr>
            <w:r>
              <w:rPr>
                <w:rFonts w:hint="eastAsia"/>
                <w:highlight w:val="none"/>
                <w:lang w:val="en-US" w:eastAsia="zh-CN"/>
              </w:rPr>
              <w:t>2.资格审查业绩可作为商务及技术文件评审业绩。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ind w:left="210" w:hanging="210" w:hangingChars="100"/>
              <w:rPr>
                <w:rFonts w:hint="eastAsia" w:ascii="宋体" w:hAnsi="宋体" w:eastAsia="宋体" w:cs="宋体"/>
                <w:sz w:val="21"/>
                <w:szCs w:val="21"/>
                <w:highlight w:val="none"/>
                <w:lang w:val="en-US" w:eastAsia="zh-CN"/>
              </w:rPr>
            </w:pPr>
          </w:p>
        </w:tc>
        <w:tc>
          <w:tcPr>
            <w:tcW w:w="972" w:type="pct"/>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19"/>
              <w:ind w:left="0" w:leftChars="0" w:firstLine="210"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1、供应商提供所投产品（铝单板）的检测报告，得10分，满分10分。</w:t>
            </w:r>
          </w:p>
          <w:p>
            <w:pPr>
              <w:pStyle w:val="8"/>
              <w:ind w:firstLine="210" w:firstLineChars="100"/>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 xml:space="preserve">  注：须提供合格有效的国内或国际检测机构出具的检测报告。（投标时提供证书复印件或扫描件，未提供不得分）。</w:t>
            </w:r>
          </w:p>
          <w:p>
            <w:pPr>
              <w:pStyle w:val="8"/>
              <w:numPr>
                <w:ilvl w:val="0"/>
                <w:numId w:val="4"/>
              </w:numPr>
              <w:ind w:firstLine="210" w:firstLineChars="100"/>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供应商具有有效期内的可在中国企业信用服务平台（www.creditchina.gov.cn）查询的</w:t>
            </w:r>
            <w:r>
              <w:rPr>
                <w:rFonts w:hint="eastAsia" w:ascii="宋体" w:hAnsi="宋体" w:eastAsia="宋体" w:cs="宋体"/>
                <w:color w:val="auto"/>
                <w:kern w:val="0"/>
                <w:sz w:val="21"/>
                <w:szCs w:val="21"/>
                <w:highlight w:val="yellow"/>
                <w:u w:val="none"/>
                <w:lang w:val="en-US" w:eastAsia="zh-CN" w:bidi="ar"/>
              </w:rPr>
              <w:t>信用等级证书AAA级得3分；资信等级证书AAA级得3分；信用等级证书AAA级</w:t>
            </w:r>
            <w:r>
              <w:rPr>
                <w:rFonts w:hint="eastAsia" w:ascii="宋体" w:hAnsi="宋体" w:eastAsia="宋体" w:cs="宋体"/>
                <w:color w:val="auto"/>
                <w:kern w:val="0"/>
                <w:sz w:val="21"/>
                <w:szCs w:val="21"/>
                <w:highlight w:val="none"/>
                <w:u w:val="none"/>
                <w:lang w:val="en-US" w:eastAsia="zh-CN" w:bidi="ar"/>
              </w:rPr>
              <w:t>得3分；诚信经营示范单位证书AAA级得3分；重合同守信用企业证书AAA级得3分。</w:t>
            </w:r>
          </w:p>
          <w:p>
            <w:pPr>
              <w:pStyle w:val="8"/>
              <w:numPr>
                <w:ilvl w:val="0"/>
                <w:numId w:val="0"/>
              </w:numP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注：供应商应提供证书复印件或扫描件，未提供不得分。</w:t>
            </w:r>
          </w:p>
          <w:p>
            <w:pPr>
              <w:pStyle w:val="19"/>
              <w:ind w:left="0" w:leftChars="0" w:firstLine="210" w:firstLineChars="100"/>
              <w:jc w:val="both"/>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3、供应商获得“高新技术企业证书”，且在有效期内的得5分。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ind w:left="210" w:hanging="210" w:hangingChars="100"/>
              <w:rPr>
                <w:rFonts w:hint="eastAsia" w:ascii="宋体" w:hAnsi="宋体" w:eastAsia="宋体" w:cs="宋体"/>
                <w:sz w:val="21"/>
                <w:szCs w:val="21"/>
                <w:highlight w:val="none"/>
                <w:lang w:val="en-US" w:eastAsia="zh-CN"/>
              </w:rPr>
            </w:pPr>
          </w:p>
        </w:tc>
        <w:tc>
          <w:tcPr>
            <w:tcW w:w="972" w:type="pct"/>
            <w:vAlign w:val="center"/>
          </w:tcPr>
          <w:p>
            <w:pPr>
              <w:ind w:left="618" w:hanging="618" w:hangingChars="300"/>
              <w:jc w:val="center"/>
              <w:rPr>
                <w:rFonts w:hint="eastAsia" w:ascii="宋体" w:hAnsi="宋体" w:eastAsia="宋体" w:cs="宋体"/>
                <w:sz w:val="21"/>
                <w:szCs w:val="21"/>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p>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9"/>
              <w:rPr>
                <w:rFonts w:hint="eastAsia"/>
                <w:highlight w:val="none"/>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1分，总分3分。提供证书扫描件以及全国认证认可信息公共服务平台官网证书信息查询截图，未提供或提供材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ind w:left="210" w:hanging="210" w:hangingChars="100"/>
              <w:rPr>
                <w:rFonts w:hint="eastAsia" w:ascii="宋体" w:hAnsi="宋体" w:eastAsia="宋体" w:cs="宋体"/>
                <w:sz w:val="21"/>
                <w:szCs w:val="21"/>
                <w:highlight w:val="none"/>
                <w:lang w:val="en-US" w:eastAsia="zh-CN"/>
              </w:rPr>
            </w:pPr>
          </w:p>
        </w:tc>
        <w:tc>
          <w:tcPr>
            <w:tcW w:w="972" w:type="pct"/>
            <w:vAlign w:val="center"/>
          </w:tcPr>
          <w:p>
            <w:pPr>
              <w:ind w:left="420" w:hanging="420" w:hangingChars="2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生产设备</w:t>
            </w:r>
            <w:r>
              <w:rPr>
                <w:rFonts w:hint="eastAsia" w:ascii="宋体" w:hAnsi="宋体" w:eastAsia="宋体" w:cs="宋体"/>
                <w:sz w:val="21"/>
                <w:szCs w:val="21"/>
                <w:highlight w:val="none"/>
                <w:lang w:val="en-US" w:eastAsia="zh-CN"/>
              </w:rPr>
              <w:t>及样品评审</w:t>
            </w:r>
          </w:p>
          <w:p>
            <w:pPr>
              <w:ind w:left="420" w:hanging="420" w:hangingChars="20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25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8"/>
              <w:numPr>
                <w:ilvl w:val="0"/>
                <w:numId w:val="0"/>
              </w:numP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u w:val="none"/>
                <w:lang w:val="en-US" w:eastAsia="zh-CN" w:bidi="ar"/>
              </w:rPr>
              <w:t>供应商应具有专业，先进科学的生产、检验设备，评审委员会针对供应商提供的投标产品生产、检验设备进行综合评分，设备科学先进，优秀的得3-5分；一般的得1-2分；较差的得0分。</w:t>
            </w:r>
          </w:p>
          <w:p>
            <w:pPr>
              <w:pStyle w:val="8"/>
              <w:numPr>
                <w:ilvl w:val="0"/>
                <w:numId w:val="0"/>
              </w:numPr>
              <w:rPr>
                <w:rFonts w:hint="default" w:ascii="宋体" w:hAnsi="宋体" w:eastAsia="宋体" w:cs="宋体"/>
                <w:b/>
                <w:bCs/>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注：供应商应提供设备清单及设备照片等相关证明材料，未提供不得分。</w:t>
            </w:r>
          </w:p>
          <w:p>
            <w:pPr>
              <w:pStyle w:val="8"/>
              <w:numPr>
                <w:ilvl w:val="0"/>
                <w:numId w:val="0"/>
              </w:numPr>
              <w:rPr>
                <w:rFonts w:hint="default"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lang w:val="en-US" w:eastAsia="zh-CN" w:bidi="ar"/>
              </w:rPr>
              <w:t>2</w:t>
            </w:r>
            <w:r>
              <w:rPr>
                <w:rFonts w:hint="default" w:ascii="宋体" w:hAnsi="宋体" w:eastAsia="宋体" w:cs="宋体"/>
                <w:color w:val="auto"/>
                <w:kern w:val="0"/>
                <w:sz w:val="21"/>
                <w:szCs w:val="21"/>
                <w:highlight w:val="yellow"/>
                <w:lang w:val="en-US" w:eastAsia="zh-CN" w:bidi="ar"/>
              </w:rPr>
              <w:t>、</w:t>
            </w:r>
            <w:r>
              <w:rPr>
                <w:rFonts w:hint="eastAsia" w:ascii="宋体" w:hAnsi="宋体" w:eastAsia="宋体" w:cs="宋体"/>
                <w:color w:val="auto"/>
                <w:kern w:val="0"/>
                <w:sz w:val="21"/>
                <w:szCs w:val="21"/>
                <w:highlight w:val="yellow"/>
                <w:u w:val="none"/>
                <w:lang w:val="en-US" w:eastAsia="zh-CN" w:bidi="ar"/>
              </w:rPr>
              <w:t>供应商应提交铝板样品（平面及异面），评审委员会针对供应商提供样品材质、工艺、强度等进行综合评分，优秀的得17-20分；一般的得13-16分，较差的得基础分12分。</w:t>
            </w:r>
          </w:p>
          <w:p>
            <w:pPr>
              <w:pStyle w:val="8"/>
              <w:numPr>
                <w:ilvl w:val="0"/>
                <w:numId w:val="0"/>
              </w:numPr>
              <w:rPr>
                <w:rFonts w:hint="default"/>
                <w:highlight w:val="none"/>
                <w:lang w:val="en-US" w:eastAsia="zh-CN"/>
              </w:rPr>
            </w:pPr>
            <w:r>
              <w:rPr>
                <w:rFonts w:hint="eastAsia" w:ascii="宋体" w:hAnsi="宋体" w:eastAsia="宋体" w:cs="宋体"/>
                <w:b/>
                <w:bCs/>
                <w:color w:val="auto"/>
                <w:kern w:val="0"/>
                <w:sz w:val="21"/>
                <w:szCs w:val="21"/>
                <w:highlight w:val="yellow"/>
                <w:u w:val="none"/>
                <w:lang w:val="en-US" w:eastAsia="zh-CN" w:bidi="ar"/>
              </w:rPr>
              <w:t>注：供应商应在开标现场提供平面及异面铝板样品，未提供不得分。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rPr>
                <w:rFonts w:hint="eastAsia" w:ascii="宋体" w:hAnsi="宋体" w:eastAsia="宋体" w:cs="宋体"/>
                <w:sz w:val="21"/>
                <w:szCs w:val="21"/>
                <w:highlight w:val="none"/>
              </w:rPr>
            </w:pPr>
          </w:p>
        </w:tc>
        <w:tc>
          <w:tcPr>
            <w:tcW w:w="972" w:type="pct"/>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8"/>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17  </w:t>
            </w:r>
            <w:r>
              <w:rPr>
                <w:rFonts w:hint="eastAsia" w:ascii="宋体" w:hAnsi="宋体" w:eastAsia="宋体" w:cs="宋体"/>
                <w:sz w:val="21"/>
                <w:szCs w:val="21"/>
                <w:highlight w:val="none"/>
              </w:rPr>
              <w:t>分）</w:t>
            </w:r>
          </w:p>
        </w:tc>
        <w:tc>
          <w:tcPr>
            <w:tcW w:w="3020" w:type="pct"/>
            <w:vAlign w:val="center"/>
          </w:tcPr>
          <w:p>
            <w:pPr>
              <w:pStyle w:val="8"/>
              <w:numPr>
                <w:ilvl w:val="0"/>
                <w:numId w:val="5"/>
              </w:numPr>
              <w:adjustRightInd w:val="0"/>
              <w:snapToGrid w:val="0"/>
              <w:ind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针对性强得8-10分；一般得6-7分，较差得基础分5分。</w:t>
            </w:r>
          </w:p>
          <w:p>
            <w:pPr>
              <w:pStyle w:val="8"/>
              <w:adjustRightInd w:val="0"/>
              <w:snapToGrid w:val="0"/>
              <w:ind w:firstLine="210" w:firstLineChars="100"/>
              <w:jc w:val="left"/>
              <w:rPr>
                <w:rFonts w:hint="eastAsia"/>
                <w:highlight w:val="none"/>
                <w:lang w:eastAsia="zh-CN"/>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可行性最优，针对性强得6-7分；一般得4-5分，较差得基础分3分。</w:t>
            </w:r>
            <w:r>
              <w:rPr>
                <w:rFonts w:hint="eastAsia" w:ascii="宋体" w:hAnsi="宋体" w:eastAsia="宋体" w:cs="宋体"/>
                <w:sz w:val="21"/>
                <w:szCs w:val="21"/>
                <w:highlight w:val="none"/>
                <w:lang w:val="en-US" w:eastAsia="zh-CN" w:bidi="ar"/>
              </w:rPr>
              <w:t xml:space="preserve">  </w:t>
            </w:r>
          </w:p>
        </w:tc>
      </w:tr>
    </w:tbl>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pStyle w:val="2"/>
      </w:pPr>
    </w:p>
    <w:p>
      <w:pPr>
        <w:pStyle w:val="8"/>
        <w:rPr>
          <w:rFonts w:ascii="Times New Roman" w:hAnsi="Times New Roman" w:eastAsia="黑体" w:cs="Times New Roman"/>
          <w:bCs/>
          <w:sz w:val="24"/>
          <w:szCs w:val="32"/>
          <w:highlight w:val="none"/>
        </w:rPr>
      </w:pPr>
    </w:p>
    <w:p>
      <w:pPr>
        <w:pStyle w:val="9"/>
      </w:pP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pPr>
        <w:spacing w:line="440" w:lineRule="exact"/>
        <w:ind w:firstLine="420"/>
        <w:rPr>
          <w:rFonts w:hint="default" w:ascii="Times New Roman" w:hAnsi="Times New Roman" w:cs="Times New Roman"/>
          <w:color w:val="auto"/>
          <w:highlight w:val="none"/>
          <w:lang w:val="en-US" w:eastAsia="zh-CN"/>
        </w:rPr>
      </w:pPr>
    </w:p>
    <w:p>
      <w:pPr>
        <w:pStyle w:val="8"/>
        <w:rPr>
          <w:rFonts w:hint="default"/>
          <w:highlight w:val="none"/>
        </w:rPr>
      </w:pPr>
    </w:p>
    <w:p>
      <w:pPr>
        <w:rPr>
          <w:rFonts w:hint="default"/>
          <w:highlight w:val="none"/>
        </w:rPr>
      </w:pPr>
    </w:p>
    <w:p>
      <w:pPr>
        <w:pStyle w:val="8"/>
        <w:rPr>
          <w:rFonts w:hint="default"/>
          <w:highlight w:val="none"/>
        </w:rPr>
      </w:pPr>
    </w:p>
    <w:p>
      <w:pPr>
        <w:pStyle w:val="8"/>
        <w:rPr>
          <w:rFonts w:ascii="Times New Roman" w:hAnsi="Times New Roman"/>
          <w:highlight w:val="none"/>
        </w:rPr>
      </w:pPr>
    </w:p>
    <w:p>
      <w:pPr>
        <w:widowControl/>
        <w:jc w:val="left"/>
        <w:rPr>
          <w:rFonts w:ascii="Times New Roman" w:hAnsi="Times New Roman" w:eastAsia="宋体" w:cs="Times New Roman"/>
          <w:highlight w:val="none"/>
        </w:rPr>
      </w:pPr>
    </w:p>
    <w:p>
      <w:pPr>
        <w:pStyle w:val="21"/>
        <w:rPr>
          <w:rFonts w:ascii="Times New Roman" w:hAnsi="Times New Roman" w:eastAsia="宋体" w:cs="Times New Roman"/>
          <w:highlight w:val="none"/>
        </w:rPr>
      </w:pPr>
    </w:p>
    <w:p>
      <w:pPr>
        <w:pStyle w:val="21"/>
        <w:rPr>
          <w:rFonts w:ascii="Times New Roman" w:hAnsi="Times New Roman" w:eastAsia="宋体" w:cs="Times New Roman"/>
          <w:highlight w:val="none"/>
        </w:rPr>
      </w:pPr>
    </w:p>
    <w:p>
      <w:pPr>
        <w:pStyle w:val="21"/>
        <w:rPr>
          <w:rFonts w:ascii="Times New Roman" w:hAnsi="Times New Roman" w:eastAsia="宋体" w:cs="Times New Roman"/>
          <w:highlight w:val="none"/>
        </w:rPr>
      </w:pPr>
    </w:p>
    <w:p>
      <w:pPr>
        <w:rPr>
          <w:rFonts w:ascii="Times New Roman" w:hAnsi="Times New Roman" w:eastAsia="宋体" w:cs="Times New Roman"/>
          <w:highlight w:val="none"/>
        </w:rPr>
      </w:pPr>
    </w:p>
    <w:p>
      <w:pPr>
        <w:spacing w:line="408" w:lineRule="auto"/>
        <w:ind w:firstLine="420" w:firstLineChars="200"/>
        <w:rPr>
          <w:rFonts w:hint="eastAsia" w:ascii="宋体" w:hAnsi="宋体" w:cs="宋体"/>
          <w:szCs w:val="21"/>
          <w:highlight w:val="none"/>
        </w:rPr>
      </w:pPr>
      <w:r>
        <w:rPr>
          <w:rFonts w:hint="eastAsia" w:ascii="宋体" w:hAnsi="宋体" w:cs="宋体"/>
          <w:szCs w:val="21"/>
          <w:highlight w:val="none"/>
        </w:rPr>
        <w:br w:type="page"/>
      </w:r>
    </w:p>
    <w:p>
      <w:pPr>
        <w:pStyle w:val="3"/>
        <w:numPr>
          <w:ilvl w:val="0"/>
          <w:numId w:val="0"/>
        </w:numPr>
        <w:spacing w:before="312" w:after="312"/>
        <w:ind w:leftChars="0"/>
        <w:jc w:val="center"/>
        <w:rPr>
          <w:rFonts w:hint="eastAsia" w:ascii="Times New Roman" w:hAnsi="Times New Roman" w:eastAsia="宋体" w:cs="Times New Roman"/>
          <w:highlight w:val="none"/>
          <w:lang w:eastAsia="zh-CN"/>
        </w:rPr>
      </w:pPr>
      <w:bookmarkStart w:id="61" w:name="_Toc3624"/>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bookmarkEnd w:id="61"/>
    </w:p>
    <w:p>
      <w:pPr>
        <w:rPr>
          <w:highlight w:val="none"/>
        </w:rPr>
      </w:pPr>
    </w:p>
    <w:p>
      <w:pPr>
        <w:pStyle w:val="3"/>
        <w:numPr>
          <w:ilvl w:val="255"/>
          <w:numId w:val="0"/>
        </w:numPr>
        <w:spacing w:before="312" w:after="312"/>
        <w:ind w:left="402"/>
        <w:outlineLvl w:val="9"/>
        <w:rPr>
          <w:rFonts w:hint="eastAsia" w:ascii="Times New Roman" w:hAnsi="Times New Roman" w:eastAsia="宋体" w:cs="Times New Roman"/>
          <w:highlight w:val="none"/>
        </w:rPr>
      </w:pPr>
    </w:p>
    <w:p>
      <w:pPr>
        <w:rPr>
          <w:rFonts w:hint="eastAsia" w:ascii="Times New Roman" w:hAnsi="Times New Roman" w:eastAsia="宋体" w:cs="Times New Roman"/>
          <w:highlight w:val="none"/>
        </w:rPr>
      </w:pPr>
    </w:p>
    <w:p>
      <w:pPr>
        <w:pStyle w:val="8"/>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bookmarkStart w:id="62" w:name="_Toc18078_WPSOffice_Level2"/>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安徽省经工物资有限公司</w:t>
      </w:r>
      <w:r>
        <w:rPr>
          <w:rFonts w:hint="eastAsia" w:ascii="仿宋_GB2312" w:hAnsi="仿宋_GB2312" w:eastAsia="仿宋_GB2312" w:cs="仿宋_GB2312"/>
          <w:color w:val="auto"/>
          <w:sz w:val="28"/>
          <w:szCs w:val="28"/>
          <w:highlight w:val="none"/>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装卸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w:t>
      </w:r>
      <w:r>
        <w:rPr>
          <w:rFonts w:hint="eastAsia" w:ascii="仿宋_GB2312" w:hAnsi="仿宋_GB2312" w:eastAsia="仿宋_GB2312" w:cs="仿宋_GB2312"/>
          <w:color w:val="auto"/>
          <w:sz w:val="28"/>
          <w:szCs w:val="28"/>
          <w:highlight w:val="none"/>
          <w:lang w:val="en-US" w:eastAsia="zh-CN"/>
        </w:rPr>
        <w:t>清晰</w:t>
      </w:r>
      <w:r>
        <w:rPr>
          <w:rFonts w:hint="eastAsia" w:ascii="仿宋_GB2312" w:hAnsi="仿宋_GB2312" w:eastAsia="仿宋_GB2312" w:cs="仿宋_GB2312"/>
          <w:color w:val="auto"/>
          <w:sz w:val="28"/>
          <w:szCs w:val="28"/>
          <w:highlight w:val="none"/>
          <w:lang w:eastAsia="zh-CN"/>
        </w:rPr>
        <w:t>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w:t>
      </w:r>
      <w:r>
        <w:rPr>
          <w:rFonts w:hint="eastAsia" w:ascii="仿宋_GB2312" w:hAnsi="仿宋_GB2312" w:eastAsia="仿宋_GB2312" w:cs="仿宋_GB2312"/>
          <w:color w:val="auto"/>
          <w:sz w:val="28"/>
          <w:szCs w:val="28"/>
          <w:lang w:val="en-US" w:eastAsia="zh-CN"/>
        </w:rPr>
        <w:t>保期按</w:t>
      </w:r>
      <w:r>
        <w:rPr>
          <w:rFonts w:hint="eastAsia" w:ascii="仿宋_GB2312" w:hAnsi="仿宋_GB2312" w:eastAsia="仿宋_GB2312" w:cs="仿宋_GB2312"/>
          <w:color w:val="auto"/>
          <w:sz w:val="28"/>
          <w:szCs w:val="28"/>
          <w:lang w:val="zh-CN" w:eastAsia="zh-CN"/>
        </w:rPr>
        <w:t>国家标准</w:t>
      </w:r>
      <w:r>
        <w:rPr>
          <w:rFonts w:hint="eastAsia" w:ascii="仿宋_GB2312" w:hAnsi="仿宋_GB2312" w:eastAsia="仿宋_GB2312" w:cs="仿宋_GB2312"/>
          <w:color w:val="auto"/>
          <w:sz w:val="28"/>
          <w:szCs w:val="28"/>
          <w:lang w:val="en-US" w:eastAsia="zh-CN"/>
        </w:rPr>
        <w:t>执行</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1.工程量据实结算，货到现场并卸货到指定项目地点经项目部及甲方指定现场签收人验收签字，当供货金额达到合同金额的50%后方可办理第一批货款支付，支付已供货金额的70%。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2.产品全部供货到现场经甲方指定验收人验收合格并办理完成结算手续后，甲方向乙方支付至结算价的97 %。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3.剩余 3% 作为工程质保金，缺陷责任期结束后无息返还。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pStyle w:val="2"/>
        <w:rPr>
          <w:rFonts w:hint="default"/>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yellow"/>
          <w:lang w:val="en-US" w:eastAsia="zh-CN"/>
        </w:rPr>
        <w:t xml:space="preserve">   5.乙方所供材料必须与投标时提供样品材质及工艺、质量等保持一致，若所供材料与样品不一致，则甲方有权要求乙方退换符合要求的材料，乙方还应对甲方造成的损失予以赔偿。</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pPr>
        <w:pStyle w:val="21"/>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pPr>
        <w:pStyle w:val="21"/>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pPr>
        <w:pStyle w:val="9"/>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甲方：安徽省经工物资有限公司       乙方：</w:t>
      </w:r>
      <w:r>
        <w:rPr>
          <w:rFonts w:hint="eastAsia" w:ascii="仿宋_GB2312" w:hAnsi="仿宋_GB2312" w:eastAsia="仿宋_GB2312" w:cs="仿宋_GB2312"/>
          <w:color w:val="auto"/>
          <w:sz w:val="28"/>
          <w:szCs w:val="28"/>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val="en-US" w:eastAsia="zh-CN"/>
        </w:rPr>
        <w:br w:type="page"/>
      </w:r>
    </w:p>
    <w:p>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pPr>
        <w:pStyle w:val="2"/>
        <w:rPr>
          <w:rFonts w:hint="eastAsia"/>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六、乙方应确保货物在卸载过程中，装卸工有安全防护措施，发现不安全因素，及时外理。在甲方区域，禁止出现无证操作、无证驾驶现象。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壹</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w:t>
      </w:r>
    </w:p>
    <w:p>
      <w:pPr>
        <w:pStyle w:val="21"/>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ascii="Times New Roman" w:hAnsi="Times New Roman" w:eastAsia="宋体" w:cs="Times New Roman"/>
          <w:highlight w:val="none"/>
        </w:rPr>
        <w:sectPr>
          <w:headerReference r:id="rId12" w:type="default"/>
          <w:footerReference r:id="rId13"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hint="eastAsia" w:ascii="方正小标宋简体" w:hAnsi="方正小标宋简体" w:eastAsia="方正小标宋简体" w:cs="方正小标宋简体"/>
          <w:b/>
          <w:color w:val="auto"/>
          <w:sz w:val="44"/>
          <w:szCs w:val="44"/>
          <w:highlight w:val="none"/>
          <w:lang w:val="en-US" w:eastAsia="zh-CN"/>
        </w:rPr>
        <w:t>报价清单</w:t>
      </w:r>
      <w:bookmarkEnd w:id="62"/>
    </w:p>
    <w:p>
      <w:pPr>
        <w:pStyle w:val="3"/>
        <w:numPr>
          <w:ilvl w:val="255"/>
          <w:numId w:val="0"/>
        </w:numPr>
        <w:spacing w:before="312" w:after="312"/>
        <w:ind w:left="402"/>
        <w:jc w:val="center"/>
        <w:rPr>
          <w:rFonts w:hint="default" w:ascii="Times New Roman" w:hAnsi="Times New Roman" w:eastAsia="宋体" w:cs="Times New Roman"/>
          <w:highlight w:val="none"/>
          <w:lang w:val="en-US" w:eastAsia="zh-CN"/>
        </w:rPr>
      </w:pPr>
      <w:bookmarkStart w:id="63" w:name="_Toc25756"/>
      <w:r>
        <w:rPr>
          <w:rFonts w:hint="eastAsia" w:ascii="Times New Roman" w:hAnsi="Times New Roman" w:eastAsia="宋体" w:cs="Times New Roman"/>
          <w:highlight w:val="none"/>
          <w:lang w:val="en-US" w:eastAsia="zh-CN"/>
        </w:rPr>
        <w:t xml:space="preserve">第五章 </w:t>
      </w:r>
      <w:r>
        <w:rPr>
          <w:rFonts w:hint="eastAsia" w:ascii="Times New Roman" w:hAnsi="Times New Roman" w:eastAsia="宋体" w:cs="Times New Roman"/>
          <w:highlight w:val="none"/>
          <w:lang w:eastAsia="zh-CN"/>
        </w:rPr>
        <w:t>工程量清单</w:t>
      </w:r>
      <w:bookmarkEnd w:id="63"/>
    </w:p>
    <w:p>
      <w:pPr>
        <w:spacing w:line="360" w:lineRule="auto"/>
        <w:jc w:val="center"/>
        <w:rPr>
          <w:rFonts w:hint="eastAsia" w:ascii="宋体" w:hAnsi="宋体" w:eastAsia="宋体" w:cs="宋体"/>
          <w:b/>
          <w:bCs w:val="0"/>
          <w:sz w:val="28"/>
          <w:szCs w:val="28"/>
          <w:highlight w:val="none"/>
          <w:lang w:val="en-US" w:eastAsia="zh-CN"/>
        </w:rPr>
      </w:pPr>
      <w:r>
        <w:rPr>
          <w:rFonts w:hint="eastAsia" w:ascii="宋体" w:hAnsi="宋体" w:eastAsia="宋体" w:cs="宋体"/>
          <w:b/>
          <w:bCs w:val="0"/>
          <w:sz w:val="28"/>
          <w:szCs w:val="28"/>
          <w:highlight w:val="none"/>
          <w:lang w:val="en-US" w:eastAsia="zh-CN"/>
        </w:rPr>
        <w:t>合肥至周口高速公路寿县（保义）至颍 上（南照）段</w:t>
      </w:r>
    </w:p>
    <w:p>
      <w:pPr>
        <w:spacing w:line="360" w:lineRule="auto"/>
        <w:jc w:val="center"/>
        <w:rPr>
          <w:rFonts w:hint="default" w:ascii="宋体" w:hAnsi="宋体" w:eastAsia="宋体" w:cs="宋体"/>
          <w:b/>
          <w:bCs w:val="0"/>
          <w:sz w:val="28"/>
          <w:szCs w:val="28"/>
          <w:highlight w:val="yellow"/>
          <w:lang w:val="en-US" w:eastAsia="zh-CN"/>
        </w:rPr>
      </w:pPr>
      <w:r>
        <w:rPr>
          <w:rFonts w:hint="eastAsia" w:ascii="宋体" w:hAnsi="宋体" w:eastAsia="宋体" w:cs="宋体"/>
          <w:b/>
          <w:bCs w:val="0"/>
          <w:sz w:val="28"/>
          <w:szCs w:val="28"/>
          <w:highlight w:val="yellow"/>
          <w:lang w:val="en-US" w:eastAsia="zh-CN"/>
        </w:rPr>
        <w:t>01包段采购项目清单</w:t>
      </w:r>
    </w:p>
    <w:tbl>
      <w:tblPr>
        <w:tblStyle w:val="22"/>
        <w:tblW w:w="100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41"/>
        <w:gridCol w:w="3002"/>
        <w:gridCol w:w="1006"/>
        <w:gridCol w:w="1162"/>
        <w:gridCol w:w="1006"/>
        <w:gridCol w:w="1006"/>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八里河服务区</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3mm厚氟碳铝单板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m2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3847.94</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r>
    </w:tbl>
    <w:p>
      <w:pPr>
        <w:pStyle w:val="8"/>
        <w:rPr>
          <w:rFonts w:hint="eastAsia"/>
          <w:highlight w:val="none"/>
        </w:rPr>
      </w:pPr>
      <w:r>
        <w:rPr>
          <w:rStyle w:val="43"/>
          <w:rFonts w:hint="eastAsia" w:asciiTheme="minorEastAsia" w:hAnsiTheme="minorEastAsia" w:cstheme="minorEastAsia"/>
          <w:b/>
          <w:bCs/>
          <w:kern w:val="2"/>
          <w:highlight w:val="none"/>
          <w:lang w:val="en-US" w:eastAsia="zh-CN" w:bidi="ar"/>
        </w:rPr>
        <w:t>1、</w:t>
      </w:r>
      <w:r>
        <w:rPr>
          <w:rStyle w:val="43"/>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3"/>
          <w:rFonts w:hint="eastAsia" w:asciiTheme="minorEastAsia" w:hAnsiTheme="minorEastAsia" w:cstheme="minorEastAsia"/>
          <w:b/>
          <w:bCs/>
          <w:kern w:val="2"/>
          <w:highlight w:val="none"/>
          <w:lang w:val="en-US" w:eastAsia="zh-CN" w:bidi="ar"/>
        </w:rPr>
        <w:t>，</w:t>
      </w:r>
      <w:r>
        <w:rPr>
          <w:rStyle w:val="43"/>
          <w:rFonts w:hint="eastAsia" w:asciiTheme="minorEastAsia" w:hAnsiTheme="minorEastAsia" w:eastAsiaTheme="minorEastAsia" w:cstheme="minorEastAsia"/>
          <w:b/>
          <w:bCs/>
          <w:kern w:val="2"/>
          <w:highlight w:val="none"/>
          <w:lang w:val="en-US" w:eastAsia="zh-CN" w:bidi="ar"/>
        </w:rPr>
        <w:t>包含材料的成本、利润、税费</w:t>
      </w:r>
      <w:r>
        <w:rPr>
          <w:rStyle w:val="43"/>
          <w:rFonts w:hint="eastAsia" w:asciiTheme="minorEastAsia" w:hAnsiTheme="minorEastAsia" w:cstheme="minorEastAsia"/>
          <w:b/>
          <w:bCs/>
          <w:kern w:val="2"/>
          <w:highlight w:val="none"/>
          <w:lang w:val="en-US" w:eastAsia="zh-CN" w:bidi="ar"/>
        </w:rPr>
        <w:t>（13%增值税）</w:t>
      </w:r>
      <w:r>
        <w:rPr>
          <w:rStyle w:val="43"/>
          <w:rFonts w:hint="eastAsia" w:asciiTheme="minorEastAsia" w:hAnsiTheme="minorEastAsia" w:eastAsiaTheme="minorEastAsia" w:cstheme="minorEastAsia"/>
          <w:b/>
          <w:bCs/>
          <w:kern w:val="2"/>
          <w:highlight w:val="none"/>
          <w:lang w:val="en-US" w:eastAsia="zh-CN" w:bidi="ar"/>
        </w:rPr>
        <w:t>、运输费、损耗费、装卸</w:t>
      </w:r>
      <w:r>
        <w:rPr>
          <w:rStyle w:val="43"/>
          <w:rFonts w:hint="eastAsia" w:asciiTheme="minorEastAsia" w:hAnsiTheme="minorEastAsia" w:cstheme="minorEastAsia"/>
          <w:b/>
          <w:bCs/>
          <w:kern w:val="2"/>
          <w:highlight w:val="none"/>
          <w:lang w:val="en-US" w:eastAsia="zh-CN" w:bidi="ar"/>
        </w:rPr>
        <w:t>费</w:t>
      </w:r>
      <w:r>
        <w:rPr>
          <w:rStyle w:val="43"/>
          <w:rFonts w:hint="eastAsia" w:asciiTheme="minorEastAsia" w:hAnsiTheme="minorEastAsia" w:eastAsiaTheme="minorEastAsia" w:cstheme="minorEastAsia"/>
          <w:b/>
          <w:bCs/>
          <w:kern w:val="2"/>
          <w:highlight w:val="none"/>
          <w:lang w:val="en-US" w:eastAsia="zh-CN" w:bidi="ar"/>
        </w:rPr>
        <w:t>、检测费</w:t>
      </w:r>
      <w:r>
        <w:rPr>
          <w:rStyle w:val="43"/>
          <w:rFonts w:hint="eastAsia" w:asciiTheme="minorEastAsia" w:hAnsiTheme="minorEastAsia" w:cstheme="minorEastAsia"/>
          <w:b/>
          <w:bCs/>
          <w:kern w:val="2"/>
          <w:highlight w:val="none"/>
          <w:lang w:val="en-US" w:eastAsia="zh-CN" w:bidi="ar"/>
        </w:rPr>
        <w:t>（二次检测）</w:t>
      </w:r>
      <w:r>
        <w:rPr>
          <w:rStyle w:val="43"/>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pPr>
        <w:pStyle w:val="8"/>
        <w:rPr>
          <w:rStyle w:val="43"/>
          <w:rFonts w:hint="eastAsia" w:asciiTheme="minorEastAsia" w:hAnsiTheme="minorEastAsia" w:eastAsiaTheme="minorEastAsia" w:cstheme="minorEastAsia"/>
          <w:b/>
          <w:bCs/>
          <w:kern w:val="2"/>
          <w:highlight w:val="none"/>
          <w:lang w:val="en-US" w:eastAsia="zh-CN" w:bidi="ar"/>
        </w:rPr>
      </w:pPr>
      <w:r>
        <w:rPr>
          <w:rStyle w:val="43"/>
          <w:rFonts w:hint="eastAsia" w:asciiTheme="minorEastAsia" w:hAnsiTheme="minorEastAsia" w:cstheme="minorEastAsia"/>
          <w:b/>
          <w:bCs/>
          <w:kern w:val="2"/>
          <w:highlight w:val="none"/>
          <w:lang w:val="en-US" w:eastAsia="zh-CN" w:bidi="ar"/>
        </w:rPr>
        <w:t>2</w:t>
      </w:r>
      <w:r>
        <w:rPr>
          <w:rStyle w:val="43"/>
          <w:rFonts w:hint="eastAsia" w:asciiTheme="minorEastAsia" w:hAnsiTheme="minorEastAsia" w:eastAsiaTheme="minorEastAsia" w:cstheme="minorEastAsia"/>
          <w:b/>
          <w:bCs/>
          <w:kern w:val="2"/>
          <w:highlight w:val="none"/>
          <w:lang w:val="en-US" w:eastAsia="zh-CN" w:bidi="ar"/>
        </w:rPr>
        <w:t>.二次图纸深化设计及现场尺寸测量、排版下料费用含在总报价内。</w:t>
      </w:r>
    </w:p>
    <w:p>
      <w:pPr>
        <w:widowControl w:val="0"/>
        <w:adjustRightInd w:val="0"/>
        <w:snapToGrid w:val="0"/>
        <w:jc w:val="left"/>
        <w:rPr>
          <w:rFonts w:ascii="Times New Roman" w:hAnsi="Times New Roman" w:cs="Times New Roman" w:eastAsiaTheme="minorEastAsia"/>
          <w:kern w:val="2"/>
          <w:sz w:val="21"/>
          <w:szCs w:val="20"/>
          <w:highlight w:val="none"/>
          <w:lang w:val="en-US" w:eastAsia="zh-CN" w:bidi="ar-SA"/>
        </w:rPr>
      </w:pPr>
      <w:r>
        <w:rPr>
          <w:rStyle w:val="43"/>
          <w:rFonts w:hint="eastAsia" w:asciiTheme="minorEastAsia" w:hAnsiTheme="minorEastAsia" w:eastAsiaTheme="minorEastAsia" w:cstheme="minorEastAsia"/>
          <w:b/>
          <w:bCs/>
          <w:kern w:val="2"/>
          <w:highlight w:val="none"/>
          <w:lang w:val="en-US" w:eastAsia="zh-CN" w:bidi="ar"/>
        </w:rPr>
        <w:t>3.厂家需充分熟悉图纸、现场情况后报价，后期不能以铝板造型复杂等情况要求增加费用，若被通知要求铝板颜色须变更为非常规色，则要求更换的非常规色铝板按相应规格型号的常规色铝板中标单价每平方米增加5元结算。</w:t>
      </w:r>
    </w:p>
    <w:p>
      <w:pPr>
        <w:pStyle w:val="10"/>
        <w:rPr>
          <w:rFonts w:hint="default"/>
          <w:lang w:val="en-US" w:eastAsia="zh-CN"/>
        </w:rPr>
      </w:pPr>
    </w:p>
    <w:p>
      <w:pPr>
        <w:pStyle w:val="20"/>
        <w:rPr>
          <w:rFonts w:hint="eastAsia"/>
          <w:highlight w:val="none"/>
          <w:lang w:val="en-US" w:eastAsia="zh-CN"/>
        </w:rPr>
      </w:pPr>
    </w:p>
    <w:p>
      <w:pPr>
        <w:rPr>
          <w:rFonts w:hint="eastAsia" w:ascii="Times New Roman" w:hAnsi="Times New Roman" w:eastAsia="宋体" w:cs="Times New Roman"/>
          <w:highlight w:val="none"/>
          <w:lang w:val="en-US" w:eastAsia="zh-CN"/>
        </w:rPr>
      </w:pPr>
      <w:bookmarkStart w:id="64" w:name="_Toc11058"/>
    </w:p>
    <w:p>
      <w:pPr>
        <w:spacing w:line="360" w:lineRule="auto"/>
        <w:jc w:val="center"/>
        <w:rPr>
          <w:rFonts w:hint="default" w:ascii="宋体" w:hAnsi="宋体" w:eastAsia="宋体" w:cs="宋体"/>
          <w:b/>
          <w:bCs w:val="0"/>
          <w:sz w:val="28"/>
          <w:szCs w:val="28"/>
          <w:highlight w:val="yellow"/>
          <w:lang w:val="en-US" w:eastAsia="zh-CN"/>
        </w:rPr>
      </w:pPr>
      <w:r>
        <w:rPr>
          <w:rFonts w:hint="eastAsia" w:ascii="宋体" w:hAnsi="宋体" w:eastAsia="宋体" w:cs="宋体"/>
          <w:b/>
          <w:bCs w:val="0"/>
          <w:sz w:val="28"/>
          <w:szCs w:val="28"/>
          <w:highlight w:val="yellow"/>
          <w:lang w:val="en-US" w:eastAsia="zh-CN"/>
        </w:rPr>
        <w:t>02包段采购项目清单</w:t>
      </w:r>
    </w:p>
    <w:tbl>
      <w:tblPr>
        <w:tblStyle w:val="22"/>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5"/>
        <w:gridCol w:w="3002"/>
        <w:gridCol w:w="1006"/>
        <w:gridCol w:w="1162"/>
        <w:gridCol w:w="1006"/>
        <w:gridCol w:w="1006"/>
        <w:gridCol w:w="1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30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1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迎河服务区</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3mm厚氟碳铝单板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m2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0"/>
                <w:szCs w:val="20"/>
                <w:u w:val="none"/>
                <w:lang w:val="en-US" w:eastAsia="zh-CN" w:bidi="ar"/>
              </w:rPr>
              <w:t>2733.17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kern w:val="0"/>
                <w:sz w:val="20"/>
                <w:szCs w:val="20"/>
                <w:u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Arial" w:hAnsi="Arial" w:eastAsia="宋体" w:cs="Arial"/>
                <w:i w:val="0"/>
                <w:iCs w:val="0"/>
                <w:color w:val="000000"/>
                <w:kern w:val="0"/>
                <w:sz w:val="20"/>
                <w:szCs w:val="20"/>
                <w:u w:val="none"/>
                <w:lang w:val="en-US" w:eastAsia="zh-CN" w:bidi="ar"/>
              </w:rPr>
            </w:pPr>
          </w:p>
        </w:tc>
      </w:tr>
    </w:tbl>
    <w:p>
      <w:pPr>
        <w:pStyle w:val="8"/>
        <w:rPr>
          <w:rFonts w:hint="eastAsia"/>
          <w:highlight w:val="none"/>
        </w:rPr>
      </w:pPr>
      <w:r>
        <w:rPr>
          <w:rStyle w:val="43"/>
          <w:rFonts w:hint="eastAsia" w:asciiTheme="minorEastAsia" w:hAnsiTheme="minorEastAsia" w:cstheme="minorEastAsia"/>
          <w:b/>
          <w:bCs/>
          <w:kern w:val="2"/>
          <w:highlight w:val="none"/>
          <w:lang w:val="en-US" w:eastAsia="zh-CN" w:bidi="ar"/>
        </w:rPr>
        <w:t>1、</w:t>
      </w:r>
      <w:r>
        <w:rPr>
          <w:rStyle w:val="43"/>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3"/>
          <w:rFonts w:hint="eastAsia" w:asciiTheme="minorEastAsia" w:hAnsiTheme="minorEastAsia" w:cstheme="minorEastAsia"/>
          <w:b/>
          <w:bCs/>
          <w:kern w:val="2"/>
          <w:highlight w:val="none"/>
          <w:lang w:val="en-US" w:eastAsia="zh-CN" w:bidi="ar"/>
        </w:rPr>
        <w:t>，</w:t>
      </w:r>
      <w:r>
        <w:rPr>
          <w:rStyle w:val="43"/>
          <w:rFonts w:hint="eastAsia" w:asciiTheme="minorEastAsia" w:hAnsiTheme="minorEastAsia" w:eastAsiaTheme="minorEastAsia" w:cstheme="minorEastAsia"/>
          <w:b/>
          <w:bCs/>
          <w:kern w:val="2"/>
          <w:highlight w:val="none"/>
          <w:lang w:val="en-US" w:eastAsia="zh-CN" w:bidi="ar"/>
        </w:rPr>
        <w:t>包含材料的成本、利润、税费</w:t>
      </w:r>
      <w:r>
        <w:rPr>
          <w:rStyle w:val="43"/>
          <w:rFonts w:hint="eastAsia" w:asciiTheme="minorEastAsia" w:hAnsiTheme="minorEastAsia" w:cstheme="minorEastAsia"/>
          <w:b/>
          <w:bCs/>
          <w:kern w:val="2"/>
          <w:highlight w:val="none"/>
          <w:lang w:val="en-US" w:eastAsia="zh-CN" w:bidi="ar"/>
        </w:rPr>
        <w:t>（13%增值税）</w:t>
      </w:r>
      <w:r>
        <w:rPr>
          <w:rStyle w:val="43"/>
          <w:rFonts w:hint="eastAsia" w:asciiTheme="minorEastAsia" w:hAnsiTheme="minorEastAsia" w:eastAsiaTheme="minorEastAsia" w:cstheme="minorEastAsia"/>
          <w:b/>
          <w:bCs/>
          <w:kern w:val="2"/>
          <w:highlight w:val="none"/>
          <w:lang w:val="en-US" w:eastAsia="zh-CN" w:bidi="ar"/>
        </w:rPr>
        <w:t>、运输费、损耗费、装卸</w:t>
      </w:r>
      <w:r>
        <w:rPr>
          <w:rStyle w:val="43"/>
          <w:rFonts w:hint="eastAsia" w:asciiTheme="minorEastAsia" w:hAnsiTheme="minorEastAsia" w:cstheme="minorEastAsia"/>
          <w:b/>
          <w:bCs/>
          <w:kern w:val="2"/>
          <w:highlight w:val="none"/>
          <w:lang w:val="en-US" w:eastAsia="zh-CN" w:bidi="ar"/>
        </w:rPr>
        <w:t>费</w:t>
      </w:r>
      <w:r>
        <w:rPr>
          <w:rStyle w:val="43"/>
          <w:rFonts w:hint="eastAsia" w:asciiTheme="minorEastAsia" w:hAnsiTheme="minorEastAsia" w:eastAsiaTheme="minorEastAsia" w:cstheme="minorEastAsia"/>
          <w:b/>
          <w:bCs/>
          <w:kern w:val="2"/>
          <w:highlight w:val="none"/>
          <w:lang w:val="en-US" w:eastAsia="zh-CN" w:bidi="ar"/>
        </w:rPr>
        <w:t>、检测费</w:t>
      </w:r>
      <w:r>
        <w:rPr>
          <w:rStyle w:val="43"/>
          <w:rFonts w:hint="eastAsia" w:asciiTheme="minorEastAsia" w:hAnsiTheme="minorEastAsia" w:cstheme="minorEastAsia"/>
          <w:b/>
          <w:bCs/>
          <w:kern w:val="2"/>
          <w:highlight w:val="none"/>
          <w:lang w:val="en-US" w:eastAsia="zh-CN" w:bidi="ar"/>
        </w:rPr>
        <w:t>（二次检测）</w:t>
      </w:r>
      <w:r>
        <w:rPr>
          <w:rStyle w:val="43"/>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pPr>
        <w:pStyle w:val="8"/>
        <w:rPr>
          <w:rStyle w:val="43"/>
          <w:rFonts w:hint="eastAsia" w:asciiTheme="minorEastAsia" w:hAnsiTheme="minorEastAsia" w:eastAsiaTheme="minorEastAsia" w:cstheme="minorEastAsia"/>
          <w:b/>
          <w:bCs/>
          <w:kern w:val="2"/>
          <w:highlight w:val="none"/>
          <w:lang w:val="en-US" w:eastAsia="zh-CN" w:bidi="ar"/>
        </w:rPr>
      </w:pPr>
      <w:r>
        <w:rPr>
          <w:rStyle w:val="43"/>
          <w:rFonts w:hint="eastAsia" w:asciiTheme="minorEastAsia" w:hAnsiTheme="minorEastAsia" w:cstheme="minorEastAsia"/>
          <w:b/>
          <w:bCs/>
          <w:kern w:val="2"/>
          <w:highlight w:val="none"/>
          <w:lang w:val="en-US" w:eastAsia="zh-CN" w:bidi="ar"/>
        </w:rPr>
        <w:t>2</w:t>
      </w:r>
      <w:r>
        <w:rPr>
          <w:rStyle w:val="43"/>
          <w:rFonts w:hint="eastAsia" w:asciiTheme="minorEastAsia" w:hAnsiTheme="minorEastAsia" w:eastAsiaTheme="minorEastAsia" w:cstheme="minorEastAsia"/>
          <w:b/>
          <w:bCs/>
          <w:kern w:val="2"/>
          <w:highlight w:val="none"/>
          <w:lang w:val="en-US" w:eastAsia="zh-CN" w:bidi="ar"/>
        </w:rPr>
        <w:t>.二次图纸深化设计及现场尺寸测量、排版下料费用含在总报价内。</w:t>
      </w:r>
    </w:p>
    <w:p>
      <w:pPr>
        <w:widowControl w:val="0"/>
        <w:adjustRightInd w:val="0"/>
        <w:snapToGrid w:val="0"/>
        <w:jc w:val="left"/>
        <w:rPr>
          <w:rFonts w:ascii="Times New Roman" w:hAnsi="Times New Roman" w:cs="Times New Roman" w:eastAsiaTheme="minorEastAsia"/>
          <w:kern w:val="2"/>
          <w:sz w:val="21"/>
          <w:szCs w:val="20"/>
          <w:highlight w:val="none"/>
          <w:lang w:val="en-US" w:eastAsia="zh-CN" w:bidi="ar-SA"/>
        </w:rPr>
      </w:pPr>
      <w:r>
        <w:rPr>
          <w:rStyle w:val="43"/>
          <w:rFonts w:hint="eastAsia" w:asciiTheme="minorEastAsia" w:hAnsiTheme="minorEastAsia" w:eastAsiaTheme="minorEastAsia" w:cstheme="minorEastAsia"/>
          <w:b/>
          <w:bCs/>
          <w:kern w:val="2"/>
          <w:highlight w:val="none"/>
          <w:lang w:val="en-US" w:eastAsia="zh-CN" w:bidi="ar"/>
        </w:rPr>
        <w:t>3.厂家需充分熟悉图纸、现场情况后报价，后期不能以铝板造型复杂等情况要求增加费用，若被通知要求铝板颜色须变更为非常规色，则要求更换的非常规色铝板按相应规格型号的常规色铝板中标单价每平方米增加5元结算。</w:t>
      </w:r>
    </w:p>
    <w:p>
      <w:pPr>
        <w:widowControl w:val="0"/>
        <w:ind w:left="864" w:right="864"/>
        <w:jc w:val="center"/>
        <w:rPr>
          <w:rFonts w:hint="default" w:ascii="Times New Roman" w:hAnsi="Times New Roman" w:eastAsiaTheme="minorEastAsia" w:cstheme="minorBidi"/>
          <w:i/>
          <w:iCs/>
          <w:color w:val="404040"/>
          <w:kern w:val="2"/>
          <w:sz w:val="21"/>
          <w:szCs w:val="21"/>
          <w:lang w:val="en-US" w:eastAsia="zh-CN" w:bidi="ar-SA"/>
        </w:rPr>
      </w:pPr>
    </w:p>
    <w:p>
      <w:pPr>
        <w:pStyle w:val="20"/>
        <w:rPr>
          <w:rFonts w:hint="eastAsia"/>
          <w:highlight w:val="none"/>
          <w:lang w:val="en-US" w:eastAsia="zh-CN"/>
        </w:rPr>
      </w:pP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br w:type="page"/>
      </w:r>
    </w:p>
    <w:p>
      <w:pPr>
        <w:pStyle w:val="3"/>
        <w:numPr>
          <w:ilvl w:val="255"/>
          <w:numId w:val="0"/>
        </w:numPr>
        <w:spacing w:before="312" w:after="312"/>
        <w:ind w:left="40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第六章 响应文件格式</w:t>
      </w:r>
      <w:bookmarkEnd w:id="64"/>
    </w:p>
    <w:p>
      <w:pPr>
        <w:jc w:val="center"/>
        <w:rPr>
          <w:rFonts w:hint="eastAsia" w:ascii="宋体" w:hAnsi="宋体" w:eastAsia="宋体" w:cs="宋体"/>
          <w:b/>
          <w:bCs/>
          <w:kern w:val="0"/>
          <w:sz w:val="36"/>
          <w:szCs w:val="36"/>
          <w:highlight w:val="none"/>
          <w:u w:val="none"/>
          <w:lang w:val="en-US" w:eastAsia="zh-CN"/>
        </w:rPr>
      </w:pPr>
      <w:r>
        <w:rPr>
          <w:rFonts w:ascii="Times New Roman" w:hAnsi="Times New Roman" w:eastAsia="宋体" w:cs="Times New Roman"/>
          <w:highlight w:val="none"/>
        </w:rPr>
        <w:br w:type="page"/>
      </w: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p>
    <w:p>
      <w:pPr>
        <w:jc w:val="center"/>
        <w:rPr>
          <w:rFonts w:ascii="Times New Roman" w:hAnsi="Times New Roman" w:eastAsia="黑体" w:cs="Times New Roman"/>
          <w:sz w:val="36"/>
          <w:szCs w:val="36"/>
          <w:highlight w:val="none"/>
        </w:rPr>
      </w:pPr>
      <w:r>
        <w:rPr>
          <w:rFonts w:hint="eastAsia" w:ascii="Times New Roman" w:hAnsi="Times New Roman" w:eastAsia="黑体" w:cs="Times New Roman"/>
          <w:sz w:val="40"/>
          <w:szCs w:val="40"/>
          <w:highlight w:val="none"/>
          <w:lang w:val="en-US" w:eastAsia="zh-CN"/>
        </w:rPr>
        <w:t xml:space="preserve">  </w:t>
      </w:r>
      <w:r>
        <w:rPr>
          <w:rFonts w:hint="eastAsia" w:ascii="Times New Roman" w:hAnsi="Times New Roman" w:eastAsia="黑体" w:cs="Times New Roman"/>
          <w:sz w:val="40"/>
          <w:szCs w:val="40"/>
          <w:highlight w:val="none"/>
          <w:u w:val="single"/>
          <w:lang w:val="en-US" w:eastAsia="zh-CN"/>
        </w:rPr>
        <w:t xml:space="preserve">        </w:t>
      </w:r>
      <w:r>
        <w:rPr>
          <w:rFonts w:hint="eastAsia" w:ascii="Times New Roman" w:hAnsi="Times New Roman" w:eastAsia="黑体" w:cs="Times New Roman"/>
          <w:sz w:val="40"/>
          <w:szCs w:val="40"/>
          <w:highlight w:val="none"/>
          <w:lang w:val="en-US" w:eastAsia="zh-CN"/>
        </w:rPr>
        <w:t>包段</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bookmarkStart w:id="65" w:name="_Toc29687_WPSOffice_Level1"/>
      <w:bookmarkStart w:id="66" w:name="_Toc1914_WPSOffice_Level1"/>
      <w:bookmarkStart w:id="67" w:name="_Toc32044_WPSOffice_Level1"/>
      <w:bookmarkStart w:id="68" w:name="_Toc10484_WPSOffice_Level1"/>
      <w:bookmarkStart w:id="69" w:name="_Toc17394_WPSOffice_Level1"/>
      <w:r>
        <w:rPr>
          <w:rFonts w:ascii="Times New Roman" w:hAnsi="Times New Roman" w:eastAsia="黑体" w:cs="Times New Roman"/>
          <w:sz w:val="50"/>
          <w:szCs w:val="50"/>
          <w:highlight w:val="none"/>
        </w:rPr>
        <w:t>响  应  文  件</w:t>
      </w:r>
      <w:bookmarkEnd w:id="65"/>
      <w:bookmarkEnd w:id="66"/>
      <w:bookmarkEnd w:id="67"/>
      <w:bookmarkEnd w:id="68"/>
      <w:bookmarkEnd w:id="69"/>
    </w:p>
    <w:p>
      <w:pPr>
        <w:pStyle w:val="21"/>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（商务及技术文件）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bookmarkStart w:id="70" w:name="_Toc25232_WPSOffice_Level2"/>
      <w:bookmarkStart w:id="71" w:name="_Toc5520_WPSOffice_Level2"/>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w:t>
      </w:r>
      <w:bookmarkEnd w:id="70"/>
      <w:bookmarkEnd w:id="71"/>
      <w:r>
        <w:rPr>
          <w:rFonts w:ascii="Times New Roman" w:hAnsi="Times New Roman" w:eastAsia="黑体" w:cs="Times New Roman"/>
          <w:sz w:val="28"/>
          <w:szCs w:val="28"/>
          <w:highlight w:val="none"/>
          <w:u w:val="single"/>
        </w:rPr>
        <w:t xml:space="preserve">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bookmarkStart w:id="72" w:name="_Toc20076_WPSOffice_Level2"/>
      <w:bookmarkStart w:id="73" w:name="_Toc31577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72"/>
      <w:bookmarkEnd w:id="73"/>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74" w:name="_Toc21974_WPSOffice_Level2"/>
      <w:bookmarkStart w:id="75" w:name="_Toc22351_WPSOffice_Level2"/>
      <w:r>
        <w:rPr>
          <w:rFonts w:ascii="Times New Roman" w:hAnsi="Times New Roman" w:eastAsia="黑体" w:cs="Times New Roman"/>
          <w:sz w:val="28"/>
          <w:szCs w:val="28"/>
          <w:highlight w:val="none"/>
        </w:rPr>
        <w:t>目     录</w:t>
      </w:r>
      <w:bookmarkEnd w:id="74"/>
      <w:bookmarkEnd w:id="75"/>
    </w:p>
    <w:p>
      <w:pPr>
        <w:spacing w:line="440" w:lineRule="exact"/>
        <w:rPr>
          <w:rFonts w:ascii="Times New Roman" w:hAnsi="Times New Roman" w:eastAsia="黑体" w:cs="Times New Roman"/>
          <w:sz w:val="20"/>
          <w:szCs w:val="20"/>
          <w:highlight w:val="none"/>
        </w:rPr>
      </w:pPr>
    </w:p>
    <w:p>
      <w:pPr>
        <w:spacing w:line="440" w:lineRule="exact"/>
        <w:ind w:left="1619" w:leftChars="771"/>
        <w:rPr>
          <w:rFonts w:ascii="Times New Roman" w:hAnsi="Times New Roman" w:eastAsia="黑体" w:cs="Times New Roman"/>
          <w:sz w:val="24"/>
          <w:highlight w:val="none"/>
        </w:rPr>
      </w:pPr>
      <w:bookmarkStart w:id="76" w:name="_Toc30529_WPSOffice_Level1"/>
      <w:bookmarkStart w:id="77" w:name="_Toc6353_WPSOffice_Level1"/>
      <w:bookmarkStart w:id="78" w:name="_Toc11424_WPSOffice_Level1"/>
      <w:bookmarkStart w:id="79" w:name="_Toc23368_WPSOffice_Level1"/>
      <w:bookmarkStart w:id="80" w:name="_Toc5842_WPSOffice_Level1"/>
      <w:bookmarkStart w:id="81" w:name="_Toc12670_WPSOffice_Level1"/>
      <w:r>
        <w:rPr>
          <w:rFonts w:ascii="Times New Roman" w:hAnsi="Times New Roman" w:eastAsia="黑体" w:cs="Times New Roman"/>
          <w:sz w:val="24"/>
          <w:highlight w:val="none"/>
        </w:rPr>
        <w:t>一、</w:t>
      </w:r>
      <w:r>
        <w:rPr>
          <w:rFonts w:hint="eastAsia" w:ascii="Times New Roman" w:hAnsi="Times New Roman" w:eastAsia="黑体" w:cs="Times New Roman"/>
          <w:sz w:val="24"/>
          <w:highlight w:val="none"/>
          <w:lang w:val="en-US" w:eastAsia="zh-CN"/>
        </w:rPr>
        <w:t>响应</w:t>
      </w:r>
      <w:r>
        <w:rPr>
          <w:rFonts w:ascii="Times New Roman" w:hAnsi="Times New Roman" w:eastAsia="黑体" w:cs="Times New Roman"/>
          <w:sz w:val="24"/>
          <w:highlight w:val="none"/>
        </w:rPr>
        <w:t>函</w:t>
      </w:r>
      <w:bookmarkEnd w:id="76"/>
      <w:bookmarkEnd w:id="77"/>
      <w:bookmarkEnd w:id="78"/>
      <w:bookmarkEnd w:id="79"/>
      <w:bookmarkEnd w:id="80"/>
    </w:p>
    <w:p>
      <w:pPr>
        <w:spacing w:line="440" w:lineRule="exact"/>
        <w:ind w:left="1619" w:leftChars="771"/>
        <w:rPr>
          <w:rFonts w:ascii="Times New Roman" w:hAnsi="Times New Roman" w:eastAsia="黑体" w:cs="Times New Roman"/>
          <w:sz w:val="24"/>
          <w:highlight w:val="none"/>
        </w:rPr>
      </w:pPr>
      <w:bookmarkStart w:id="82" w:name="_Toc32729_WPSOffice_Level1"/>
      <w:bookmarkStart w:id="83" w:name="_Toc30428_WPSOffice_Level1"/>
      <w:bookmarkStart w:id="84" w:name="_Toc5317_WPSOffice_Level1"/>
      <w:bookmarkStart w:id="85" w:name="_Toc31927_WPSOffice_Level1"/>
      <w:bookmarkStart w:id="86" w:name="_Toc21229_WPSOffice_Level1"/>
      <w:r>
        <w:rPr>
          <w:rFonts w:ascii="Times New Roman" w:hAnsi="Times New Roman" w:eastAsia="黑体" w:cs="Times New Roman"/>
          <w:sz w:val="24"/>
          <w:highlight w:val="none"/>
        </w:rPr>
        <w:t>二、法定代表人身份证明及授权委托书</w:t>
      </w:r>
      <w:bookmarkEnd w:id="82"/>
      <w:bookmarkEnd w:id="83"/>
      <w:bookmarkEnd w:id="84"/>
      <w:bookmarkEnd w:id="85"/>
      <w:bookmarkEnd w:id="86"/>
    </w:p>
    <w:p>
      <w:pPr>
        <w:spacing w:line="440" w:lineRule="exact"/>
        <w:ind w:left="1619" w:leftChars="771"/>
        <w:rPr>
          <w:rFonts w:ascii="Times New Roman" w:hAnsi="Times New Roman" w:eastAsia="黑体" w:cs="Times New Roman"/>
          <w:sz w:val="24"/>
          <w:highlight w:val="none"/>
        </w:rPr>
      </w:pPr>
      <w:bookmarkStart w:id="87" w:name="_Toc21853_WPSOffice_Level1"/>
      <w:bookmarkStart w:id="88" w:name="_Toc4728_WPSOffice_Level1"/>
      <w:bookmarkStart w:id="89" w:name="_Toc23356_WPSOffice_Level1"/>
      <w:bookmarkStart w:id="90" w:name="_Toc29085_WPSOffice_Level1"/>
      <w:bookmarkStart w:id="91" w:name="_Toc25965_WPSOffice_Level1"/>
      <w:r>
        <w:rPr>
          <w:rFonts w:hint="eastAsia" w:ascii="Times New Roman" w:hAnsi="Times New Roman" w:eastAsia="黑体" w:cs="Times New Roman"/>
          <w:sz w:val="24"/>
          <w:highlight w:val="none"/>
        </w:rPr>
        <w:t>三</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供应商基本情况</w:t>
      </w:r>
    </w:p>
    <w:bookmarkEnd w:id="87"/>
    <w:bookmarkEnd w:id="88"/>
    <w:bookmarkEnd w:id="89"/>
    <w:bookmarkEnd w:id="90"/>
    <w:bookmarkEnd w:id="91"/>
    <w:p>
      <w:pPr>
        <w:spacing w:line="440" w:lineRule="exact"/>
        <w:ind w:left="1619" w:leftChars="771"/>
        <w:rPr>
          <w:rFonts w:hint="eastAsia" w:ascii="Times New Roman" w:hAnsi="Times New Roman" w:eastAsia="黑体" w:cs="Times New Roman"/>
          <w:sz w:val="24"/>
          <w:highlight w:val="none"/>
        </w:rPr>
      </w:pPr>
      <w:bookmarkStart w:id="92" w:name="_Toc23744_WPSOffice_Level1"/>
      <w:bookmarkStart w:id="93" w:name="_Toc29870_WPSOffice_Level1"/>
      <w:bookmarkStart w:id="94" w:name="_Toc7453_WPSOffice_Level1"/>
      <w:bookmarkStart w:id="95" w:name="_Toc10608_WPSOffice_Level1"/>
      <w:bookmarkStart w:id="96" w:name="_Toc18964_WPSOffice_Level1"/>
      <w:r>
        <w:rPr>
          <w:rFonts w:hint="eastAsia" w:ascii="Times New Roman" w:hAnsi="Times New Roman" w:eastAsia="黑体" w:cs="Times New Roman"/>
          <w:sz w:val="24"/>
          <w:highlight w:val="none"/>
        </w:rPr>
        <w:t>四</w:t>
      </w:r>
      <w:r>
        <w:rPr>
          <w:rFonts w:ascii="Times New Roman" w:hAnsi="Times New Roman" w:eastAsia="黑体" w:cs="Times New Roman"/>
          <w:sz w:val="24"/>
          <w:highlight w:val="none"/>
        </w:rPr>
        <w:t>、</w:t>
      </w:r>
      <w:bookmarkEnd w:id="92"/>
      <w:bookmarkEnd w:id="93"/>
      <w:bookmarkEnd w:id="94"/>
      <w:bookmarkEnd w:id="95"/>
      <w:bookmarkEnd w:id="96"/>
      <w:bookmarkStart w:id="97" w:name="_Toc24262_WPSOffice_Level1"/>
      <w:bookmarkStart w:id="98" w:name="_Toc12459_WPSOffice_Level1"/>
      <w:r>
        <w:rPr>
          <w:rFonts w:hint="eastAsia" w:ascii="Times New Roman" w:hAnsi="Times New Roman" w:eastAsia="黑体" w:cs="Times New Roman"/>
          <w:sz w:val="24"/>
          <w:highlight w:val="none"/>
        </w:rPr>
        <w:t>近年类似业绩情况</w:t>
      </w:r>
    </w:p>
    <w:p>
      <w:pPr>
        <w:spacing w:line="440" w:lineRule="exact"/>
        <w:ind w:left="1619" w:leftChars="771"/>
        <w:rPr>
          <w:rFonts w:hint="eastAsia"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五</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信誉情况</w:t>
      </w:r>
    </w:p>
    <w:p>
      <w:pPr>
        <w:spacing w:line="440" w:lineRule="exact"/>
        <w:ind w:left="1619" w:leftChars="771"/>
        <w:rPr>
          <w:rFonts w:hint="eastAsia" w:ascii="Times New Roman" w:hAnsi="Times New Roman" w:eastAsia="黑体" w:cs="Times New Roman"/>
          <w:sz w:val="24"/>
          <w:highlight w:val="none"/>
        </w:rPr>
      </w:pPr>
      <w:bookmarkStart w:id="99" w:name="_Toc20930_WPSOffice_Level1"/>
      <w:bookmarkStart w:id="100" w:name="_Toc927_WPSOffice_Level1"/>
      <w:bookmarkStart w:id="101" w:name="_Toc32220_WPSOffice_Level1"/>
      <w:r>
        <w:rPr>
          <w:rFonts w:hint="eastAsia" w:ascii="Times New Roman" w:hAnsi="Times New Roman" w:eastAsia="黑体" w:cs="Times New Roman"/>
          <w:sz w:val="24"/>
          <w:highlight w:val="none"/>
        </w:rPr>
        <w:t>六</w:t>
      </w:r>
      <w:r>
        <w:rPr>
          <w:rFonts w:ascii="Times New Roman" w:hAnsi="Times New Roman" w:eastAsia="黑体" w:cs="Times New Roman"/>
          <w:sz w:val="24"/>
          <w:highlight w:val="none"/>
        </w:rPr>
        <w:t>、</w:t>
      </w:r>
      <w:bookmarkEnd w:id="97"/>
      <w:bookmarkEnd w:id="98"/>
      <w:bookmarkEnd w:id="99"/>
      <w:bookmarkEnd w:id="100"/>
      <w:bookmarkEnd w:id="101"/>
      <w:r>
        <w:rPr>
          <w:rFonts w:hint="eastAsia" w:ascii="Times New Roman" w:hAnsi="Times New Roman" w:eastAsia="黑体" w:cs="Times New Roman"/>
          <w:sz w:val="24"/>
          <w:highlight w:val="none"/>
          <w:lang w:val="en-US" w:eastAsia="zh-CN"/>
        </w:rPr>
        <w:t>供货方案</w:t>
      </w:r>
    </w:p>
    <w:p>
      <w:pPr>
        <w:spacing w:line="440" w:lineRule="exact"/>
        <w:ind w:left="1619" w:leftChars="771"/>
        <w:rPr>
          <w:rFonts w:hint="eastAsia" w:ascii="Times New Roman" w:hAnsi="Times New Roman" w:eastAsia="黑体" w:cs="Times New Roman"/>
          <w:sz w:val="24"/>
          <w:highlight w:val="none"/>
        </w:rPr>
      </w:pPr>
      <w:bookmarkStart w:id="102" w:name="_Toc16988_WPSOffice_Level1"/>
      <w:bookmarkStart w:id="103" w:name="_Toc25973_WPSOffice_Level1"/>
      <w:bookmarkStart w:id="104" w:name="_Toc5885_WPSOffice_Level1"/>
      <w:r>
        <w:rPr>
          <w:rFonts w:hint="eastAsia" w:ascii="Times New Roman" w:hAnsi="Times New Roman" w:eastAsia="黑体" w:cs="Times New Roman"/>
          <w:sz w:val="24"/>
          <w:highlight w:val="none"/>
        </w:rPr>
        <w:t>七、其他材料</w:t>
      </w:r>
      <w:bookmarkEnd w:id="81"/>
      <w:bookmarkEnd w:id="102"/>
      <w:bookmarkEnd w:id="103"/>
      <w:bookmarkEnd w:id="104"/>
    </w:p>
    <w:p>
      <w:pPr>
        <w:pStyle w:val="21"/>
        <w:rPr>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br w:type="page"/>
      </w:r>
      <w:bookmarkStart w:id="105" w:name="_Toc18312_WPSOffice_Level1"/>
      <w:bookmarkStart w:id="106" w:name="_Toc2765_WPSOffice_Level1"/>
      <w:bookmarkStart w:id="107" w:name="_Toc1362_WPSOffice_Level1"/>
      <w:bookmarkStart w:id="108" w:name="_Toc3972_WPSOffice_Level1"/>
      <w:bookmarkStart w:id="109" w:name="_Toc1017_WPSOffice_Level1"/>
      <w:bookmarkStart w:id="110" w:name="_Toc1687_WPSOffice_Level1"/>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ascii="Times New Roman" w:hAnsi="Times New Roman" w:cs="Times New Roman"/>
          <w:sz w:val="24"/>
          <w:highlight w:val="none"/>
        </w:rPr>
        <w:t>采购人名称</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cs="Times New Roman"/>
          <w:sz w:val="24"/>
          <w:highlight w:val="none"/>
        </w:rPr>
      </w:pPr>
      <w:r>
        <w:rPr>
          <w:rFonts w:hint="default" w:ascii="Times New Roman" w:hAnsi="Times New Roman" w:eastAsia="宋体" w:cs="Times New Roman"/>
          <w:sz w:val="24"/>
          <w:szCs w:val="24"/>
          <w:highlight w:val="none"/>
        </w:rPr>
        <w:t>1．</w:t>
      </w:r>
      <w:r>
        <w:rPr>
          <w:rFonts w:hint="eastAsia" w:ascii="宋体" w:hAnsi="宋体" w:eastAsia="宋体" w:cs="宋体"/>
          <w:sz w:val="24"/>
          <w:szCs w:val="24"/>
          <w:highlight w:val="none"/>
        </w:rPr>
        <w:t>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包段</w:t>
      </w:r>
      <w:r>
        <w:rPr>
          <w:rFonts w:hint="eastAsia" w:ascii="宋体" w:hAnsi="宋体" w:eastAsia="宋体" w:cs="宋体"/>
          <w:sz w:val="24"/>
          <w:szCs w:val="24"/>
          <w:highlight w:val="none"/>
        </w:rPr>
        <w:t>招标文件的全部内容，愿意以报价文件中的投标总报价（或根据招标文件规定修正核实后确定的另一金额）提供</w:t>
      </w:r>
      <w:r>
        <w:rPr>
          <w:rFonts w:hint="eastAsia" w:ascii="Times New Roman" w:hAnsi="Times New Roman" w:cs="Times New Roman"/>
          <w:sz w:val="24"/>
          <w:highlight w:val="none"/>
          <w:lang w:val="en-US" w:eastAsia="zh-CN"/>
        </w:rPr>
        <w:t>提供招标文件要求的货物、技术服务和质保售后服务，并按合同约定履行义务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2．</w:t>
      </w:r>
      <w:r>
        <w:rPr>
          <w:rFonts w:hint="eastAsia" w:ascii="宋体" w:hAnsi="宋体" w:eastAsia="宋体" w:cs="宋体"/>
          <w:sz w:val="24"/>
          <w:szCs w:val="24"/>
          <w:highlight w:val="none"/>
        </w:rPr>
        <w:t>我方承诺响应招标文件的全部要求。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sz w:val="24"/>
          <w:szCs w:val="24"/>
          <w:highlight w:val="none"/>
        </w:rPr>
        <w:t>3．</w:t>
      </w:r>
      <w:r>
        <w:rPr>
          <w:rFonts w:hint="eastAsia" w:ascii="宋体" w:hAnsi="宋体" w:eastAsia="宋体" w:cs="宋体"/>
          <w:sz w:val="24"/>
          <w:szCs w:val="24"/>
          <w:highlight w:val="none"/>
        </w:rPr>
        <w:t>我方承诺在招标文件规定的投标有效期内不撤销投标文件。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4．</w:t>
      </w:r>
      <w:r>
        <w:rPr>
          <w:rFonts w:hint="eastAsia" w:ascii="宋体" w:hAnsi="宋体" w:eastAsia="宋体" w:cs="宋体"/>
          <w:sz w:val="24"/>
          <w:szCs w:val="24"/>
          <w:highlight w:val="none"/>
        </w:rPr>
        <w:t>如我方中标，我方承诺：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（3）按照招标文件要求提交履约保证金</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接到供货需求后做到24小时内将材料送到指定地点（不限数量）。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（6）在收到中标通知书后，在规定时间去勘察现场情况。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5．</w:t>
      </w:r>
      <w:r>
        <w:rPr>
          <w:rFonts w:hint="eastAsia" w:ascii="宋体" w:hAnsi="宋体" w:eastAsia="宋体" w:cs="宋体"/>
          <w:sz w:val="24"/>
          <w:szCs w:val="24"/>
          <w:highlight w:val="none"/>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6．</w:t>
      </w:r>
      <w:r>
        <w:rPr>
          <w:rFonts w:hint="eastAsia" w:ascii="宋体" w:hAnsi="宋体" w:eastAsia="宋体" w:cs="宋体"/>
          <w:sz w:val="24"/>
          <w:szCs w:val="24"/>
          <w:highlight w:val="none"/>
        </w:rPr>
        <w:t>在合同协议书正式签署生效之前，本</w:t>
      </w:r>
      <w:r>
        <w:rPr>
          <w:rFonts w:hint="eastAsia" w:ascii="宋体" w:hAnsi="宋体" w:eastAsia="宋体" w:cs="宋体"/>
          <w:sz w:val="24"/>
          <w:szCs w:val="24"/>
          <w:highlight w:val="none"/>
          <w:lang w:eastAsia="zh-CN"/>
        </w:rPr>
        <w:t>报价函</w:t>
      </w:r>
      <w:r>
        <w:rPr>
          <w:rFonts w:hint="eastAsia" w:ascii="宋体" w:hAnsi="宋体" w:eastAsia="宋体" w:cs="宋体"/>
          <w:sz w:val="24"/>
          <w:szCs w:val="24"/>
          <w:highlight w:val="none"/>
        </w:rPr>
        <w:t>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pStyle w:val="21"/>
        <w:rPr>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rPr>
          <w:highlight w:val="none"/>
        </w:rPr>
      </w:pPr>
    </w:p>
    <w:p>
      <w:pPr>
        <w:pStyle w:val="8"/>
      </w:pPr>
    </w:p>
    <w:bookmarkEnd w:id="105"/>
    <w:bookmarkEnd w:id="106"/>
    <w:bookmarkEnd w:id="107"/>
    <w:bookmarkEnd w:id="108"/>
    <w:bookmarkEnd w:id="109"/>
    <w:bookmarkEnd w:id="110"/>
    <w:p>
      <w:pPr>
        <w:spacing w:line="440" w:lineRule="exact"/>
        <w:jc w:val="center"/>
        <w:rPr>
          <w:rFonts w:ascii="Times New Roman" w:hAnsi="Times New Roman" w:eastAsia="黑体" w:cs="Times New Roman"/>
          <w:sz w:val="28"/>
          <w:szCs w:val="28"/>
          <w:highlight w:val="none"/>
        </w:rPr>
      </w:pPr>
      <w:bookmarkStart w:id="111" w:name="_Toc32350_WPSOffice_Level1"/>
      <w:bookmarkStart w:id="112" w:name="_Toc1996_WPSOffice_Level1"/>
      <w:bookmarkStart w:id="113" w:name="_Toc21740_WPSOffice_Level1"/>
      <w:bookmarkStart w:id="114" w:name="_Toc14563_WPSOffice_Level1"/>
      <w:bookmarkStart w:id="115" w:name="_Toc4951_WPSOffice_Level1"/>
      <w:bookmarkStart w:id="116" w:name="_Toc18668_WPSOffice_Level1"/>
      <w:r>
        <w:rPr>
          <w:rFonts w:ascii="Times New Roman" w:hAnsi="Times New Roman" w:eastAsia="黑体" w:cs="Times New Roman"/>
          <w:sz w:val="28"/>
          <w:szCs w:val="28"/>
          <w:highlight w:val="none"/>
        </w:rPr>
        <w:t>二、法定代表人身份证明及授权委托书</w:t>
      </w:r>
      <w:bookmarkEnd w:id="111"/>
      <w:bookmarkEnd w:id="112"/>
      <w:bookmarkEnd w:id="113"/>
      <w:bookmarkEnd w:id="114"/>
      <w:bookmarkEnd w:id="115"/>
      <w:bookmarkEnd w:id="116"/>
    </w:p>
    <w:p>
      <w:pPr>
        <w:spacing w:line="440" w:lineRule="exact"/>
        <w:jc w:val="center"/>
        <w:rPr>
          <w:rFonts w:ascii="Times New Roman" w:hAnsi="Times New Roman" w:cs="Times New Roman"/>
          <w:sz w:val="28"/>
          <w:szCs w:val="28"/>
          <w:highlight w:val="none"/>
        </w:rPr>
      </w:pPr>
      <w:bookmarkStart w:id="117" w:name="_Toc20803_WPSOffice_Level2"/>
      <w:bookmarkStart w:id="118" w:name="_Toc5153_WPSOffice_Level2"/>
      <w:r>
        <w:rPr>
          <w:rFonts w:ascii="Times New Roman" w:hAnsi="Times New Roman" w:eastAsia="黑体" w:cs="Times New Roman"/>
          <w:bCs/>
          <w:sz w:val="28"/>
          <w:szCs w:val="28"/>
          <w:highlight w:val="none"/>
        </w:rPr>
        <w:t>2-1 法定代表人身份证明</w:t>
      </w:r>
      <w:bookmarkEnd w:id="117"/>
      <w:bookmarkEnd w:id="118"/>
    </w:p>
    <w:p>
      <w:pPr>
        <w:spacing w:line="440" w:lineRule="exact"/>
        <w:rPr>
          <w:rFonts w:ascii="Times New Roman" w:hAnsi="Times New Roman" w:cs="Times New Roman"/>
          <w:sz w:val="20"/>
          <w:szCs w:val="20"/>
          <w:highlight w:val="none"/>
        </w:rPr>
      </w:pP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单位性质：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成立时间：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日</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经营期限：</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 xml:space="preserve"> 性别：</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年龄：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职务：</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highlight w:val="none"/>
        </w:rPr>
      </w:pPr>
    </w:p>
    <w:p>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特此证明。</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rPr>
          <w:rFonts w:hint="eastAsia" w:ascii="宋体" w:hAnsi="宋体" w:eastAsia="宋体" w:cs="宋体"/>
          <w:sz w:val="24"/>
          <w:highlight w:val="none"/>
        </w:rPr>
      </w:pPr>
      <w:r>
        <w:rPr>
          <w:rFonts w:ascii="Times New Roman" w:hAnsi="Times New Roman" w:cs="Times New Roman"/>
          <w:sz w:val="24"/>
          <w:highlight w:val="none"/>
        </w:rPr>
        <w:t xml:space="preserve">                         </w:t>
      </w:r>
      <w:r>
        <w:rPr>
          <w:rFonts w:hint="eastAsia" w:ascii="宋体" w:hAnsi="宋体" w:eastAsia="宋体" w:cs="宋体"/>
          <w:sz w:val="24"/>
          <w:highlight w:val="none"/>
        </w:rPr>
        <w:t xml:space="preserve"> 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pPr>
        <w:spacing w:line="440" w:lineRule="exact"/>
        <w:rPr>
          <w:rFonts w:ascii="Times New Roman" w:hAnsi="Times New Roman" w:cs="Times New Roman"/>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日  </w:t>
      </w:r>
      <w:r>
        <w:rPr>
          <w:rFonts w:ascii="Times New Roman" w:hAnsi="Times New Roman" w:cs="Times New Roman"/>
          <w:sz w:val="24"/>
          <w:highlight w:val="none"/>
        </w:rPr>
        <w:t xml:space="preserve">         </w:t>
      </w: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ind w:left="315" w:hanging="315" w:hangingChars="150"/>
        <w:rPr>
          <w:rFonts w:ascii="Times New Roman" w:hAnsi="Times New Roman" w:eastAsia="黑体" w:cs="Times New Roman"/>
          <w:szCs w:val="21"/>
          <w:highlight w:val="none"/>
        </w:rPr>
      </w:pPr>
    </w:p>
    <w:p>
      <w:pPr>
        <w:topLinePunct/>
        <w:spacing w:line="440" w:lineRule="exact"/>
        <w:ind w:left="315" w:hanging="315" w:hangingChars="150"/>
        <w:rPr>
          <w:rFonts w:ascii="Times New Roman" w:hAnsi="Times New Roman" w:eastAsia="黑体" w:cs="Times New Roman"/>
          <w:bCs/>
          <w:szCs w:val="21"/>
          <w:highlight w:val="none"/>
        </w:rPr>
      </w:pPr>
    </w:p>
    <w:p>
      <w:pPr>
        <w:spacing w:line="440" w:lineRule="exact"/>
        <w:jc w:val="center"/>
        <w:rPr>
          <w:rFonts w:hint="eastAsia" w:ascii="Times New Roman" w:hAnsi="Times New Roman" w:cs="Times New Roman" w:eastAsiaTheme="minorEastAsia"/>
          <w:sz w:val="28"/>
          <w:szCs w:val="28"/>
          <w:highlight w:val="none"/>
          <w:lang w:eastAsia="zh-CN"/>
        </w:rPr>
      </w:pPr>
      <w:r>
        <w:rPr>
          <w:rFonts w:ascii="Times New Roman" w:hAnsi="Times New Roman" w:eastAsia="黑体" w:cs="Times New Roman"/>
          <w:sz w:val="24"/>
          <w:highlight w:val="none"/>
        </w:rPr>
        <w:br w:type="page"/>
      </w:r>
      <w:bookmarkStart w:id="119" w:name="_Toc12035_WPSOffice_Level2"/>
      <w:bookmarkStart w:id="120" w:name="_Toc19768_WPSOffice_Level2"/>
      <w:r>
        <w:rPr>
          <w:rFonts w:ascii="Times New Roman" w:hAnsi="Times New Roman" w:eastAsia="黑体" w:cs="Times New Roman"/>
          <w:bCs/>
          <w:sz w:val="28"/>
          <w:szCs w:val="28"/>
          <w:highlight w:val="none"/>
        </w:rPr>
        <w:t xml:space="preserve">2-2 </w:t>
      </w:r>
      <w:r>
        <w:rPr>
          <w:rFonts w:ascii="Times New Roman" w:hAnsi="Times New Roman" w:eastAsia="黑体" w:cs="Times New Roman"/>
          <w:sz w:val="28"/>
          <w:szCs w:val="28"/>
          <w:highlight w:val="none"/>
        </w:rPr>
        <w:t>授权委托书</w:t>
      </w:r>
      <w:bookmarkEnd w:id="119"/>
      <w:bookmarkEnd w:id="120"/>
    </w:p>
    <w:p>
      <w:pPr>
        <w:spacing w:line="440" w:lineRule="exact"/>
        <w:rPr>
          <w:rFonts w:ascii="Times New Roman" w:hAnsi="Times New Roman" w:eastAsia="黑体" w:cs="Times New Roman"/>
          <w:sz w:val="24"/>
          <w:highlight w:val="none"/>
        </w:rPr>
      </w:pPr>
    </w:p>
    <w:p>
      <w:pPr>
        <w:topLinePunct/>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本人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(供应商名称)的法定代表人，现委托</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(姓名)为我方代理人。代理人根据授权，以我方名义签署、澄清、说明、补正、递交、撤回、修改</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(项目名称)响应文件、签订合同和处理有关事宜，其法律后果由我方承担。</w:t>
      </w: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委托期限：</w:t>
      </w:r>
      <w:r>
        <w:rPr>
          <w:rFonts w:ascii="Times New Roman" w:hAnsi="Times New Roman" w:cs="Times New Roman"/>
          <w:sz w:val="24"/>
          <w:highlight w:val="none"/>
          <w:u w:val="single"/>
        </w:rPr>
        <w:t>自授权委托之日起至签订合同之日止</w:t>
      </w:r>
      <w:r>
        <w:rPr>
          <w:rFonts w:ascii="Times New Roman" w:hAnsi="Times New Roman" w:cs="Times New Roman"/>
          <w:sz w:val="24"/>
          <w:highlight w:val="none"/>
        </w:rPr>
        <w:t>。</w:t>
      </w:r>
    </w:p>
    <w:p>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rPr>
          <w:rFonts w:hint="eastAsia" w:asciiTheme="minorEastAsia" w:hAnsiTheme="minorEastAsia" w:eastAsiaTheme="minorEastAsia" w:cstheme="minorEastAsia"/>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Theme="minorEastAsia" w:hAnsiTheme="minorEastAsia" w:eastAsiaTheme="minorEastAsia" w:cstheme="minorEastAsia"/>
          <w:sz w:val="24"/>
          <w:highlight w:val="none"/>
        </w:rPr>
        <w:t>(盖单位章)</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委托代理人：</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ind w:firstLine="3000" w:firstLineChars="1250"/>
        <w:rPr>
          <w:rFonts w:ascii="Times New Roman" w:hAnsi="Times New Roman" w:eastAsia="黑体" w:cs="Times New Roman"/>
          <w:sz w:val="24"/>
          <w:highlight w:val="none"/>
        </w:rPr>
        <w:sectPr>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bookmarkStart w:id="121" w:name="_Toc26364_WPSOffice_Level1"/>
      <w:bookmarkStart w:id="122" w:name="_Toc32085_WPSOffice_Level1"/>
      <w:bookmarkStart w:id="123" w:name="_Toc24567_WPSOffice_Level1"/>
      <w:bookmarkStart w:id="124" w:name="_Toc24530_WPSOffice_Level1"/>
      <w:bookmarkStart w:id="125" w:name="_Toc28828_WPSOffice_Level1"/>
      <w:bookmarkStart w:id="126" w:name="_Toc27513_WPSOffice_Level1"/>
    </w:p>
    <w:bookmarkEnd w:id="121"/>
    <w:bookmarkEnd w:id="122"/>
    <w:bookmarkEnd w:id="123"/>
    <w:bookmarkEnd w:id="124"/>
    <w:bookmarkEnd w:id="125"/>
    <w:bookmarkEnd w:id="126"/>
    <w:p>
      <w:pPr>
        <w:topLinePunct/>
        <w:spacing w:line="440" w:lineRule="exact"/>
        <w:jc w:val="center"/>
        <w:rPr>
          <w:rFonts w:ascii="Times New Roman" w:hAnsi="Times New Roman" w:eastAsia="黑体" w:cs="Times New Roman"/>
          <w:sz w:val="28"/>
          <w:szCs w:val="28"/>
          <w:highlight w:val="none"/>
        </w:rPr>
      </w:pPr>
      <w:bookmarkStart w:id="127" w:name="_Toc10646_WPSOffice_Level1"/>
      <w:bookmarkStart w:id="128" w:name="_Toc10436_WPSOffice_Level1"/>
      <w:bookmarkStart w:id="129" w:name="_Toc7738_WPSOffice_Level1"/>
      <w:bookmarkStart w:id="130" w:name="_Toc17124_WPSOffice_Level1"/>
      <w:bookmarkStart w:id="131" w:name="_Toc31445_WPSOffice_Level1"/>
      <w:bookmarkStart w:id="132" w:name="_Toc19015_WPSOffice_Level1"/>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133" w:name="_Toc2807_WPSOffice_Level2"/>
      <w:bookmarkStart w:id="134" w:name="_Toc27600_WPSOffice_Level2"/>
      <w:r>
        <w:rPr>
          <w:rFonts w:ascii="Times New Roman" w:hAnsi="Times New Roman" w:eastAsia="黑体" w:cs="Times New Roman"/>
          <w:sz w:val="28"/>
          <w:szCs w:val="28"/>
          <w:highlight w:val="none"/>
        </w:rPr>
        <w:t>供应商基本情况</w:t>
      </w:r>
      <w:bookmarkEnd w:id="127"/>
      <w:bookmarkEnd w:id="128"/>
      <w:bookmarkEnd w:id="129"/>
      <w:bookmarkEnd w:id="130"/>
      <w:bookmarkEnd w:id="131"/>
      <w:bookmarkEnd w:id="132"/>
      <w:bookmarkEnd w:id="133"/>
      <w:bookmarkEnd w:id="134"/>
    </w:p>
    <w:p>
      <w:pPr>
        <w:topLinePunct/>
        <w:spacing w:line="440" w:lineRule="exact"/>
        <w:jc w:val="center"/>
        <w:rPr>
          <w:rFonts w:ascii="Times New Roman" w:hAnsi="Times New Roman" w:cs="Times New Roman"/>
          <w:sz w:val="23"/>
          <w:szCs w:val="23"/>
          <w:highlight w:val="none"/>
        </w:rPr>
      </w:pPr>
    </w:p>
    <w:tbl>
      <w:tblPr>
        <w:tblStyle w:val="22"/>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highlight w:val="none"/>
              </w:rPr>
            </w:pPr>
          </w:p>
          <w:p>
            <w:pPr>
              <w:topLinePunct/>
              <w:spacing w:line="440" w:lineRule="exact"/>
              <w:jc w:val="center"/>
              <w:rPr>
                <w:rFonts w:ascii="Times New Roman" w:hAnsi="Times New Roman" w:cs="Times New Roman"/>
                <w:szCs w:val="21"/>
                <w:highlight w:val="none"/>
              </w:rPr>
            </w:pPr>
          </w:p>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bl>
    <w:p>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2" w:firstLineChars="200"/>
        <w:textAlignment w:val="bottom"/>
        <w:rPr>
          <w:rFonts w:ascii="Times New Roman" w:hAnsi="Times New Roman" w:eastAsia="黑体" w:cs="Times New Roman"/>
          <w:b/>
          <w:bCs/>
          <w:sz w:val="21"/>
          <w:szCs w:val="21"/>
          <w:highlight w:val="none"/>
        </w:rPr>
      </w:pPr>
      <w:r>
        <w:rPr>
          <w:rFonts w:ascii="Times New Roman" w:hAnsi="Times New Roman" w:eastAsia="黑体" w:cs="Times New Roman"/>
          <w:b/>
          <w:bCs/>
          <w:sz w:val="21"/>
          <w:szCs w:val="21"/>
          <w:highlight w:val="none"/>
        </w:rPr>
        <w:t>在本表后应附企业法人营业执照、</w:t>
      </w:r>
      <w:r>
        <w:rPr>
          <w:rFonts w:hint="eastAsia" w:ascii="Times New Roman" w:hAnsi="Times New Roman" w:eastAsia="黑体" w:cs="Times New Roman"/>
          <w:b/>
          <w:bCs/>
          <w:sz w:val="21"/>
          <w:szCs w:val="21"/>
          <w:highlight w:val="none"/>
          <w:lang w:val="en-US" w:eastAsia="zh-CN"/>
        </w:rPr>
        <w:t>相关</w:t>
      </w:r>
      <w:r>
        <w:rPr>
          <w:rFonts w:ascii="Times New Roman" w:hAnsi="Times New Roman" w:eastAsia="黑体" w:cs="Times New Roman"/>
          <w:b/>
          <w:bCs/>
          <w:sz w:val="21"/>
          <w:szCs w:val="21"/>
          <w:highlight w:val="none"/>
        </w:rPr>
        <w:t>证书、及资格审查要求的其他证件复印件。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highlight w:val="none"/>
        </w:rPr>
      </w:pPr>
    </w:p>
    <w:p>
      <w:pPr>
        <w:spacing w:line="360" w:lineRule="auto"/>
        <w:ind w:firstLine="2520" w:firstLineChars="1200"/>
        <w:rPr>
          <w:rFonts w:hint="eastAsia" w:hAnsi="宋体" w:cs="宋体"/>
          <w:bCs/>
          <w:color w:val="auto"/>
          <w:highlight w:val="none"/>
        </w:rPr>
      </w:pPr>
      <w:r>
        <w:rPr>
          <w:rFonts w:ascii="Times New Roman" w:hAnsi="Times New Roman" w:eastAsia="黑体" w:cs="Times New Roman"/>
          <w:szCs w:val="21"/>
          <w:highlight w:val="none"/>
        </w:rPr>
        <w:br w:type="page"/>
      </w:r>
    </w:p>
    <w:p>
      <w:pPr>
        <w:topLinePunct/>
        <w:spacing w:line="440" w:lineRule="exact"/>
        <w:jc w:val="center"/>
        <w:rPr>
          <w:rFonts w:hint="eastAsia" w:ascii="Times New Roman" w:hAnsi="Times New Roman" w:eastAsia="黑体" w:cs="Times New Roman"/>
          <w:sz w:val="28"/>
          <w:szCs w:val="28"/>
          <w:highlight w:val="none"/>
          <w:lang w:val="en-US" w:eastAsia="zh-CN"/>
        </w:rPr>
      </w:pPr>
      <w:bookmarkStart w:id="135" w:name="_Toc5072_WPSOffice_Level1"/>
      <w:bookmarkStart w:id="136" w:name="_Toc3772_WPSOffice_Level1"/>
      <w:bookmarkStart w:id="137" w:name="_Toc19004_WPSOffice_Level1"/>
      <w:bookmarkStart w:id="138" w:name="_Toc3912"/>
      <w:bookmarkStart w:id="139" w:name="_Toc18547_WPSOffice_Level1"/>
      <w:bookmarkStart w:id="140" w:name="_Toc1452_WPSOffice_Level1"/>
      <w:r>
        <w:rPr>
          <w:rFonts w:hint="eastAsia" w:ascii="Times New Roman" w:hAnsi="Times New Roman" w:eastAsia="黑体" w:cs="Times New Roman"/>
          <w:sz w:val="28"/>
          <w:szCs w:val="28"/>
          <w:highlight w:val="none"/>
          <w:lang w:val="en-US" w:eastAsia="zh-CN"/>
        </w:rPr>
        <w:t>四、近年类似业绩情况</w:t>
      </w:r>
      <w:bookmarkEnd w:id="135"/>
      <w:bookmarkEnd w:id="136"/>
      <w:bookmarkEnd w:id="137"/>
      <w:bookmarkEnd w:id="138"/>
      <w:bookmarkEnd w:id="139"/>
      <w:bookmarkEnd w:id="140"/>
    </w:p>
    <w:p>
      <w:pPr>
        <w:pStyle w:val="10"/>
        <w:rPr>
          <w:rFonts w:hint="eastAsia"/>
        </w:rPr>
      </w:pP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项目名称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名称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业主代表姓名</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业主代表</w:t>
            </w:r>
            <w:r>
              <w:rPr>
                <w:rFonts w:ascii="Times New Roman" w:hAnsi="Times New Roman" w:cs="Times New Roman"/>
                <w:szCs w:val="21"/>
                <w:highlight w:val="none"/>
              </w:rPr>
              <w:t>电话</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合同价格</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lang w:val="en-US" w:eastAsia="zh-CN"/>
              </w:rPr>
              <w:t>供货</w:t>
            </w:r>
            <w:r>
              <w:rPr>
                <w:rFonts w:hint="eastAsia" w:ascii="Times New Roman" w:hAnsi="Times New Roman" w:cs="Times New Roman"/>
                <w:szCs w:val="21"/>
                <w:highlight w:val="none"/>
              </w:rPr>
              <w:t>内容</w:t>
            </w:r>
            <w:r>
              <w:rPr>
                <w:rFonts w:ascii="Times New Roman" w:hAnsi="Times New Roman" w:cs="Times New Roman"/>
                <w:szCs w:val="21"/>
                <w:highlight w:val="none"/>
              </w:rPr>
              <w:t>描述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258" w:type="dxa"/>
          </w:tcPr>
          <w:p>
            <w:pPr>
              <w:topLinePunct/>
              <w:spacing w:line="440" w:lineRule="exact"/>
              <w:rPr>
                <w:rFonts w:ascii="Times New Roman" w:hAnsi="Times New Roman" w:cs="Times New Roman"/>
                <w:szCs w:val="21"/>
                <w:highlight w:val="none"/>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注：</w:t>
      </w:r>
    </w:p>
    <w:p>
      <w:pPr>
        <w:keepNext w:val="0"/>
        <w:keepLines w:val="0"/>
        <w:pageBreakBefore w:val="0"/>
        <w:widowControl/>
        <w:numPr>
          <w:ilvl w:val="0"/>
          <w:numId w:val="6"/>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none"/>
        </w:rPr>
      </w:pPr>
      <w:r>
        <w:rPr>
          <w:rFonts w:hint="eastAsia" w:ascii="黑体" w:hAnsi="黑体" w:eastAsia="黑体" w:cs="黑体"/>
          <w:sz w:val="21"/>
          <w:szCs w:val="21"/>
          <w:highlight w:val="none"/>
        </w:rPr>
        <w:t>每张表格只填写一个项目，并标明序号。</w:t>
      </w:r>
    </w:p>
    <w:p>
      <w:pPr>
        <w:keepNext w:val="0"/>
        <w:keepLines w:val="0"/>
        <w:pageBreakBefore w:val="0"/>
        <w:widowControl/>
        <w:numPr>
          <w:ilvl w:val="0"/>
          <w:numId w:val="6"/>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rPr>
        <w:t>业绩证明材料要求：</w:t>
      </w:r>
      <w:r>
        <w:rPr>
          <w:rFonts w:hint="eastAsia" w:ascii="黑体" w:hAnsi="黑体" w:eastAsia="黑体" w:cs="黑体"/>
          <w:sz w:val="21"/>
          <w:szCs w:val="21"/>
          <w:highlight w:val="none"/>
          <w:u w:val="single"/>
          <w:lang w:val="en-US" w:eastAsia="zh-CN"/>
        </w:rPr>
        <w:t>详见业绩最低要求</w:t>
      </w:r>
      <w:r>
        <w:rPr>
          <w:rFonts w:hint="eastAsia" w:ascii="黑体" w:hAnsi="黑体" w:eastAsia="黑体" w:cs="黑体"/>
          <w:sz w:val="21"/>
          <w:szCs w:val="21"/>
          <w:highlight w:val="none"/>
          <w:lang w:val="en-US" w:eastAsia="zh-CN"/>
        </w:rPr>
        <w:t>。</w:t>
      </w:r>
    </w:p>
    <w:p>
      <w:pPr>
        <w:keepNext w:val="0"/>
        <w:keepLines w:val="0"/>
        <w:pageBreakBefore w:val="0"/>
        <w:widowControl/>
        <w:numPr>
          <w:ilvl w:val="0"/>
          <w:numId w:val="6"/>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yellow"/>
          <w:lang w:val="en-US" w:eastAsia="zh-CN"/>
        </w:rPr>
      </w:pPr>
      <w:r>
        <w:rPr>
          <w:rFonts w:hint="eastAsia" w:ascii="黑体" w:hAnsi="黑体" w:eastAsia="黑体" w:cs="黑体"/>
          <w:sz w:val="21"/>
          <w:szCs w:val="21"/>
          <w:highlight w:val="yellow"/>
          <w:lang w:val="en-US" w:eastAsia="zh-CN"/>
        </w:rPr>
        <w:t>资格审查业绩可作为商务及技术文件评审业绩。</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Chars="200"/>
        <w:textAlignment w:val="bottom"/>
        <w:rPr>
          <w:rFonts w:hint="default"/>
          <w:lang w:val="en-US" w:eastAsia="zh-CN"/>
        </w:rPr>
      </w:pPr>
      <w:r>
        <w:rPr>
          <w:rFonts w:hint="eastAsia" w:ascii="黑体" w:hAnsi="黑体" w:eastAsia="黑体" w:cs="黑体"/>
          <w:sz w:val="21"/>
          <w:szCs w:val="21"/>
          <w:highlight w:val="yellow"/>
          <w:lang w:val="en-US" w:eastAsia="zh-CN"/>
        </w:rPr>
        <w:t>4、未在表中备注列明的资格审查业绩均不作为资格审查供应商业绩予以评审。</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highlight w:val="none"/>
        </w:rPr>
        <w:br w:type="page"/>
      </w:r>
    </w:p>
    <w:p>
      <w:pPr>
        <w:bidi w:val="0"/>
        <w:jc w:val="center"/>
        <w:rPr>
          <w:rFonts w:ascii="Times New Roman" w:hAnsi="Times New Roman" w:cs="Times New Roman"/>
          <w:bCs/>
          <w:sz w:val="23"/>
          <w:szCs w:val="23"/>
          <w:highlight w:val="none"/>
        </w:rPr>
      </w:pPr>
      <w:bookmarkStart w:id="141" w:name="_Toc10810_WPSOffice_Level1"/>
      <w:bookmarkStart w:id="142" w:name="_Toc3893_WPSOffice_Level1"/>
      <w:bookmarkStart w:id="143" w:name="_Toc5403_WPSOffice_Level1"/>
      <w:bookmarkStart w:id="144" w:name="_Toc12019_WPSOffice_Level1"/>
      <w:bookmarkStart w:id="145" w:name="_Toc5889_WPSOffice_Level1"/>
      <w:bookmarkStart w:id="146" w:name="_Toc26594_WPSOffice_Level1"/>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、信誉情况</w:t>
      </w:r>
      <w:bookmarkEnd w:id="141"/>
      <w:bookmarkEnd w:id="142"/>
      <w:bookmarkEnd w:id="143"/>
      <w:bookmarkEnd w:id="144"/>
      <w:bookmarkEnd w:id="145"/>
      <w:bookmarkEnd w:id="146"/>
    </w:p>
    <w:p>
      <w:pPr>
        <w:topLinePunct/>
        <w:spacing w:line="440" w:lineRule="exact"/>
        <w:rPr>
          <w:rFonts w:ascii="Times New Roman" w:hAnsi="Times New Roman" w:cs="Times New Roman"/>
          <w:bCs/>
          <w:sz w:val="23"/>
          <w:szCs w:val="23"/>
          <w:highlight w:val="none"/>
        </w:rPr>
      </w:pPr>
    </w:p>
    <w:tbl>
      <w:tblPr>
        <w:tblStyle w:val="22"/>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6"/>
                <w:color w:val="auto"/>
                <w:sz w:val="22"/>
                <w:szCs w:val="22"/>
                <w:highlight w:val="none"/>
              </w:rPr>
              <w:t>在</w:t>
            </w:r>
            <w:r>
              <w:rPr>
                <w:rStyle w:val="26"/>
                <w:rFonts w:hint="eastAsia"/>
                <w:color w:val="auto"/>
                <w:sz w:val="22"/>
                <w:szCs w:val="22"/>
                <w:highlight w:val="none"/>
              </w:rPr>
              <w:t>“</w:t>
            </w:r>
            <w:r>
              <w:rPr>
                <w:rStyle w:val="26"/>
                <w:color w:val="auto"/>
                <w:sz w:val="22"/>
                <w:szCs w:val="22"/>
                <w:highlight w:val="none"/>
              </w:rPr>
              <w:t>信用中国</w:t>
            </w:r>
            <w:r>
              <w:rPr>
                <w:rStyle w:val="26"/>
                <w:rFonts w:hint="eastAsia"/>
                <w:color w:val="auto"/>
                <w:sz w:val="22"/>
                <w:szCs w:val="22"/>
                <w:highlight w:val="none"/>
              </w:rPr>
              <w:t>”</w:t>
            </w:r>
            <w:r>
              <w:rPr>
                <w:rStyle w:val="26"/>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6"/>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pStyle w:val="8"/>
        <w:jc w:val="right"/>
        <w:rPr>
          <w:rFonts w:ascii="Times New Roman" w:hAnsi="Times New Roman" w:cs="Times New Roman"/>
          <w:sz w:val="24"/>
          <w:highlight w:val="none"/>
        </w:rPr>
      </w:pPr>
    </w:p>
    <w:p>
      <w:pPr>
        <w:pStyle w:val="9"/>
        <w:rPr>
          <w:rFonts w:ascii="Times New Roman" w:hAnsi="Times New Roman" w:cs="Times New Roman"/>
          <w:sz w:val="24"/>
          <w:highlight w:val="none"/>
        </w:rPr>
      </w:pPr>
    </w:p>
    <w:p>
      <w:pPr>
        <w:pStyle w:val="10"/>
        <w:rPr>
          <w:rFonts w:ascii="Times New Roman" w:hAnsi="Times New Roman" w:cs="Times New Roman"/>
          <w:sz w:val="24"/>
          <w:highlight w:val="none"/>
        </w:rPr>
      </w:pPr>
    </w:p>
    <w:p>
      <w:pPr>
        <w:rPr>
          <w:rFonts w:ascii="Times New Roman" w:hAnsi="Times New Roman" w:cs="Times New Roman"/>
          <w:sz w:val="24"/>
          <w:highlight w:val="none"/>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pPr>
        <w:pStyle w:val="8"/>
        <w:keepNext w:val="0"/>
        <w:keepLines w:val="0"/>
        <w:pageBreakBefore w:val="0"/>
        <w:widowControl w:val="0"/>
        <w:kinsoku/>
        <w:wordWrap/>
        <w:overflowPunct/>
        <w:topLinePunct w:val="0"/>
        <w:autoSpaceDE/>
        <w:autoSpaceDN/>
        <w:bidi w:val="0"/>
        <w:adjustRightInd/>
        <w:snapToGrid/>
        <w:spacing w:line="560" w:lineRule="exact"/>
        <w:jc w:val="right"/>
        <w:textAlignment w:val="auto"/>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pStyle w:val="8"/>
        <w:rPr>
          <w:highlight w:val="none"/>
        </w:rPr>
      </w:pPr>
    </w:p>
    <w:p>
      <w:pPr>
        <w:pStyle w:val="8"/>
        <w:spacing w:line="440" w:lineRule="exact"/>
        <w:rPr>
          <w:rFonts w:ascii="Times New Roman" w:hAnsi="Times New Roman" w:cs="Times New Roman"/>
          <w:sz w:val="24"/>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numPr>
          <w:ilvl w:val="0"/>
          <w:numId w:val="0"/>
        </w:numPr>
        <w:bidi w:val="0"/>
        <w:jc w:val="center"/>
        <w:rPr>
          <w:rFonts w:hint="eastAsia" w:ascii="Times New Roman"/>
          <w:color w:val="auto"/>
          <w:szCs w:val="24"/>
          <w:highlight w:val="none"/>
          <w:lang w:eastAsia="zh-CN"/>
        </w:rPr>
      </w:pPr>
      <w:bookmarkStart w:id="147" w:name="_Toc22303_WPSOffice_Level1"/>
      <w:bookmarkStart w:id="148" w:name="_Toc31963_WPSOffice_Level1"/>
      <w:bookmarkStart w:id="149" w:name="_Toc19034_WPSOffice_Level1"/>
      <w:bookmarkStart w:id="150" w:name="_Toc5957_WPSOffice_Level1"/>
      <w:bookmarkStart w:id="151" w:name="_Toc2428_WPSOffice_Level1"/>
      <w:bookmarkStart w:id="152" w:name="_Toc13165_WPSOffice_Level1"/>
      <w:r>
        <w:rPr>
          <w:rFonts w:hint="eastAsia" w:ascii="黑体" w:hAnsi="黑体" w:eastAsia="黑体" w:cs="黑体"/>
          <w:sz w:val="28"/>
          <w:szCs w:val="28"/>
          <w:highlight w:val="none"/>
          <w:lang w:val="en-US" w:eastAsia="zh-CN"/>
        </w:rPr>
        <w:t>六、供货方案</w:t>
      </w:r>
    </w:p>
    <w:p>
      <w:pPr>
        <w:numPr>
          <w:ilvl w:val="0"/>
          <w:numId w:val="0"/>
        </w:numPr>
        <w:bidi w:val="0"/>
        <w:jc w:val="both"/>
        <w:rPr>
          <w:rFonts w:hint="eastAsia" w:ascii="Times New Roman"/>
          <w:color w:val="auto"/>
          <w:sz w:val="24"/>
          <w:szCs w:val="24"/>
          <w:highlight w:val="none"/>
          <w:lang w:eastAsia="zh-CN"/>
        </w:rPr>
      </w:pPr>
      <w:r>
        <w:rPr>
          <w:rFonts w:hint="eastAsia" w:ascii="Times New Roman"/>
          <w:color w:val="auto"/>
          <w:sz w:val="24"/>
          <w:szCs w:val="24"/>
          <w:highlight w:val="none"/>
          <w:lang w:val="en-US" w:eastAsia="zh-CN"/>
        </w:rPr>
        <w:t>供应商应按项目特点编制供货方案</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文字宜精炼，内容具有可行性、针对性</w:t>
      </w:r>
      <w:r>
        <w:rPr>
          <w:rFonts w:hint="eastAsia" w:ascii="Times New Roman"/>
          <w:color w:val="auto"/>
          <w:sz w:val="24"/>
          <w:szCs w:val="24"/>
          <w:highlight w:val="none"/>
          <w:lang w:eastAsia="zh-CN"/>
        </w:rPr>
        <w:t>。</w:t>
      </w: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highlight w:val="none"/>
        </w:rPr>
      </w:pPr>
    </w:p>
    <w:p>
      <w:pPr>
        <w:pStyle w:val="21"/>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8"/>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、其</w:t>
      </w:r>
      <w:bookmarkEnd w:id="147"/>
      <w:r>
        <w:rPr>
          <w:rFonts w:hint="eastAsia" w:ascii="Times New Roman" w:hAnsi="Times New Roman" w:eastAsia="黑体" w:cs="Times New Roman"/>
          <w:sz w:val="28"/>
          <w:szCs w:val="28"/>
          <w:highlight w:val="none"/>
          <w:lang w:val="en-US" w:eastAsia="zh-CN"/>
        </w:rPr>
        <w:t>他</w:t>
      </w:r>
      <w:r>
        <w:rPr>
          <w:rFonts w:ascii="Times New Roman" w:hAnsi="Times New Roman" w:eastAsia="黑体" w:cs="Times New Roman"/>
          <w:sz w:val="28"/>
          <w:szCs w:val="28"/>
          <w:highlight w:val="none"/>
        </w:rPr>
        <w:t>材料</w:t>
      </w:r>
      <w:bookmarkEnd w:id="148"/>
      <w:bookmarkEnd w:id="149"/>
      <w:bookmarkEnd w:id="150"/>
      <w:bookmarkEnd w:id="151"/>
      <w:bookmarkEnd w:id="152"/>
    </w:p>
    <w:p>
      <w:pPr>
        <w:pStyle w:val="29"/>
        <w:rPr>
          <w:rFonts w:hint="default" w:ascii="Times New Roman" w:hAnsi="Times New Roman"/>
          <w:color w:val="auto"/>
          <w:szCs w:val="28"/>
          <w:highlight w:val="none"/>
        </w:rPr>
      </w:pPr>
    </w:p>
    <w:p>
      <w:pPr>
        <w:pStyle w:val="29"/>
        <w:numPr>
          <w:ilvl w:val="0"/>
          <w:numId w:val="0"/>
        </w:numPr>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响应保证金的银行凭证（电汇回单）复印件等。</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36"/>
          <w:szCs w:val="36"/>
          <w:highlight w:val="none"/>
        </w:rPr>
      </w:pP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r>
        <w:rPr>
          <w:rFonts w:ascii="Times New Roman" w:hAnsi="Times New Roman" w:eastAsia="黑体" w:cs="Times New Roman"/>
          <w:sz w:val="36"/>
          <w:szCs w:val="36"/>
          <w:highlight w:val="none"/>
        </w:rPr>
        <w:t>询比</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hint="default" w:ascii="Times New Roman" w:hAnsi="Times New Roman" w:eastAsia="黑体" w:cs="Times New Roman"/>
          <w:sz w:val="40"/>
          <w:szCs w:val="40"/>
          <w:highlight w:val="none"/>
          <w:lang w:val="en-US" w:eastAsia="zh-CN"/>
        </w:rPr>
      </w:pPr>
      <w:r>
        <w:rPr>
          <w:rFonts w:hint="eastAsia" w:ascii="Times New Roman" w:hAnsi="Times New Roman" w:eastAsia="黑体" w:cs="Times New Roman"/>
          <w:sz w:val="40"/>
          <w:szCs w:val="40"/>
          <w:highlight w:val="none"/>
          <w:lang w:val="en-US" w:eastAsia="zh-CN"/>
        </w:rPr>
        <w:t xml:space="preserve">                </w:t>
      </w:r>
      <w:r>
        <w:rPr>
          <w:rFonts w:hint="eastAsia" w:ascii="Times New Roman" w:hAnsi="Times New Roman" w:eastAsia="黑体" w:cs="Times New Roman"/>
          <w:sz w:val="40"/>
          <w:szCs w:val="40"/>
          <w:highlight w:val="none"/>
          <w:u w:val="single"/>
          <w:lang w:val="en-US" w:eastAsia="zh-CN"/>
        </w:rPr>
        <w:t xml:space="preserve">        </w:t>
      </w:r>
      <w:r>
        <w:rPr>
          <w:rFonts w:hint="eastAsia" w:ascii="Times New Roman" w:hAnsi="Times New Roman" w:eastAsia="黑体" w:cs="Times New Roman"/>
          <w:sz w:val="40"/>
          <w:szCs w:val="40"/>
          <w:highlight w:val="none"/>
          <w:lang w:val="en-US" w:eastAsia="zh-CN"/>
        </w:rPr>
        <w:t>包段</w:t>
      </w: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pPr>
        <w:pStyle w:val="21"/>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（报价文件）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r>
        <w:rPr>
          <w:rFonts w:ascii="Times New Roman" w:hAnsi="Times New Roman" w:eastAsia="黑体" w:cs="Times New Roman"/>
          <w:sz w:val="28"/>
          <w:szCs w:val="28"/>
          <w:highlight w:val="none"/>
        </w:rPr>
        <w:t>目     录</w:t>
      </w:r>
    </w:p>
    <w:p>
      <w:pPr>
        <w:spacing w:line="440" w:lineRule="exact"/>
        <w:rPr>
          <w:rFonts w:ascii="Times New Roman" w:hAnsi="Times New Roman" w:eastAsia="黑体" w:cs="Times New Roman"/>
          <w:sz w:val="20"/>
          <w:szCs w:val="20"/>
          <w:highlight w:val="none"/>
        </w:rPr>
      </w:pP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一、报价函</w:t>
      </w: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二、已标价</w:t>
      </w:r>
      <w:r>
        <w:rPr>
          <w:rFonts w:hint="eastAsia" w:ascii="Times New Roman" w:hAnsi="Times New Roman" w:eastAsia="黑体" w:cs="Times New Roman"/>
          <w:sz w:val="24"/>
          <w:szCs w:val="24"/>
          <w:highlight w:val="none"/>
        </w:rPr>
        <w:t>的工程量</w:t>
      </w:r>
      <w:r>
        <w:rPr>
          <w:rFonts w:ascii="Times New Roman" w:hAnsi="Times New Roman" w:eastAsia="黑体" w:cs="Times New Roman"/>
          <w:sz w:val="24"/>
          <w:szCs w:val="24"/>
          <w:highlight w:val="none"/>
        </w:rPr>
        <w:t>清单</w:t>
      </w: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highlight w:val="none"/>
        </w:rPr>
      </w:pPr>
    </w:p>
    <w:p>
      <w:pPr>
        <w:rPr>
          <w:highlight w:val="none"/>
        </w:rPr>
      </w:pPr>
    </w:p>
    <w:p>
      <w:pPr>
        <w:rPr>
          <w:highlight w:val="none"/>
        </w:rPr>
      </w:pPr>
    </w:p>
    <w:p>
      <w:pPr>
        <w:numPr>
          <w:ilvl w:val="0"/>
          <w:numId w:val="0"/>
        </w:numPr>
        <w:spacing w:line="440" w:lineRule="exact"/>
        <w:jc w:val="center"/>
        <w:rPr>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报价函</w:t>
      </w:r>
    </w:p>
    <w:p>
      <w:pPr>
        <w:pStyle w:val="21"/>
        <w:rPr>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(项目名称)</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包段</w:t>
      </w:r>
      <w:r>
        <w:rPr>
          <w:rFonts w:ascii="Times New Roman" w:hAnsi="Times New Roman" w:cs="Times New Roman"/>
          <w:sz w:val="24"/>
          <w:highlight w:val="none"/>
        </w:rPr>
        <w:t>询比文件的全部内容(含补遗书第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号至第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号)，愿意以人民币(大写)</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(小写：¥</w:t>
      </w:r>
      <w:r>
        <w:rPr>
          <w:rFonts w:ascii="Times New Roman" w:hAnsi="Times New Roman" w:cs="Times New Roman"/>
          <w:sz w:val="24"/>
          <w:highlight w:val="none"/>
          <w:u w:val="single"/>
        </w:rPr>
        <w:t xml:space="preserve">       </w:t>
      </w:r>
      <w:r>
        <w:rPr>
          <w:rFonts w:ascii="Times New Roman" w:hAnsi="Times New Roman" w:cs="Times New Roman"/>
          <w:sz w:val="24"/>
          <w:highlight w:val="none"/>
        </w:rPr>
        <w:t>)的总报价</w:t>
      </w:r>
      <w:r>
        <w:rPr>
          <w:rFonts w:hint="eastAsia" w:ascii="Times New Roman" w:hAnsi="Times New Roman" w:cs="Times New Roman"/>
          <w:sz w:val="24"/>
          <w:highlight w:val="none"/>
          <w:lang w:val="en-US" w:eastAsia="zh-CN"/>
        </w:rPr>
        <w:t>提供招标文件要求的货物、技术服务和质保售后服务，并按合同约定履行义务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ascii="Times New Roman" w:hAnsi="Times New Roman" w:cs="Times New Roman"/>
          <w:sz w:val="24"/>
          <w:highlight w:val="none"/>
        </w:rPr>
        <w:t>．</w:t>
      </w:r>
      <w:r>
        <w:rPr>
          <w:rFonts w:hint="eastAsia" w:ascii="Times New Roman" w:hAnsi="Times New Roman" w:cs="Times New Roman"/>
          <w:sz w:val="24"/>
          <w:highlight w:val="none"/>
        </w:rPr>
        <w:t>我方已按招标文件要求详细审核并确认全部招标文件及有关附件，充分理解投标价格不得低于企业个别成本有关规定。我方经成本核算，所填报的投标报价不低于企业个别成本。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w:t>
      </w:r>
      <w:r>
        <w:rPr>
          <w:rFonts w:hint="eastAsia" w:ascii="Times New Roman" w:hAnsi="Times New Roman" w:cs="Times New Roman"/>
          <w:sz w:val="24"/>
          <w:highlight w:val="none"/>
        </w:rPr>
        <w:t>．除非另外达成协议并生效，你方的中标通知书和本投标文件以及招标文件、招标文件澄清、修改、补充文件将成为约束双方的合同文件的组成部分。</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6.其他补充说明：</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宋体" w:hAnsi="宋体" w:eastAsia="宋体" w:cs="宋体"/>
          <w:sz w:val="24"/>
          <w:highlight w:val="none"/>
        </w:rPr>
        <w:t>(盖单位章)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hint="eastAsia" w:ascii="Times New Roman" w:hAnsi="Times New Roman" w:cs="Times New Roman"/>
          <w:sz w:val="24"/>
          <w:highlight w:val="none"/>
        </w:rPr>
        <w:t>电子邮箱</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p>
    <w:p>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rPr>
          <w:rFonts w:ascii="Times New Roman" w:hAnsi="Times New Roman" w:cs="Times New Roman"/>
          <w:sz w:val="24"/>
          <w:highlight w:val="none"/>
        </w:rPr>
      </w:pPr>
      <w:r>
        <w:rPr>
          <w:rFonts w:ascii="Times New Roman" w:hAnsi="Times New Roman" w:cs="Times New Roman"/>
          <w:sz w:val="24"/>
          <w:highlight w:val="none"/>
        </w:rPr>
        <w:br w:type="page"/>
      </w:r>
    </w:p>
    <w:p>
      <w:pPr>
        <w:numPr>
          <w:ilvl w:val="0"/>
          <w:numId w:val="0"/>
        </w:numPr>
        <w:spacing w:line="440" w:lineRule="exact"/>
        <w:jc w:val="center"/>
        <w:rPr>
          <w:rFonts w:hint="eastAsia" w:ascii="Times New Roman" w:hAnsi="Times New Roman" w:eastAsia="黑体" w:cs="Times New Roman"/>
          <w:sz w:val="28"/>
          <w:szCs w:val="28"/>
          <w:highlight w:val="none"/>
          <w:lang w:val="en-US" w:eastAsia="zh-CN"/>
        </w:rPr>
      </w:pPr>
      <w:bookmarkStart w:id="153" w:name="_Toc272486050"/>
      <w:bookmarkStart w:id="154" w:name="_Toc162490440"/>
      <w:bookmarkStart w:id="155" w:name="_Toc153421230"/>
      <w:r>
        <w:rPr>
          <w:rFonts w:hint="eastAsia" w:ascii="Times New Roman" w:hAnsi="Times New Roman" w:eastAsia="黑体" w:cs="Times New Roman"/>
          <w:sz w:val="28"/>
          <w:szCs w:val="28"/>
          <w:highlight w:val="none"/>
          <w:lang w:val="en-US" w:eastAsia="zh-CN"/>
        </w:rPr>
        <w:t>二、</w:t>
      </w:r>
      <w:bookmarkEnd w:id="153"/>
      <w:bookmarkEnd w:id="154"/>
      <w:bookmarkEnd w:id="155"/>
      <w:r>
        <w:rPr>
          <w:rFonts w:hint="eastAsia" w:ascii="Times New Roman" w:hAnsi="Times New Roman" w:eastAsia="黑体" w:cs="Times New Roman"/>
          <w:sz w:val="28"/>
          <w:szCs w:val="28"/>
          <w:highlight w:val="none"/>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w:t>
      </w:r>
      <w:r>
        <w:rPr>
          <w:rStyle w:val="43"/>
          <w:rFonts w:hint="eastAsia" w:asciiTheme="minorEastAsia" w:hAnsiTheme="minorEastAsia" w:eastAsiaTheme="minorEastAsia" w:cstheme="minorEastAsia"/>
          <w:kern w:val="2"/>
          <w:highlight w:val="none"/>
          <w:lang w:val="en-US" w:eastAsia="zh-CN" w:bidi="ar"/>
        </w:rPr>
        <w:t>材料的成本、利润、税费</w:t>
      </w:r>
      <w:r>
        <w:rPr>
          <w:rStyle w:val="43"/>
          <w:rFonts w:hint="eastAsia" w:asciiTheme="minorEastAsia" w:hAnsiTheme="minorEastAsia" w:cstheme="minorEastAsia"/>
          <w:kern w:val="2"/>
          <w:highlight w:val="none"/>
          <w:lang w:val="en-US" w:eastAsia="zh-CN" w:bidi="ar"/>
        </w:rPr>
        <w:t>（13%增值税）</w:t>
      </w:r>
      <w:r>
        <w:rPr>
          <w:rStyle w:val="43"/>
          <w:rFonts w:hint="eastAsia" w:asciiTheme="minorEastAsia" w:hAnsiTheme="minorEastAsia" w:eastAsiaTheme="minorEastAsia" w:cstheme="minorEastAsia"/>
          <w:kern w:val="2"/>
          <w:highlight w:val="none"/>
          <w:lang w:val="en-US" w:eastAsia="zh-CN" w:bidi="ar"/>
        </w:rPr>
        <w:t>、运输费、损耗费、装卸</w:t>
      </w:r>
      <w:r>
        <w:rPr>
          <w:rStyle w:val="43"/>
          <w:rFonts w:hint="eastAsia" w:asciiTheme="minorEastAsia" w:hAnsiTheme="minorEastAsia" w:cstheme="minorEastAsia"/>
          <w:kern w:val="2"/>
          <w:highlight w:val="none"/>
          <w:lang w:val="en-US" w:eastAsia="zh-CN" w:bidi="ar"/>
        </w:rPr>
        <w:t>费</w:t>
      </w:r>
      <w:r>
        <w:rPr>
          <w:rStyle w:val="43"/>
          <w:rFonts w:hint="eastAsia" w:asciiTheme="minorEastAsia" w:hAnsiTheme="minorEastAsia" w:eastAsiaTheme="minorEastAsia" w:cstheme="minorEastAsia"/>
          <w:kern w:val="2"/>
          <w:highlight w:val="none"/>
          <w:lang w:val="en-US" w:eastAsia="zh-CN" w:bidi="ar"/>
        </w:rPr>
        <w:t>、检测费</w:t>
      </w:r>
      <w:r>
        <w:rPr>
          <w:rStyle w:val="43"/>
          <w:rFonts w:hint="eastAsia" w:asciiTheme="minorEastAsia" w:hAnsiTheme="minorEastAsia" w:cstheme="minorEastAsia"/>
          <w:kern w:val="2"/>
          <w:highlight w:val="none"/>
          <w:lang w:val="en-US" w:eastAsia="zh-CN" w:bidi="ar"/>
        </w:rPr>
        <w:t>（二次检测）</w:t>
      </w:r>
      <w:r>
        <w:rPr>
          <w:rStyle w:val="43"/>
          <w:rFonts w:hint="eastAsia" w:asciiTheme="minorEastAsia" w:hAnsiTheme="minorEastAsia" w:eastAsiaTheme="minorEastAsia" w:cstheme="minorEastAsia"/>
          <w:kern w:val="2"/>
          <w:highlight w:val="none"/>
          <w:lang w:val="en-US" w:eastAsia="zh-CN" w:bidi="ar"/>
        </w:rPr>
        <w:t>、技术服务、商业保险费、验收费</w:t>
      </w:r>
      <w:r>
        <w:rPr>
          <w:sz w:val="22"/>
          <w:szCs w:val="21"/>
          <w:highlight w:val="none"/>
        </w:rPr>
        <w:t>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20"/>
        <w:jc w:val="right"/>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4"/>
        <w:numPr>
          <w:ilvl w:val="0"/>
          <w:numId w:val="0"/>
        </w:numPr>
        <w:ind w:left="417" w:leftChars="0"/>
        <w:jc w:val="center"/>
        <w:rPr>
          <w:rFonts w:hint="eastAsia" w:ascii="宋体" w:hAnsi="宋体" w:eastAsia="宋体" w:cs="宋体"/>
          <w:bCs/>
          <w:kern w:val="2"/>
          <w:sz w:val="28"/>
          <w:szCs w:val="28"/>
          <w:highlight w:val="none"/>
          <w:lang w:eastAsia="zh-CN"/>
        </w:rPr>
      </w:pPr>
      <w:r>
        <w:rPr>
          <w:rFonts w:hint="eastAsia" w:ascii="宋体" w:hAnsi="宋体" w:cs="宋体"/>
          <w:b/>
          <w:bCs w:val="0"/>
          <w:sz w:val="28"/>
          <w:szCs w:val="24"/>
          <w:highlight w:val="none"/>
        </w:rPr>
        <w:t>B.</w:t>
      </w:r>
      <w:r>
        <w:rPr>
          <w:rFonts w:hint="eastAsia" w:ascii="宋体" w:hAnsi="宋体" w:cs="宋体"/>
          <w:b w:val="0"/>
          <w:bCs/>
          <w:sz w:val="28"/>
          <w:szCs w:val="24"/>
          <w:highlight w:val="none"/>
        </w:rPr>
        <w:t xml:space="preserve"> </w:t>
      </w:r>
      <w:r>
        <w:rPr>
          <w:rFonts w:hint="eastAsia" w:ascii="宋体" w:hAnsi="宋体" w:eastAsia="宋体" w:cs="宋体"/>
          <w:bCs/>
          <w:kern w:val="2"/>
          <w:sz w:val="28"/>
          <w:szCs w:val="28"/>
          <w:highlight w:val="none"/>
          <w:lang w:eastAsia="zh-CN"/>
        </w:rPr>
        <w:t>已标价工程量清单</w:t>
      </w:r>
    </w:p>
    <w:p>
      <w:pPr>
        <w:spacing w:line="360" w:lineRule="auto"/>
        <w:ind w:firstLine="480" w:firstLineChars="200"/>
        <w:rPr>
          <w:rFonts w:hint="eastAsia" w:ascii="宋体" w:hAnsi="宋体" w:cs="宋体" w:eastAsiaTheme="minorEastAsia"/>
          <w:bCs/>
          <w:sz w:val="24"/>
          <w:szCs w:val="24"/>
          <w:highlight w:val="none"/>
          <w:lang w:val="en-US" w:eastAsia="zh-CN"/>
        </w:rPr>
      </w:pPr>
      <w:r>
        <w:rPr>
          <w:rFonts w:hint="eastAsia" w:ascii="宋体" w:hAnsi="宋体" w:cs="宋体"/>
          <w:bCs/>
          <w:sz w:val="24"/>
          <w:szCs w:val="24"/>
          <w:highlight w:val="none"/>
        </w:rPr>
        <w:t>投标人按照招标人提供的“工程量清单”的要求逐项填报工程量清单，包括但不限于工程量清单说明、投标报价说明及工程量清单各项表格</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投标人须按自身所投包次填写报价清单</w:t>
      </w:r>
      <w:r>
        <w:rPr>
          <w:rFonts w:hint="eastAsia" w:ascii="宋体" w:hAnsi="宋体" w:cs="宋体"/>
          <w:bCs/>
          <w:sz w:val="24"/>
          <w:szCs w:val="24"/>
          <w:highlight w:val="none"/>
          <w:lang w:eastAsia="zh-CN"/>
        </w:rPr>
        <w:t>。</w:t>
      </w:r>
    </w:p>
    <w:p>
      <w:r>
        <w:rPr>
          <w:rFonts w:hint="eastAsia" w:ascii="Times New Roman" w:eastAsia="宋体"/>
          <w:b/>
          <w:bCs/>
          <w:sz w:val="24"/>
          <w:szCs w:val="24"/>
          <w:lang w:val="en-US" w:eastAsia="zh-CN"/>
        </w:rPr>
        <w:t>（后附所投包段清单文件，详见第五章对应包段清单）</w:t>
      </w: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04A9CAD-8C46-4C45-8B57-A6A30E163442}"/>
  </w:font>
  <w:font w:name="Arial">
    <w:panose1 w:val="020B0604020202020204"/>
    <w:charset w:val="01"/>
    <w:family w:val="swiss"/>
    <w:pitch w:val="default"/>
    <w:sig w:usb0="E0002EFF" w:usb1="C000785B" w:usb2="00000009" w:usb3="00000000" w:csb0="400001FF" w:csb1="FFFF0000"/>
    <w:embedRegular r:id="rId2" w:fontKey="{D09CD0DA-0AAB-435E-B479-88DBAE08875A}"/>
  </w:font>
  <w:font w:name="黑体">
    <w:panose1 w:val="02010609060101010101"/>
    <w:charset w:val="86"/>
    <w:family w:val="auto"/>
    <w:pitch w:val="default"/>
    <w:sig w:usb0="800002BF" w:usb1="38CF7CFA" w:usb2="00000016" w:usb3="00000000" w:csb0="00040001" w:csb1="00000000"/>
    <w:embedRegular r:id="rId3" w:fontKey="{1A2A3125-1295-470F-9E84-E4D27951A1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9C88CB3E-72D0-4BB6-B306-BD97ADD9455C}"/>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5" w:fontKey="{C9EBD4C7-445F-440A-87E0-3050E99AF7F8}"/>
  </w:font>
  <w:font w:name="仿宋_GB2312">
    <w:panose1 w:val="02010609030101010101"/>
    <w:charset w:val="86"/>
    <w:family w:val="modern"/>
    <w:pitch w:val="default"/>
    <w:sig w:usb0="00000001" w:usb1="080E0000" w:usb2="00000000" w:usb3="00000000" w:csb0="00040000" w:csb1="00000000"/>
    <w:embedRegular r:id="rId6" w:fontKey="{097AA86E-B3B6-4F0B-8DEC-BF6B389585CA}"/>
  </w:font>
  <w:font w:name="仿宋">
    <w:panose1 w:val="02010609060101010101"/>
    <w:charset w:val="86"/>
    <w:family w:val="modern"/>
    <w:pitch w:val="default"/>
    <w:sig w:usb0="800002BF" w:usb1="38CF7CFA" w:usb2="00000016" w:usb3="00000000" w:csb0="00040001" w:csb1="00000000"/>
    <w:embedRegular r:id="rId7" w:fontKey="{3080D7FB-E31A-4B9B-A544-440ED3454164}"/>
  </w:font>
  <w:font w:name="Wingdings 2">
    <w:panose1 w:val="05020102010507070707"/>
    <w:charset w:val="02"/>
    <w:family w:val="roman"/>
    <w:pitch w:val="default"/>
    <w:sig w:usb0="00000000" w:usb1="00000000" w:usb2="00000000" w:usb3="00000000" w:csb0="80000000" w:csb1="00000000"/>
    <w:embedRegular r:id="rId8" w:fontKey="{41684F65-E44B-4548-BE93-7E78935E647C}"/>
  </w:font>
  <w:font w:name="华文楷体">
    <w:panose1 w:val="02010600040101010101"/>
    <w:charset w:val="86"/>
    <w:family w:val="auto"/>
    <w:pitch w:val="default"/>
    <w:sig w:usb0="00000287" w:usb1="080F0000" w:usb2="00000000" w:usb3="00000000" w:csb0="0004009F" w:csb1="DFD70000"/>
    <w:embedRegular r:id="rId9" w:fontKey="{1A75A172-A423-43F2-9F02-2C25674DCF1E}"/>
  </w:font>
  <w:font w:name="方正小标宋简体">
    <w:panose1 w:val="03000509000000000000"/>
    <w:charset w:val="86"/>
    <w:family w:val="auto"/>
    <w:pitch w:val="default"/>
    <w:sig w:usb0="00000001" w:usb1="080E0000" w:usb2="00000000" w:usb3="00000000" w:csb0="00040000" w:csb1="00000000"/>
    <w:embedRegular r:id="rId10" w:fontKey="{264AD1C9-BB68-4A9F-AAA7-4727C624FD27}"/>
  </w:font>
  <w:font w:name="楷体">
    <w:panose1 w:val="02010609060101010101"/>
    <w:charset w:val="86"/>
    <w:family w:val="auto"/>
    <w:pitch w:val="default"/>
    <w:sig w:usb0="800002BF" w:usb1="38CF7CFA" w:usb2="00000016" w:usb3="00000000" w:csb0="00040001" w:csb1="00000000"/>
    <w:embedRegular r:id="rId11" w:fontKey="{A5813B34-EE02-4C15-8F66-54909F566F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安徽交控建设工程集团有限公司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8"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安徽交控建设工程集团有限公司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8EE9B"/>
    <w:multiLevelType w:val="singleLevel"/>
    <w:tmpl w:val="95A8EE9B"/>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AF0C7C81"/>
    <w:multiLevelType w:val="singleLevel"/>
    <w:tmpl w:val="AF0C7C81"/>
    <w:lvl w:ilvl="0" w:tentative="0">
      <w:start w:val="1"/>
      <w:numFmt w:val="decimal"/>
      <w:suff w:val="nothing"/>
      <w:lvlText w:val="（%1）"/>
      <w:lvlJc w:val="left"/>
    </w:lvl>
  </w:abstractNum>
  <w:abstractNum w:abstractNumId="3">
    <w:nsid w:val="CF8F6265"/>
    <w:multiLevelType w:val="singleLevel"/>
    <w:tmpl w:val="CF8F6265"/>
    <w:lvl w:ilvl="0" w:tentative="0">
      <w:start w:val="1"/>
      <w:numFmt w:val="decimal"/>
      <w:suff w:val="nothing"/>
      <w:lvlText w:val="%1、"/>
      <w:lvlJc w:val="left"/>
    </w:lvl>
  </w:abstractNum>
  <w:abstractNum w:abstractNumId="4">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5">
    <w:nsid w:val="61C7D68E"/>
    <w:multiLevelType w:val="singleLevel"/>
    <w:tmpl w:val="61C7D68E"/>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DFlYjFmMjQ0NTA5NzRlMjAxMjJjOTAwY2Y1YzkifQ=="/>
  </w:docVars>
  <w:rsids>
    <w:rsidRoot w:val="6F4D02A4"/>
    <w:rsid w:val="0022317B"/>
    <w:rsid w:val="00302DB5"/>
    <w:rsid w:val="00302F3A"/>
    <w:rsid w:val="005607D6"/>
    <w:rsid w:val="00653222"/>
    <w:rsid w:val="00691F7C"/>
    <w:rsid w:val="00724BD4"/>
    <w:rsid w:val="007C6E94"/>
    <w:rsid w:val="00BB673D"/>
    <w:rsid w:val="00E8570D"/>
    <w:rsid w:val="014A4AD7"/>
    <w:rsid w:val="01662343"/>
    <w:rsid w:val="023E3C6A"/>
    <w:rsid w:val="028D5673"/>
    <w:rsid w:val="02D346A3"/>
    <w:rsid w:val="033A1DE9"/>
    <w:rsid w:val="038720C2"/>
    <w:rsid w:val="038863C7"/>
    <w:rsid w:val="03A9557F"/>
    <w:rsid w:val="04701D1E"/>
    <w:rsid w:val="04D921EE"/>
    <w:rsid w:val="04E034BC"/>
    <w:rsid w:val="05F94BA8"/>
    <w:rsid w:val="06341F34"/>
    <w:rsid w:val="068727A0"/>
    <w:rsid w:val="07063EDC"/>
    <w:rsid w:val="073A5458"/>
    <w:rsid w:val="07584505"/>
    <w:rsid w:val="076958CF"/>
    <w:rsid w:val="09210464"/>
    <w:rsid w:val="09D50CE7"/>
    <w:rsid w:val="09DD1D74"/>
    <w:rsid w:val="0A2E7496"/>
    <w:rsid w:val="0A466107"/>
    <w:rsid w:val="0A7005A2"/>
    <w:rsid w:val="0A941F2B"/>
    <w:rsid w:val="0BDD422F"/>
    <w:rsid w:val="0CB04615"/>
    <w:rsid w:val="0D190BED"/>
    <w:rsid w:val="0DBD0BDC"/>
    <w:rsid w:val="0DDA6EBC"/>
    <w:rsid w:val="0DE02F17"/>
    <w:rsid w:val="0EBA46A3"/>
    <w:rsid w:val="0EBB2DAD"/>
    <w:rsid w:val="0F6F4854"/>
    <w:rsid w:val="0F9F0794"/>
    <w:rsid w:val="0FBE1FCA"/>
    <w:rsid w:val="103E486A"/>
    <w:rsid w:val="106D5B52"/>
    <w:rsid w:val="1090350E"/>
    <w:rsid w:val="10944070"/>
    <w:rsid w:val="10A6372F"/>
    <w:rsid w:val="10DA535D"/>
    <w:rsid w:val="110D2AFF"/>
    <w:rsid w:val="11DF30C9"/>
    <w:rsid w:val="12422526"/>
    <w:rsid w:val="129325F3"/>
    <w:rsid w:val="12CA1FCB"/>
    <w:rsid w:val="12FA3B2F"/>
    <w:rsid w:val="13E11194"/>
    <w:rsid w:val="140548F4"/>
    <w:rsid w:val="14464682"/>
    <w:rsid w:val="144A391D"/>
    <w:rsid w:val="15133F2C"/>
    <w:rsid w:val="15F96865"/>
    <w:rsid w:val="1611702A"/>
    <w:rsid w:val="163D1F3A"/>
    <w:rsid w:val="17716EB9"/>
    <w:rsid w:val="17936E30"/>
    <w:rsid w:val="17FC3132"/>
    <w:rsid w:val="188C4113"/>
    <w:rsid w:val="19061192"/>
    <w:rsid w:val="191A46EE"/>
    <w:rsid w:val="194F7DBB"/>
    <w:rsid w:val="19647370"/>
    <w:rsid w:val="19DE1C05"/>
    <w:rsid w:val="1A3C6E09"/>
    <w:rsid w:val="1A657CD8"/>
    <w:rsid w:val="1AA97D25"/>
    <w:rsid w:val="1B313D78"/>
    <w:rsid w:val="1B87260E"/>
    <w:rsid w:val="1B9E6CFF"/>
    <w:rsid w:val="1BD45299"/>
    <w:rsid w:val="1BDC7061"/>
    <w:rsid w:val="1C0C5403"/>
    <w:rsid w:val="1C511068"/>
    <w:rsid w:val="1C7A46C5"/>
    <w:rsid w:val="1CD07137"/>
    <w:rsid w:val="1CF12CD2"/>
    <w:rsid w:val="1D3772E3"/>
    <w:rsid w:val="1D3F5364"/>
    <w:rsid w:val="1D9664E5"/>
    <w:rsid w:val="1D9C6C71"/>
    <w:rsid w:val="1DD02C25"/>
    <w:rsid w:val="1E7E7378"/>
    <w:rsid w:val="1EC93137"/>
    <w:rsid w:val="1F026649"/>
    <w:rsid w:val="1F93095F"/>
    <w:rsid w:val="1FB449F5"/>
    <w:rsid w:val="1FC01B05"/>
    <w:rsid w:val="1FCE5A3B"/>
    <w:rsid w:val="20220D88"/>
    <w:rsid w:val="202D724A"/>
    <w:rsid w:val="20C3052D"/>
    <w:rsid w:val="20CE712B"/>
    <w:rsid w:val="20E701EC"/>
    <w:rsid w:val="2211172D"/>
    <w:rsid w:val="22806203"/>
    <w:rsid w:val="22A243CB"/>
    <w:rsid w:val="23552482"/>
    <w:rsid w:val="23610B8C"/>
    <w:rsid w:val="236E713A"/>
    <w:rsid w:val="241D716E"/>
    <w:rsid w:val="244A6AC8"/>
    <w:rsid w:val="248751A0"/>
    <w:rsid w:val="24A7216D"/>
    <w:rsid w:val="24B95CA2"/>
    <w:rsid w:val="2613091A"/>
    <w:rsid w:val="265909F3"/>
    <w:rsid w:val="27621A0B"/>
    <w:rsid w:val="279E7B84"/>
    <w:rsid w:val="27B103DE"/>
    <w:rsid w:val="27DE38B4"/>
    <w:rsid w:val="282F2445"/>
    <w:rsid w:val="285445B2"/>
    <w:rsid w:val="28D24D9C"/>
    <w:rsid w:val="28FE7045"/>
    <w:rsid w:val="2941798C"/>
    <w:rsid w:val="294C5129"/>
    <w:rsid w:val="295C70D0"/>
    <w:rsid w:val="29661399"/>
    <w:rsid w:val="29AA0009"/>
    <w:rsid w:val="2A085E7C"/>
    <w:rsid w:val="2A2800E1"/>
    <w:rsid w:val="2A8F70B0"/>
    <w:rsid w:val="2ABD4D9D"/>
    <w:rsid w:val="2AE43776"/>
    <w:rsid w:val="2B1D5459"/>
    <w:rsid w:val="2B274C40"/>
    <w:rsid w:val="2CC548F1"/>
    <w:rsid w:val="2CE63732"/>
    <w:rsid w:val="2D141CF6"/>
    <w:rsid w:val="2D984126"/>
    <w:rsid w:val="2E0A4375"/>
    <w:rsid w:val="2E2A3B5A"/>
    <w:rsid w:val="2E572B9D"/>
    <w:rsid w:val="2E6740D2"/>
    <w:rsid w:val="2ED8288A"/>
    <w:rsid w:val="300246FB"/>
    <w:rsid w:val="30793AE8"/>
    <w:rsid w:val="319B3695"/>
    <w:rsid w:val="322D5429"/>
    <w:rsid w:val="32332253"/>
    <w:rsid w:val="324271A8"/>
    <w:rsid w:val="333F226C"/>
    <w:rsid w:val="33A12A69"/>
    <w:rsid w:val="33C26030"/>
    <w:rsid w:val="35201A23"/>
    <w:rsid w:val="35843E04"/>
    <w:rsid w:val="361938E0"/>
    <w:rsid w:val="36C144C3"/>
    <w:rsid w:val="38894DE3"/>
    <w:rsid w:val="388C7CC2"/>
    <w:rsid w:val="38B92676"/>
    <w:rsid w:val="39D25EB8"/>
    <w:rsid w:val="39F257E0"/>
    <w:rsid w:val="3AAD339E"/>
    <w:rsid w:val="3B096510"/>
    <w:rsid w:val="3B3D5401"/>
    <w:rsid w:val="3B414529"/>
    <w:rsid w:val="3B47240E"/>
    <w:rsid w:val="3B7C2F21"/>
    <w:rsid w:val="3B8A41D3"/>
    <w:rsid w:val="3BC00DC4"/>
    <w:rsid w:val="3C004FC4"/>
    <w:rsid w:val="3C651D50"/>
    <w:rsid w:val="3CF7310E"/>
    <w:rsid w:val="3D075683"/>
    <w:rsid w:val="3DF36DEA"/>
    <w:rsid w:val="3E103B9E"/>
    <w:rsid w:val="3E2829E9"/>
    <w:rsid w:val="3E5113D8"/>
    <w:rsid w:val="3FA532F5"/>
    <w:rsid w:val="3FB452E6"/>
    <w:rsid w:val="3FF744E4"/>
    <w:rsid w:val="403D54CD"/>
    <w:rsid w:val="408028ED"/>
    <w:rsid w:val="41212AAF"/>
    <w:rsid w:val="4178455B"/>
    <w:rsid w:val="41B873F1"/>
    <w:rsid w:val="41BB6E00"/>
    <w:rsid w:val="41CE6B33"/>
    <w:rsid w:val="41CF3C5E"/>
    <w:rsid w:val="41FB71FC"/>
    <w:rsid w:val="4269619D"/>
    <w:rsid w:val="426A68F1"/>
    <w:rsid w:val="426B29F2"/>
    <w:rsid w:val="42ED38B0"/>
    <w:rsid w:val="44623B29"/>
    <w:rsid w:val="44CB7E92"/>
    <w:rsid w:val="44D53D34"/>
    <w:rsid w:val="44F47A82"/>
    <w:rsid w:val="45941E41"/>
    <w:rsid w:val="45E82159"/>
    <w:rsid w:val="460C19D8"/>
    <w:rsid w:val="46767799"/>
    <w:rsid w:val="46BB0004"/>
    <w:rsid w:val="475036EC"/>
    <w:rsid w:val="476304E5"/>
    <w:rsid w:val="47FC7A2A"/>
    <w:rsid w:val="48407E8B"/>
    <w:rsid w:val="48594C7C"/>
    <w:rsid w:val="48941C0A"/>
    <w:rsid w:val="48F03833"/>
    <w:rsid w:val="4A304D72"/>
    <w:rsid w:val="4A3412FF"/>
    <w:rsid w:val="4AD72CCC"/>
    <w:rsid w:val="4ADA08DD"/>
    <w:rsid w:val="4B302190"/>
    <w:rsid w:val="4B566978"/>
    <w:rsid w:val="4B646BB7"/>
    <w:rsid w:val="4BD8030B"/>
    <w:rsid w:val="4C0D05F0"/>
    <w:rsid w:val="4C312198"/>
    <w:rsid w:val="4C6063F0"/>
    <w:rsid w:val="4D0D73CA"/>
    <w:rsid w:val="4D237C5B"/>
    <w:rsid w:val="4D396704"/>
    <w:rsid w:val="4DAE1114"/>
    <w:rsid w:val="4DB33731"/>
    <w:rsid w:val="4DB34E9F"/>
    <w:rsid w:val="4EA87052"/>
    <w:rsid w:val="4EA873F9"/>
    <w:rsid w:val="4F0478A8"/>
    <w:rsid w:val="4F570614"/>
    <w:rsid w:val="5051384E"/>
    <w:rsid w:val="50932863"/>
    <w:rsid w:val="50C64757"/>
    <w:rsid w:val="50D65570"/>
    <w:rsid w:val="51801680"/>
    <w:rsid w:val="528B597C"/>
    <w:rsid w:val="53434540"/>
    <w:rsid w:val="55945546"/>
    <w:rsid w:val="55CE5FAF"/>
    <w:rsid w:val="568D4A8B"/>
    <w:rsid w:val="5787376C"/>
    <w:rsid w:val="57AC6A99"/>
    <w:rsid w:val="58340631"/>
    <w:rsid w:val="588621CE"/>
    <w:rsid w:val="58AC03AC"/>
    <w:rsid w:val="58B3037A"/>
    <w:rsid w:val="598F3C15"/>
    <w:rsid w:val="5A1256BA"/>
    <w:rsid w:val="5A3A0D9E"/>
    <w:rsid w:val="5AB51CCA"/>
    <w:rsid w:val="5AB57322"/>
    <w:rsid w:val="5BC0596D"/>
    <w:rsid w:val="5BE5635E"/>
    <w:rsid w:val="5BF03F10"/>
    <w:rsid w:val="5C03587B"/>
    <w:rsid w:val="5C4805D9"/>
    <w:rsid w:val="5C924AC5"/>
    <w:rsid w:val="5DA53F1B"/>
    <w:rsid w:val="5DA763B0"/>
    <w:rsid w:val="5DC63FF9"/>
    <w:rsid w:val="5FC627A0"/>
    <w:rsid w:val="5FD076A0"/>
    <w:rsid w:val="6028345A"/>
    <w:rsid w:val="60CC0666"/>
    <w:rsid w:val="6157313D"/>
    <w:rsid w:val="61DA4AD9"/>
    <w:rsid w:val="629D4803"/>
    <w:rsid w:val="62AE498D"/>
    <w:rsid w:val="63167544"/>
    <w:rsid w:val="63B44CB8"/>
    <w:rsid w:val="63B47756"/>
    <w:rsid w:val="63D57455"/>
    <w:rsid w:val="63F04ADA"/>
    <w:rsid w:val="63FF44D2"/>
    <w:rsid w:val="644B5969"/>
    <w:rsid w:val="64A55079"/>
    <w:rsid w:val="64AB0CD1"/>
    <w:rsid w:val="64D84E1A"/>
    <w:rsid w:val="65675ED4"/>
    <w:rsid w:val="66847731"/>
    <w:rsid w:val="676E5CC7"/>
    <w:rsid w:val="67E14BAB"/>
    <w:rsid w:val="67EE0AE5"/>
    <w:rsid w:val="67F71E56"/>
    <w:rsid w:val="684C44B3"/>
    <w:rsid w:val="68880F3A"/>
    <w:rsid w:val="68B57E21"/>
    <w:rsid w:val="690F1726"/>
    <w:rsid w:val="69965CAB"/>
    <w:rsid w:val="6A2D5CB0"/>
    <w:rsid w:val="6A903B76"/>
    <w:rsid w:val="6AF83B5E"/>
    <w:rsid w:val="6B651B9E"/>
    <w:rsid w:val="6B833A0E"/>
    <w:rsid w:val="6BB90159"/>
    <w:rsid w:val="6C031C78"/>
    <w:rsid w:val="6C111246"/>
    <w:rsid w:val="6C124248"/>
    <w:rsid w:val="6C3033B9"/>
    <w:rsid w:val="6C5B268C"/>
    <w:rsid w:val="6C6B059F"/>
    <w:rsid w:val="6CA00B62"/>
    <w:rsid w:val="6CFE27E3"/>
    <w:rsid w:val="6D274D94"/>
    <w:rsid w:val="6D955447"/>
    <w:rsid w:val="6DD01AB0"/>
    <w:rsid w:val="6DEB139F"/>
    <w:rsid w:val="6E145623"/>
    <w:rsid w:val="6E367DF8"/>
    <w:rsid w:val="6E596222"/>
    <w:rsid w:val="6E8B3FD1"/>
    <w:rsid w:val="6E9D5013"/>
    <w:rsid w:val="6EE437CE"/>
    <w:rsid w:val="6F4D02A4"/>
    <w:rsid w:val="6FDB7D0C"/>
    <w:rsid w:val="706B3710"/>
    <w:rsid w:val="70784F6A"/>
    <w:rsid w:val="708C3E73"/>
    <w:rsid w:val="70B2470E"/>
    <w:rsid w:val="71943263"/>
    <w:rsid w:val="71B80224"/>
    <w:rsid w:val="720B21A0"/>
    <w:rsid w:val="725D01F5"/>
    <w:rsid w:val="72775B5D"/>
    <w:rsid w:val="72952D73"/>
    <w:rsid w:val="72E163D5"/>
    <w:rsid w:val="730651BF"/>
    <w:rsid w:val="73DB0AB8"/>
    <w:rsid w:val="751540E3"/>
    <w:rsid w:val="757762DF"/>
    <w:rsid w:val="75801A75"/>
    <w:rsid w:val="75ED362A"/>
    <w:rsid w:val="76085468"/>
    <w:rsid w:val="761838D9"/>
    <w:rsid w:val="76256D4F"/>
    <w:rsid w:val="764861AD"/>
    <w:rsid w:val="76C43A85"/>
    <w:rsid w:val="77154C42"/>
    <w:rsid w:val="772B58B2"/>
    <w:rsid w:val="77822AD2"/>
    <w:rsid w:val="779C364E"/>
    <w:rsid w:val="7846297D"/>
    <w:rsid w:val="788D434B"/>
    <w:rsid w:val="79232FCD"/>
    <w:rsid w:val="79487052"/>
    <w:rsid w:val="79D41C26"/>
    <w:rsid w:val="79E06FD9"/>
    <w:rsid w:val="7A0E325C"/>
    <w:rsid w:val="7A202CBC"/>
    <w:rsid w:val="7A2B3BCE"/>
    <w:rsid w:val="7A666C01"/>
    <w:rsid w:val="7A895E56"/>
    <w:rsid w:val="7AC3206E"/>
    <w:rsid w:val="7AFF6ACD"/>
    <w:rsid w:val="7B152AB2"/>
    <w:rsid w:val="7B436E21"/>
    <w:rsid w:val="7B471652"/>
    <w:rsid w:val="7B4C1733"/>
    <w:rsid w:val="7C1D7794"/>
    <w:rsid w:val="7CAA6238"/>
    <w:rsid w:val="7D751DAE"/>
    <w:rsid w:val="7DA02855"/>
    <w:rsid w:val="7DC73E5B"/>
    <w:rsid w:val="7DC73F51"/>
    <w:rsid w:val="7DFC3B04"/>
    <w:rsid w:val="7E134C71"/>
    <w:rsid w:val="7EFF5E79"/>
    <w:rsid w:val="7F210F90"/>
    <w:rsid w:val="7F2760C3"/>
    <w:rsid w:val="7F6D6584"/>
    <w:rsid w:val="7FC9482A"/>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List 3"/>
    <w:autoRedefine/>
    <w:qFormat/>
    <w:uiPriority w:val="0"/>
    <w:pPr>
      <w:widowControl w:val="0"/>
      <w:spacing w:line="240" w:lineRule="auto"/>
      <w:ind w:firstLine="0" w:firstLineChars="0"/>
      <w:jc w:val="both"/>
    </w:pPr>
    <w:rPr>
      <w:rFonts w:asciiTheme="minorHAnsi" w:hAnsiTheme="minorHAnsi" w:eastAsiaTheme="minorEastAsia" w:cstheme="minorBidi"/>
      <w:kern w:val="2"/>
      <w:sz w:val="21"/>
      <w:szCs w:val="20"/>
      <w:lang w:val="en-US" w:eastAsia="zh-CN" w:bidi="ar-SA"/>
    </w:rPr>
  </w:style>
  <w:style w:type="paragraph" w:styleId="7">
    <w:name w:val="annotation text"/>
    <w:basedOn w:val="1"/>
    <w:autoRedefine/>
    <w:qFormat/>
    <w:uiPriority w:val="0"/>
    <w:pPr>
      <w:jc w:val="left"/>
    </w:pPr>
    <w:rPr>
      <w:rFonts w:eastAsia="Calibri"/>
      <w:kern w:val="0"/>
      <w:sz w:val="22"/>
      <w:lang w:eastAsia="en-US"/>
    </w:rPr>
  </w:style>
  <w:style w:type="paragraph" w:styleId="8">
    <w:name w:val="Body Text"/>
    <w:basedOn w:val="1"/>
    <w:next w:val="9"/>
    <w:autoRedefine/>
    <w:qFormat/>
    <w:uiPriority w:val="0"/>
    <w:pPr>
      <w:spacing w:after="120"/>
    </w:pPr>
  </w:style>
  <w:style w:type="paragraph" w:styleId="9">
    <w:name w:val="header"/>
    <w:basedOn w:val="1"/>
    <w:next w:val="1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5"/>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link w:val="36"/>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toc 1"/>
    <w:basedOn w:val="1"/>
    <w:next w:val="1"/>
    <w:autoRedefine/>
    <w:qFormat/>
    <w:uiPriority w:val="0"/>
  </w:style>
  <w:style w:type="paragraph" w:styleId="16">
    <w:name w:val="List"/>
    <w:basedOn w:val="1"/>
    <w:next w:val="1"/>
    <w:autoRedefine/>
    <w:unhideWhenUsed/>
    <w:qFormat/>
    <w:uiPriority w:val="0"/>
    <w:pPr>
      <w:suppressAutoHyphens/>
    </w:pPr>
    <w:rPr>
      <w:rFonts w:hint="eastAsia"/>
      <w:kern w:val="1"/>
      <w:szCs w:val="21"/>
      <w:lang w:eastAsia="ar-SA"/>
    </w:rPr>
  </w:style>
  <w:style w:type="paragraph" w:styleId="17">
    <w:name w:val="footnote text"/>
    <w:basedOn w:val="1"/>
    <w:autoRedefine/>
    <w:unhideWhenUsed/>
    <w:qFormat/>
    <w:uiPriority w:val="0"/>
    <w:pPr>
      <w:snapToGrid w:val="0"/>
      <w:jc w:val="left"/>
    </w:pPr>
    <w:rPr>
      <w:sz w:val="18"/>
      <w:szCs w:val="18"/>
    </w:r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9">
    <w:name w:val="Title"/>
    <w:basedOn w:val="1"/>
    <w:next w:val="1"/>
    <w:autoRedefine/>
    <w:qFormat/>
    <w:uiPriority w:val="0"/>
    <w:pPr>
      <w:tabs>
        <w:tab w:val="left" w:pos="450"/>
      </w:tabs>
      <w:ind w:left="450" w:hanging="450"/>
      <w:jc w:val="center"/>
    </w:pPr>
    <w:rPr>
      <w:rFonts w:ascii="黑体" w:eastAsia="黑体"/>
      <w:sz w:val="32"/>
      <w:szCs w:val="20"/>
    </w:rPr>
  </w:style>
  <w:style w:type="paragraph" w:styleId="20">
    <w:name w:val="Body Text First Indent"/>
    <w:basedOn w:val="8"/>
    <w:autoRedefine/>
    <w:qFormat/>
    <w:uiPriority w:val="99"/>
    <w:pPr>
      <w:ind w:firstLine="420" w:firstLineChars="100"/>
    </w:pPr>
  </w:style>
  <w:style w:type="paragraph" w:styleId="21">
    <w:name w:val="Body Text First Indent 2"/>
    <w:basedOn w:val="11"/>
    <w:next w:val="1"/>
    <w:autoRedefine/>
    <w:qFormat/>
    <w:uiPriority w:val="0"/>
    <w:pPr>
      <w:ind w:firstLine="420" w:firstLineChars="200"/>
    </w:pPr>
    <w:rPr>
      <w:rFonts w:ascii="Calibri" w:hAnsi="Calibri"/>
      <w:szCs w:val="2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7">
    <w:name w:val="footnote reference"/>
    <w:autoRedefine/>
    <w:unhideWhenUsed/>
    <w:qFormat/>
    <w:uiPriority w:val="0"/>
    <w:rPr>
      <w:vertAlign w:val="superscript"/>
    </w:rPr>
  </w:style>
  <w:style w:type="paragraph" w:customStyle="1" w:styleId="28">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9">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0">
    <w:name w:val="WPSOffice手动目录 1"/>
    <w:autoRedefine/>
    <w:qFormat/>
    <w:uiPriority w:val="0"/>
    <w:rPr>
      <w:rFonts w:asciiTheme="minorHAnsi" w:hAnsiTheme="minorHAnsi" w:eastAsiaTheme="minorEastAsia" w:cstheme="minorBidi"/>
      <w:lang w:val="en-US" w:eastAsia="zh-CN" w:bidi="ar-SA"/>
    </w:rPr>
  </w:style>
  <w:style w:type="character" w:customStyle="1" w:styleId="31">
    <w:name w:val="font61"/>
    <w:basedOn w:val="24"/>
    <w:autoRedefine/>
    <w:qFormat/>
    <w:uiPriority w:val="0"/>
    <w:rPr>
      <w:rFonts w:hint="eastAsia" w:ascii="宋体" w:hAnsi="宋体" w:eastAsia="宋体" w:cs="宋体"/>
      <w:color w:val="000000"/>
      <w:sz w:val="20"/>
      <w:szCs w:val="20"/>
      <w:u w:val="none"/>
    </w:rPr>
  </w:style>
  <w:style w:type="character" w:customStyle="1" w:styleId="32">
    <w:name w:val="font141"/>
    <w:basedOn w:val="24"/>
    <w:autoRedefine/>
    <w:qFormat/>
    <w:uiPriority w:val="0"/>
    <w:rPr>
      <w:rFonts w:hint="eastAsia" w:ascii="宋体" w:hAnsi="宋体" w:eastAsia="宋体" w:cs="宋体"/>
      <w:color w:val="000000"/>
      <w:sz w:val="24"/>
      <w:szCs w:val="24"/>
      <w:u w:val="none"/>
      <w:vertAlign w:val="superscript"/>
    </w:rPr>
  </w:style>
  <w:style w:type="paragraph" w:customStyle="1" w:styleId="33">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4">
    <w:name w:val="List Paragraph"/>
    <w:basedOn w:val="1"/>
    <w:autoRedefine/>
    <w:qFormat/>
    <w:uiPriority w:val="1"/>
    <w:pPr>
      <w:ind w:left="235" w:hanging="527"/>
    </w:pPr>
    <w:rPr>
      <w:rFonts w:ascii="宋体" w:hAnsi="宋体" w:eastAsia="宋体" w:cs="宋体"/>
      <w:lang w:val="zh-CN" w:eastAsia="zh-CN" w:bidi="zh-CN"/>
    </w:rPr>
  </w:style>
  <w:style w:type="character" w:customStyle="1" w:styleId="35">
    <w:name w:val="正文文本缩进 Char"/>
    <w:link w:val="11"/>
    <w:autoRedefine/>
    <w:qFormat/>
    <w:uiPriority w:val="0"/>
  </w:style>
  <w:style w:type="character" w:customStyle="1" w:styleId="36">
    <w:name w:val="纯文本 Char"/>
    <w:link w:val="13"/>
    <w:autoRedefine/>
    <w:qFormat/>
    <w:uiPriority w:val="0"/>
    <w:rPr>
      <w:rFonts w:ascii="宋体" w:hAnsi="Courier New"/>
      <w:szCs w:val="20"/>
    </w:rPr>
  </w:style>
  <w:style w:type="paragraph" w:customStyle="1" w:styleId="37">
    <w:name w:val="Table Paragraph"/>
    <w:basedOn w:val="1"/>
    <w:autoRedefine/>
    <w:qFormat/>
    <w:uiPriority w:val="1"/>
    <w:rPr>
      <w:rFonts w:ascii="宋体" w:hAnsi="宋体" w:eastAsia="宋体" w:cs="宋体"/>
    </w:rPr>
  </w:style>
  <w:style w:type="table" w:customStyle="1" w:styleId="38">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39">
    <w:name w:val="font11"/>
    <w:basedOn w:val="24"/>
    <w:autoRedefine/>
    <w:qFormat/>
    <w:uiPriority w:val="0"/>
    <w:rPr>
      <w:rFonts w:hint="eastAsia" w:ascii="仿宋_GB2312" w:eastAsia="仿宋_GB2312" w:cs="仿宋_GB2312"/>
      <w:color w:val="000000"/>
      <w:sz w:val="24"/>
      <w:szCs w:val="24"/>
      <w:u w:val="none"/>
    </w:rPr>
  </w:style>
  <w:style w:type="paragraph" w:customStyle="1" w:styleId="40">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1">
    <w:name w:val="font01"/>
    <w:basedOn w:val="24"/>
    <w:autoRedefine/>
    <w:qFormat/>
    <w:uiPriority w:val="0"/>
    <w:rPr>
      <w:rFonts w:hint="default" w:ascii="Arial" w:hAnsi="Arial" w:cs="Arial"/>
      <w:color w:val="000000"/>
      <w:sz w:val="20"/>
      <w:szCs w:val="20"/>
      <w:u w:val="none"/>
    </w:rPr>
  </w:style>
  <w:style w:type="character" w:customStyle="1" w:styleId="42">
    <w:name w:val="font31"/>
    <w:basedOn w:val="24"/>
    <w:autoRedefine/>
    <w:qFormat/>
    <w:uiPriority w:val="0"/>
    <w:rPr>
      <w:rFonts w:hint="eastAsia" w:ascii="宋体" w:hAnsi="宋体" w:eastAsia="宋体" w:cs="宋体"/>
      <w:color w:val="000000"/>
      <w:sz w:val="20"/>
      <w:szCs w:val="20"/>
      <w:u w:val="none"/>
    </w:rPr>
  </w:style>
  <w:style w:type="character" w:customStyle="1" w:styleId="43">
    <w:name w:val="font21"/>
    <w:basedOn w:val="24"/>
    <w:autoRedefine/>
    <w:qFormat/>
    <w:uiPriority w:val="0"/>
    <w:rPr>
      <w:rFonts w:hint="default" w:ascii="Arial" w:hAnsi="Arial" w:cs="Arial"/>
      <w:color w:val="000000"/>
      <w:sz w:val="22"/>
      <w:szCs w:val="22"/>
      <w:u w:val="none"/>
    </w:rPr>
  </w:style>
  <w:style w:type="character" w:customStyle="1" w:styleId="44">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18975</Words>
  <Characters>20663</Characters>
  <Lines>180</Lines>
  <Paragraphs>50</Paragraphs>
  <TotalTime>11</TotalTime>
  <ScaleCrop>false</ScaleCrop>
  <LinksUpToDate>false</LinksUpToDate>
  <CharactersWithSpaces>27985</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2023-10-20T04:39:00Z</cp:lastPrinted>
  <dcterms:modified xsi:type="dcterms:W3CDTF">2024-03-05T07:35:08Z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3EDDA89691FE4F7BACB67B56C808D825_13</vt:lpwstr>
  </property>
</Properties>
</file>