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合肥至周口高速公路寿县（保义）至颍上</w:t>
      </w:r>
    </w:p>
    <w:p>
      <w:pPr>
        <w:widowControl/>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（南照）房建工程灯具采购项目</w:t>
      </w:r>
    </w:p>
    <w:p>
      <w:pPr>
        <w:spacing w:line="540" w:lineRule="exact"/>
        <w:ind w:firstLine="420"/>
        <w:rPr>
          <w:rFonts w:ascii="Times New Roman" w:hAnsi="Times New Roman" w:cs="Times New Roman"/>
          <w:szCs w:val="21"/>
          <w:highlight w:val="none"/>
        </w:rPr>
      </w:pPr>
    </w:p>
    <w:p>
      <w:pPr>
        <w:pStyle w:val="2"/>
        <w:rPr>
          <w:rFonts w:ascii="Times New Roman" w:hAnsi="Times New Roman" w:cs="Times New Roman"/>
          <w:szCs w:val="21"/>
          <w:highlight w:val="none"/>
        </w:rPr>
      </w:pPr>
    </w:p>
    <w:p>
      <w:pPr>
        <w:rPr>
          <w:highlight w:val="none"/>
        </w:rPr>
      </w:pPr>
    </w:p>
    <w:p>
      <w:pPr>
        <w:pStyle w:val="2"/>
        <w:rPr>
          <w:rFonts w:ascii="Times New Roman" w:hAnsi="Times New Roman" w:cs="Times New Roman"/>
          <w:szCs w:val="21"/>
          <w:highlight w:val="none"/>
        </w:rPr>
      </w:pPr>
    </w:p>
    <w:p>
      <w:pPr>
        <w:pStyle w:val="2"/>
        <w:rPr>
          <w:rFonts w:ascii="Times New Roman" w:hAnsi="Times New Roman" w:cs="Times New Roman"/>
          <w:szCs w:val="21"/>
          <w:highlight w:val="none"/>
        </w:rPr>
      </w:pPr>
    </w:p>
    <w:p>
      <w:pPr>
        <w:pStyle w:val="11"/>
        <w:rPr>
          <w:rFonts w:ascii="Times New Roman" w:hAnsi="Times New Roman" w:cs="Times New Roman"/>
          <w:szCs w:val="21"/>
          <w:highlight w:val="none"/>
        </w:rPr>
      </w:pPr>
    </w:p>
    <w:p>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640"/>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highlight w:val="none"/>
          <w:u w:val="single"/>
        </w:rPr>
      </w:pPr>
      <w:r>
        <w:rPr>
          <w:rFonts w:ascii="Times New Roman" w:hAnsi="Times New Roman" w:eastAsia="黑体" w:cs="Times New Roman"/>
          <w:sz w:val="32"/>
          <w:szCs w:val="32"/>
          <w:highlight w:val="none"/>
        </w:rPr>
        <w:t>采</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购</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人：</w:t>
      </w:r>
      <w:r>
        <w:rPr>
          <w:rFonts w:ascii="Times New Roman" w:hAnsi="Times New Roman" w:eastAsia="黑体" w:cs="Times New Roman"/>
          <w:sz w:val="32"/>
          <w:szCs w:val="32"/>
          <w:highlight w:val="none"/>
          <w:u w:val="single"/>
        </w:rPr>
        <w:t xml:space="preserve"> 安徽</w:t>
      </w:r>
      <w:r>
        <w:rPr>
          <w:rFonts w:hint="eastAsia" w:ascii="Times New Roman" w:hAnsi="Times New Roman" w:eastAsia="黑体" w:cs="Times New Roman"/>
          <w:sz w:val="32"/>
          <w:szCs w:val="32"/>
          <w:highlight w:val="none"/>
          <w:u w:val="single"/>
          <w:lang w:val="en-US" w:eastAsia="zh-CN"/>
        </w:rPr>
        <w:t>省经工物资</w:t>
      </w:r>
      <w:r>
        <w:rPr>
          <w:rFonts w:ascii="Times New Roman" w:hAnsi="Times New Roman" w:eastAsia="黑体" w:cs="Times New Roman"/>
          <w:sz w:val="32"/>
          <w:szCs w:val="32"/>
          <w:highlight w:val="none"/>
          <w:u w:val="single"/>
        </w:rPr>
        <w:t>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3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pPr>
        <w:snapToGrid w:val="0"/>
        <w:ind w:firstLine="1920" w:firstLineChars="600"/>
        <w:rPr>
          <w:rFonts w:ascii="Times New Roman" w:hAnsi="Times New Roman" w:cs="Times New Roman"/>
          <w:sz w:val="32"/>
          <w:szCs w:val="32"/>
          <w:highlight w:val="none"/>
        </w:rPr>
      </w:pPr>
    </w:p>
    <w:p>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highlight w:val="none"/>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TOC \o "1-1" \h \u </w:instrText>
          </w:r>
          <w:r>
            <w:rPr>
              <w:rFonts w:ascii="宋体" w:hAnsi="宋体" w:eastAsia="宋体"/>
              <w:highlight w:val="none"/>
            </w:rPr>
            <w:fldChar w:fldCharType="separate"/>
          </w:r>
          <w:r>
            <w:rPr>
              <w:rFonts w:ascii="宋体" w:hAnsi="宋体" w:eastAsia="宋体"/>
              <w:highlight w:val="none"/>
            </w:rPr>
            <w:fldChar w:fldCharType="begin"/>
          </w:r>
          <w:r>
            <w:rPr>
              <w:rFonts w:ascii="宋体" w:hAnsi="宋体" w:eastAsia="宋体"/>
              <w:highlight w:val="none"/>
            </w:rPr>
            <w:instrText xml:space="preserve"> HYPERLINK \l _Toc23966 </w:instrText>
          </w:r>
          <w:r>
            <w:rPr>
              <w:rFonts w:ascii="宋体" w:hAnsi="宋体" w:eastAsia="宋体"/>
              <w:highlight w:val="none"/>
            </w:rPr>
            <w:fldChar w:fldCharType="separate"/>
          </w:r>
          <w:r>
            <w:rPr>
              <w:rFonts w:hint="eastAsia" w:ascii="Times New Roman" w:hAnsi="Times New Roman" w:eastAsia="宋体" w:cs="Times New Roman"/>
              <w:highlight w:val="none"/>
            </w:rPr>
            <w:t xml:space="preserve">第一章 </w:t>
          </w:r>
          <w:r>
            <w:rPr>
              <w:rFonts w:ascii="Times New Roman" w:hAnsi="Times New Roman" w:eastAsia="宋体" w:cs="Times New Roman"/>
              <w:highlight w:val="none"/>
            </w:rPr>
            <w:t>采购公告</w:t>
          </w:r>
          <w:r>
            <w:rPr>
              <w:highlight w:val="none"/>
            </w:rPr>
            <w:tab/>
          </w:r>
          <w:r>
            <w:rPr>
              <w:highlight w:val="none"/>
            </w:rPr>
            <w:fldChar w:fldCharType="begin"/>
          </w:r>
          <w:r>
            <w:rPr>
              <w:highlight w:val="none"/>
            </w:rPr>
            <w:instrText xml:space="preserve"> PAGEREF _Toc23966 \h </w:instrText>
          </w:r>
          <w:r>
            <w:rPr>
              <w:highlight w:val="none"/>
            </w:rPr>
            <w:fldChar w:fldCharType="separate"/>
          </w:r>
          <w:r>
            <w:rPr>
              <w:highlight w:val="none"/>
            </w:rPr>
            <w:t>3</w:t>
          </w:r>
          <w:r>
            <w:rPr>
              <w:highlight w:val="none"/>
            </w:rPr>
            <w:fldChar w:fldCharType="end"/>
          </w:r>
          <w:r>
            <w:rPr>
              <w:rFonts w:ascii="宋体" w:hAnsi="宋体" w:eastAsia="宋体"/>
              <w:highlight w:val="none"/>
            </w:rPr>
            <w:fldChar w:fldCharType="end"/>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_Toc26240 </w:instrText>
          </w:r>
          <w:r>
            <w:rPr>
              <w:rFonts w:ascii="宋体" w:hAnsi="宋体" w:eastAsia="宋体"/>
              <w:highlight w:val="none"/>
            </w:rPr>
            <w:fldChar w:fldCharType="separate"/>
          </w:r>
          <w:r>
            <w:rPr>
              <w:rFonts w:hint="eastAsia" w:ascii="Times New Roman" w:hAnsi="Times New Roman" w:eastAsia="宋体" w:cs="Times New Roman"/>
              <w:highlight w:val="none"/>
            </w:rPr>
            <w:t xml:space="preserve">第二章 </w:t>
          </w:r>
          <w:r>
            <w:rPr>
              <w:rFonts w:ascii="Times New Roman" w:hAnsi="Times New Roman" w:eastAsia="宋体" w:cs="Times New Roman"/>
              <w:highlight w:val="none"/>
            </w:rPr>
            <w:t>供应商须知</w:t>
          </w:r>
          <w:r>
            <w:rPr>
              <w:highlight w:val="none"/>
            </w:rPr>
            <w:tab/>
          </w:r>
          <w:r>
            <w:rPr>
              <w:highlight w:val="none"/>
            </w:rPr>
            <w:fldChar w:fldCharType="begin"/>
          </w:r>
          <w:r>
            <w:rPr>
              <w:highlight w:val="none"/>
            </w:rPr>
            <w:instrText xml:space="preserve"> PAGEREF _Toc26240 \h </w:instrText>
          </w:r>
          <w:r>
            <w:rPr>
              <w:highlight w:val="none"/>
            </w:rPr>
            <w:fldChar w:fldCharType="separate"/>
          </w:r>
          <w:r>
            <w:rPr>
              <w:highlight w:val="none"/>
            </w:rPr>
            <w:t>6</w:t>
          </w:r>
          <w:r>
            <w:rPr>
              <w:highlight w:val="none"/>
            </w:rPr>
            <w:fldChar w:fldCharType="end"/>
          </w:r>
          <w:r>
            <w:rPr>
              <w:rFonts w:ascii="宋体" w:hAnsi="宋体" w:eastAsia="宋体"/>
              <w:highlight w:val="none"/>
            </w:rPr>
            <w:fldChar w:fldCharType="end"/>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_Toc2394 </w:instrText>
          </w:r>
          <w:r>
            <w:rPr>
              <w:rFonts w:ascii="宋体" w:hAnsi="宋体" w:eastAsia="宋体"/>
              <w:highlight w:val="none"/>
            </w:rPr>
            <w:fldChar w:fldCharType="separate"/>
          </w:r>
          <w:r>
            <w:rPr>
              <w:rFonts w:hint="eastAsia" w:ascii="Times New Roman" w:hAnsi="Times New Roman" w:eastAsia="宋体" w:cs="Times New Roman"/>
              <w:highlight w:val="none"/>
            </w:rPr>
            <w:t xml:space="preserve">第三章 </w:t>
          </w:r>
          <w:r>
            <w:rPr>
              <w:rFonts w:ascii="Times New Roman" w:hAnsi="Times New Roman" w:eastAsia="宋体" w:cs="Times New Roman"/>
              <w:highlight w:val="none"/>
            </w:rPr>
            <w:t>评审办法</w:t>
          </w:r>
          <w:r>
            <w:rPr>
              <w:highlight w:val="none"/>
            </w:rPr>
            <w:tab/>
          </w:r>
          <w:r>
            <w:rPr>
              <w:highlight w:val="none"/>
            </w:rPr>
            <w:fldChar w:fldCharType="begin"/>
          </w:r>
          <w:r>
            <w:rPr>
              <w:highlight w:val="none"/>
            </w:rPr>
            <w:instrText xml:space="preserve"> PAGEREF _Toc2394 \h </w:instrText>
          </w:r>
          <w:r>
            <w:rPr>
              <w:highlight w:val="none"/>
            </w:rPr>
            <w:fldChar w:fldCharType="separate"/>
          </w:r>
          <w:r>
            <w:rPr>
              <w:highlight w:val="none"/>
            </w:rPr>
            <w:t>16</w:t>
          </w:r>
          <w:r>
            <w:rPr>
              <w:highlight w:val="none"/>
            </w:rPr>
            <w:fldChar w:fldCharType="end"/>
          </w:r>
          <w:r>
            <w:rPr>
              <w:rFonts w:ascii="宋体" w:hAnsi="宋体" w:eastAsia="宋体"/>
              <w:highlight w:val="none"/>
            </w:rPr>
            <w:fldChar w:fldCharType="end"/>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_Toc25343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rPr>
              <w:highlight w:val="none"/>
            </w:rPr>
            <w:tab/>
          </w:r>
          <w:r>
            <w:rPr>
              <w:highlight w:val="none"/>
            </w:rPr>
            <w:fldChar w:fldCharType="begin"/>
          </w:r>
          <w:r>
            <w:rPr>
              <w:highlight w:val="none"/>
            </w:rPr>
            <w:instrText xml:space="preserve"> PAGEREF _Toc25343 \h </w:instrText>
          </w:r>
          <w:r>
            <w:rPr>
              <w:highlight w:val="none"/>
            </w:rPr>
            <w:fldChar w:fldCharType="separate"/>
          </w:r>
          <w:r>
            <w:rPr>
              <w:highlight w:val="none"/>
            </w:rPr>
            <w:t>23</w:t>
          </w:r>
          <w:r>
            <w:rPr>
              <w:highlight w:val="none"/>
            </w:rPr>
            <w:fldChar w:fldCharType="end"/>
          </w:r>
          <w:r>
            <w:rPr>
              <w:rFonts w:ascii="宋体" w:hAnsi="宋体" w:eastAsia="宋体"/>
              <w:highlight w:val="none"/>
            </w:rPr>
            <w:fldChar w:fldCharType="end"/>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_Toc24422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第五章 供货要</w:t>
          </w:r>
          <w:r>
            <w:rPr>
              <w:rFonts w:ascii="Times New Roman" w:hAnsi="Times New Roman" w:eastAsia="宋体" w:cs="Times New Roman"/>
              <w:highlight w:val="none"/>
            </w:rPr>
            <w:t>求及清单</w:t>
          </w:r>
          <w:r>
            <w:rPr>
              <w:highlight w:val="none"/>
            </w:rPr>
            <w:tab/>
          </w:r>
          <w:r>
            <w:rPr>
              <w:highlight w:val="none"/>
            </w:rPr>
            <w:fldChar w:fldCharType="begin"/>
          </w:r>
          <w:r>
            <w:rPr>
              <w:highlight w:val="none"/>
            </w:rPr>
            <w:instrText xml:space="preserve"> PAGEREF _Toc24422 \h </w:instrText>
          </w:r>
          <w:r>
            <w:rPr>
              <w:highlight w:val="none"/>
            </w:rPr>
            <w:fldChar w:fldCharType="separate"/>
          </w:r>
          <w:r>
            <w:rPr>
              <w:highlight w:val="none"/>
            </w:rPr>
            <w:t>37</w:t>
          </w:r>
          <w:r>
            <w:rPr>
              <w:highlight w:val="none"/>
            </w:rPr>
            <w:fldChar w:fldCharType="end"/>
          </w:r>
          <w:r>
            <w:rPr>
              <w:rFonts w:ascii="宋体" w:hAnsi="宋体" w:eastAsia="宋体"/>
              <w:highlight w:val="none"/>
            </w:rPr>
            <w:fldChar w:fldCharType="end"/>
          </w:r>
        </w:p>
        <w:p>
          <w:pPr>
            <w:pStyle w:val="13"/>
            <w:tabs>
              <w:tab w:val="right" w:leader="dot" w:pos="8312"/>
            </w:tabs>
            <w:rPr>
              <w:highlight w:val="none"/>
            </w:rPr>
          </w:pPr>
          <w:r>
            <w:rPr>
              <w:rFonts w:ascii="宋体" w:hAnsi="宋体" w:eastAsia="宋体"/>
              <w:highlight w:val="none"/>
            </w:rPr>
            <w:fldChar w:fldCharType="begin"/>
          </w:r>
          <w:r>
            <w:rPr>
              <w:rFonts w:ascii="宋体" w:hAnsi="宋体" w:eastAsia="宋体"/>
              <w:highlight w:val="none"/>
            </w:rPr>
            <w:instrText xml:space="preserve"> HYPERLINK \l _Toc7773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rPr>
              <w:highlight w:val="none"/>
            </w:rPr>
            <w:tab/>
          </w:r>
          <w:r>
            <w:rPr>
              <w:highlight w:val="none"/>
            </w:rPr>
            <w:fldChar w:fldCharType="begin"/>
          </w:r>
          <w:r>
            <w:rPr>
              <w:highlight w:val="none"/>
            </w:rPr>
            <w:instrText xml:space="preserve"> PAGEREF _Toc7773 \h </w:instrText>
          </w:r>
          <w:r>
            <w:rPr>
              <w:highlight w:val="none"/>
            </w:rPr>
            <w:fldChar w:fldCharType="separate"/>
          </w:r>
          <w:r>
            <w:rPr>
              <w:highlight w:val="none"/>
            </w:rPr>
            <w:t>38</w:t>
          </w:r>
          <w:r>
            <w:rPr>
              <w:highlight w:val="none"/>
            </w:rPr>
            <w:fldChar w:fldCharType="end"/>
          </w:r>
          <w:r>
            <w:rPr>
              <w:rFonts w:ascii="宋体" w:hAnsi="宋体" w:eastAsia="宋体"/>
              <w:highlight w:val="none"/>
            </w:rPr>
            <w:fldChar w:fldCharType="end"/>
          </w:r>
        </w:p>
        <w:p>
          <w:pPr>
            <w:jc w:val="center"/>
            <w:rPr>
              <w:rFonts w:ascii="宋体" w:hAnsi="宋体" w:eastAsia="宋体"/>
              <w:highlight w:val="none"/>
            </w:rPr>
          </w:pPr>
          <w:r>
            <w:rPr>
              <w:rFonts w:ascii="宋体" w:hAnsi="宋体" w:eastAsia="宋体"/>
              <w:highlight w:val="none"/>
            </w:rPr>
            <w:fldChar w:fldCharType="end"/>
          </w:r>
        </w:p>
      </w:sdtContent>
    </w:sdt>
    <w:p>
      <w:pPr>
        <w:jc w:val="center"/>
        <w:rPr>
          <w:rFonts w:ascii="宋体" w:hAnsi="宋体" w:eastAsia="宋体"/>
          <w:highlight w:val="none"/>
        </w:rPr>
      </w:pPr>
    </w:p>
    <w:p>
      <w:pPr>
        <w:jc w:val="center"/>
        <w:rPr>
          <w:rFonts w:ascii="宋体" w:hAnsi="宋体" w:eastAsia="宋体"/>
          <w:highlight w:val="none"/>
        </w:rPr>
      </w:pPr>
    </w:p>
    <w:p>
      <w:pPr>
        <w:pStyle w:val="3"/>
        <w:spacing w:before="312" w:after="312"/>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宋体" w:cs="Times New Roman"/>
          <w:highlight w:val="none"/>
        </w:rPr>
      </w:pPr>
      <w:bookmarkStart w:id="0" w:name="_Toc23966"/>
      <w:r>
        <w:rPr>
          <w:rFonts w:ascii="Times New Roman" w:hAnsi="Times New Roman" w:eastAsia="宋体" w:cs="Times New Roman"/>
          <w:highlight w:val="none"/>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 w:name="_Toc525632585"/>
      <w:bookmarkStart w:id="2" w:name="_Toc6496_WPSOffice_Level2"/>
      <w:bookmarkStart w:id="3" w:name="_Toc13871"/>
      <w:bookmarkStart w:id="4" w:name="_Toc4489_WPSOffice_Level2"/>
      <w:bookmarkStart w:id="5" w:name="_Toc24354_WPSOffice_Level2"/>
      <w:bookmarkStart w:id="6" w:name="_Toc10395_WPSOffice_Level2"/>
      <w:bookmarkStart w:id="7" w:name="_Toc12765"/>
      <w:r>
        <w:rPr>
          <w:rFonts w:ascii="Times New Roman" w:hAnsi="Times New Roman" w:eastAsia="黑体" w:cs="Times New Roman"/>
          <w:b w:val="0"/>
          <w:bCs/>
          <w:kern w:val="2"/>
          <w:sz w:val="22"/>
          <w:szCs w:val="15"/>
          <w:highlight w:val="none"/>
          <w:lang w:val="en-US" w:eastAsia="zh-CN" w:bidi="ar-SA"/>
        </w:rPr>
        <w:t>项目简介</w:t>
      </w:r>
      <w:bookmarkEnd w:id="1"/>
      <w:bookmarkEnd w:id="2"/>
      <w:bookmarkEnd w:id="3"/>
      <w:bookmarkEnd w:id="4"/>
      <w:bookmarkEnd w:id="5"/>
      <w:bookmarkEnd w:id="6"/>
      <w:bookmarkEnd w:id="7"/>
    </w:p>
    <w:p>
      <w:pPr>
        <w:widowControl/>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合肥至周口高速公路寿县（保义）至颍上（南照）房建工程灯具采购项目</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u w:val="single"/>
        </w:rPr>
        <w:t xml:space="preserve"> 安徽</w:t>
      </w:r>
      <w:r>
        <w:rPr>
          <w:rFonts w:hint="eastAsia" w:ascii="宋体" w:hAnsi="宋体" w:eastAsia="宋体" w:cs="宋体"/>
          <w:sz w:val="21"/>
          <w:szCs w:val="21"/>
          <w:highlight w:val="none"/>
          <w:u w:val="single"/>
          <w:lang w:val="en-US" w:eastAsia="zh-CN"/>
        </w:rPr>
        <w:t xml:space="preserve">省经工物资有限公司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 项目概况：</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合肥至周口高速公路寿县（保义）至颍上（南照）房建工程灯具采购项目</w:t>
      </w:r>
      <w:r>
        <w:rPr>
          <w:rFonts w:hint="eastAsia" w:ascii="宋体" w:hAnsi="宋体" w:eastAsia="宋体" w:cs="宋体"/>
          <w:kern w:val="0"/>
          <w:sz w:val="21"/>
          <w:szCs w:val="21"/>
          <w:highlight w:val="none"/>
          <w:u w:val="none"/>
          <w:lang w:eastAsia="zh-CN"/>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8" w:name="_Toc17858_WPSOffice_Level2"/>
      <w:bookmarkStart w:id="9" w:name="_Toc18367_WPSOffice_Level2"/>
      <w:bookmarkStart w:id="10" w:name="_Toc8128_WPSOffice_Level2"/>
      <w:bookmarkStart w:id="11" w:name="_Toc18453"/>
      <w:bookmarkStart w:id="12" w:name="_Toc525632586"/>
      <w:bookmarkStart w:id="13" w:name="_Toc23266_WPSOffice_Level2"/>
      <w:bookmarkStart w:id="14" w:name="_Toc10274"/>
      <w:r>
        <w:rPr>
          <w:rFonts w:ascii="Times New Roman" w:hAnsi="Times New Roman" w:eastAsia="黑体" w:cs="Times New Roman"/>
          <w:b w:val="0"/>
          <w:bCs/>
          <w:kern w:val="2"/>
          <w:sz w:val="22"/>
          <w:szCs w:val="15"/>
          <w:highlight w:val="none"/>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none"/>
          <w:u w:val="single"/>
          <w:lang w:val="en-US" w:eastAsia="zh-CN"/>
        </w:rPr>
      </w:pPr>
      <w:bookmarkStart w:id="15" w:name="_Toc4489_WPSOffice_Level3"/>
      <w:r>
        <w:rPr>
          <w:rFonts w:hint="eastAsia" w:ascii="宋体" w:hAnsi="宋体" w:eastAsia="宋体" w:cs="宋体"/>
          <w:szCs w:val="21"/>
          <w:highlight w:val="none"/>
        </w:rPr>
        <w:t>2.1 采购方式：</w:t>
      </w:r>
      <w:bookmarkEnd w:id="15"/>
      <w:r>
        <w:rPr>
          <w:rFonts w:hint="eastAsia" w:ascii="宋体" w:hAnsi="宋体" w:eastAsia="宋体" w:cs="宋体"/>
          <w:szCs w:val="21"/>
          <w:highlight w:val="none"/>
          <w:u w:val="single"/>
          <w:lang w:val="en-US" w:eastAsia="zh-CN"/>
        </w:rPr>
        <w:t xml:space="preserve">  询比采购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bookmarkStart w:id="16" w:name="_Toc23266_WPSOffice_Level3"/>
      <w:r>
        <w:rPr>
          <w:rFonts w:hint="eastAsia" w:ascii="宋体" w:hAnsi="宋体" w:eastAsia="宋体" w:cs="宋体"/>
          <w:szCs w:val="21"/>
          <w:highlight w:val="none"/>
        </w:rPr>
        <w:t>2.2 资金来源及比例：</w:t>
      </w:r>
      <w:bookmarkEnd w:id="16"/>
      <w:bookmarkStart w:id="17" w:name="_Toc22379_WPSOffice_Level3"/>
      <w:r>
        <w:rPr>
          <w:rFonts w:hint="eastAsia" w:ascii="宋体" w:hAnsi="宋体" w:eastAsia="宋体" w:cs="宋体"/>
          <w:szCs w:val="21"/>
          <w:highlight w:val="none"/>
          <w:u w:val="single"/>
        </w:rPr>
        <w:t>100%来自企业自筹</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Cs w:val="21"/>
          <w:highlight w:val="none"/>
          <w:u w:val="single"/>
          <w:lang w:val="en-US" w:eastAsia="zh-CN"/>
        </w:rPr>
        <w:t xml:space="preserve">  吸顶灯、灯带、平板灯等具体详见清单。</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left="1890" w:leftChars="200" w:hanging="1470" w:hangingChars="7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 品牌范围：</w:t>
      </w:r>
      <w:r>
        <w:rPr>
          <w:rFonts w:hint="eastAsia" w:ascii="宋体" w:hAnsi="宋体" w:eastAsia="宋体" w:cs="宋体"/>
          <w:szCs w:val="21"/>
          <w:highlight w:val="none"/>
          <w:u w:val="single"/>
          <w:lang w:val="en-US" w:eastAsia="zh-CN"/>
        </w:rPr>
        <w:t xml:space="preserve">  雷士、TCL、欧普、三雄极光、佛山照明或相当于上述档次的品牌；具体详见第五章供货要求及清单。</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1个包。 </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最高限价：</w:t>
      </w:r>
      <w:bookmarkEnd w:id="17"/>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lang w:val="en-US" w:eastAsia="zh-CN"/>
        </w:rPr>
        <w:t xml:space="preserve">35万元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交货期</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 w:val="21"/>
          <w:szCs w:val="21"/>
          <w:highlight w:val="none"/>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个日历天内交货</w:t>
      </w:r>
      <w:r>
        <w:rPr>
          <w:rFonts w:hint="eastAsia" w:ascii="宋体" w:hAnsi="宋体" w:eastAsia="宋体" w:cs="宋体"/>
          <w:kern w:val="0"/>
          <w:sz w:val="21"/>
          <w:szCs w:val="21"/>
          <w:highlight w:val="none"/>
          <w:u w:val="single"/>
          <w:lang w:val="en-US" w:eastAsia="zh-CN"/>
        </w:rPr>
        <w:t>完成</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u w:val="single"/>
        </w:rPr>
      </w:pPr>
      <w:r>
        <w:rPr>
          <w:rFonts w:hint="eastAsia" w:ascii="宋体" w:hAnsi="宋体" w:eastAsia="宋体" w:cs="宋体"/>
          <w:szCs w:val="21"/>
          <w:highlight w:val="none"/>
          <w:lang w:val="en-US" w:eastAsia="zh-CN"/>
        </w:rPr>
        <w:t>2.8 推荐品牌：</w:t>
      </w:r>
      <w:r>
        <w:rPr>
          <w:rFonts w:hint="eastAsia" w:ascii="宋体" w:hAnsi="宋体" w:eastAsia="宋体" w:cs="宋体"/>
          <w:szCs w:val="21"/>
          <w:highlight w:val="none"/>
          <w:u w:val="single"/>
          <w:lang w:val="en-US" w:eastAsia="zh-CN"/>
        </w:rPr>
        <w:t xml:space="preserve">  /。                                        </w:t>
      </w:r>
      <w:r>
        <w:rPr>
          <w:rFonts w:hint="eastAsia" w:ascii="宋体" w:hAnsi="宋体" w:eastAsia="宋体" w:cs="宋体"/>
          <w:szCs w:val="21"/>
          <w:highlight w:val="none"/>
          <w:u w:val="single"/>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18" w:name="_Toc31673_WPSOffice_Level2"/>
      <w:bookmarkStart w:id="19" w:name="_Toc6388"/>
      <w:bookmarkStart w:id="20" w:name="_Toc29516_WPSOffice_Level2"/>
      <w:bookmarkStart w:id="21" w:name="_Toc525632587"/>
      <w:bookmarkStart w:id="22" w:name="_Toc3714"/>
      <w:bookmarkStart w:id="23" w:name="_Toc22379_WPSOffice_Level2"/>
      <w:bookmarkStart w:id="24" w:name="_Toc1622_WPSOffice_Level2"/>
      <w:r>
        <w:rPr>
          <w:rFonts w:ascii="Times New Roman" w:hAnsi="Times New Roman" w:eastAsia="黑体" w:cs="Times New Roman"/>
          <w:b w:val="0"/>
          <w:bCs/>
          <w:kern w:val="2"/>
          <w:sz w:val="22"/>
          <w:szCs w:val="15"/>
          <w:highlight w:val="none"/>
          <w:lang w:val="en-US" w:eastAsia="zh-CN" w:bidi="ar-SA"/>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kern w:val="2"/>
          <w:sz w:val="22"/>
          <w:szCs w:val="15"/>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highlight w:val="none"/>
        </w:rPr>
      </w:pPr>
      <w:r>
        <w:rPr>
          <w:rFonts w:hint="eastAsia" w:ascii="Times New Roman" w:hAnsi="Times New Roman" w:eastAsia="宋体" w:cs="Times New Roman"/>
          <w:szCs w:val="22"/>
          <w:highlight w:val="none"/>
          <w:lang w:val="en-US" w:eastAsia="zh-CN"/>
        </w:rPr>
        <w:t>（1）</w:t>
      </w:r>
      <w:r>
        <w:rPr>
          <w:rFonts w:hint="eastAsia" w:ascii="宋体" w:hAnsi="宋体" w:eastAsia="宋体" w:cs="宋体"/>
          <w:szCs w:val="22"/>
          <w:highlight w:val="none"/>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highlight w:val="none"/>
          <w:lang w:eastAsia="zh-CN"/>
        </w:rPr>
      </w:pPr>
      <w:r>
        <w:rPr>
          <w:rFonts w:hint="eastAsia" w:ascii="宋体" w:hAnsi="宋体" w:eastAsia="宋体" w:cs="宋体"/>
          <w:b/>
          <w:bCs/>
          <w:szCs w:val="22"/>
          <w:highlight w:val="none"/>
        </w:rPr>
        <w:t>具有生产厂家</w:t>
      </w:r>
      <w:r>
        <w:rPr>
          <w:rFonts w:hint="eastAsia" w:ascii="宋体" w:hAnsi="宋体" w:eastAsia="宋体" w:cs="宋体"/>
          <w:b/>
          <w:bCs/>
          <w:szCs w:val="22"/>
          <w:highlight w:val="none"/>
          <w:lang w:val="en-US" w:eastAsia="zh-CN"/>
        </w:rPr>
        <w:t>的授权</w:t>
      </w:r>
      <w:r>
        <w:rPr>
          <w:rFonts w:hint="eastAsia" w:ascii="宋体" w:hAnsi="宋体" w:eastAsia="宋体" w:cs="宋体"/>
          <w:b/>
          <w:bCs/>
          <w:szCs w:val="22"/>
          <w:highlight w:val="none"/>
          <w:lang w:eastAsia="zh-CN"/>
        </w:rPr>
        <w:t>，</w:t>
      </w:r>
      <w:r>
        <w:rPr>
          <w:rFonts w:hint="eastAsia" w:ascii="宋体" w:hAnsi="宋体" w:eastAsia="宋体" w:cs="宋体"/>
          <w:szCs w:val="22"/>
          <w:highlight w:val="none"/>
        </w:rPr>
        <w:t>具备独立法人资格，持有有效的营业执照</w:t>
      </w:r>
      <w:r>
        <w:rPr>
          <w:rFonts w:hint="eastAsia" w:ascii="宋体" w:hAnsi="宋体" w:eastAsia="宋体" w:cs="宋体"/>
          <w:szCs w:val="22"/>
          <w:highlight w:val="none"/>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2</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业绩最低要求：</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至少提供1个自2021年1月1日以来，单项合同额不低于30万元的灯具供应</w:t>
      </w:r>
      <w:r>
        <w:rPr>
          <w:rFonts w:hint="eastAsia" w:ascii="Times New Roman" w:hAnsi="Times New Roman" w:cs="Times New Roman"/>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highlight w:val="none"/>
          <w:lang w:val="en-US" w:eastAsia="zh-CN"/>
        </w:rPr>
      </w:pPr>
      <w:r>
        <w:rPr>
          <w:rFonts w:hint="eastAsia" w:asciiTheme="minorHAnsi" w:eastAsiaTheme="minorEastAsia"/>
          <w:highlight w:val="none"/>
          <w:lang w:val="en-US" w:eastAsia="zh-CN"/>
        </w:rPr>
        <w:t>业绩证明材料要求：</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①合同协议书</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 xml:space="preserve">件；                                                                                                                                                                                                                                                                                                                                                                                                                                                                                                                                                                                                                                                                                                                                                                                                                                                                                                                                                                                                                                                                                                                                                                                                                                                                                                                                                                                                                                                                                                                                                                                                                                                                                                                                                                                                                                                                                                                                                                                                                                                                                                                                                                          </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②若合同协议书中不能明确反映出</w:t>
      </w:r>
      <w:r>
        <w:rPr>
          <w:rFonts w:hint="eastAsia" w:cstheme="minorBidi"/>
          <w:kern w:val="2"/>
          <w:sz w:val="21"/>
          <w:szCs w:val="24"/>
          <w:highlight w:val="none"/>
          <w:lang w:val="en-US" w:eastAsia="zh-CN" w:bidi="ar-SA"/>
        </w:rPr>
        <w:t>采购文件</w:t>
      </w:r>
      <w:r>
        <w:rPr>
          <w:rFonts w:hint="eastAsia" w:asciiTheme="minorHAnsi" w:hAnsiTheme="minorHAnsi" w:eastAsiaTheme="minorEastAsia" w:cstheme="minorBidi"/>
          <w:kern w:val="2"/>
          <w:sz w:val="21"/>
          <w:szCs w:val="24"/>
          <w:highlight w:val="none"/>
          <w:lang w:val="en-US" w:eastAsia="zh-CN" w:bidi="ar-SA"/>
        </w:rPr>
        <w:t>所要求内容的（如合同金额、合同签订时间、供货内容等），则须提供业主单位（甲方）出具加盖公章的证明材料</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件。</w:t>
      </w:r>
    </w:p>
    <w:p>
      <w:pPr>
        <w:pStyle w:val="18"/>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③若同一业绩合同中包含多项</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，则合同中应能体现资格要求中所需</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highlight w:val="none"/>
          <w:lang w:val="en-US" w:eastAsia="zh-CN" w:bidi="ar-SA"/>
        </w:rPr>
        <w:t>予</w:t>
      </w:r>
      <w:r>
        <w:rPr>
          <w:rFonts w:hint="eastAsia" w:asciiTheme="minorHAnsi" w:hAnsiTheme="minorHAnsi" w:eastAsiaTheme="minorEastAsia" w:cstheme="minorBidi"/>
          <w:kern w:val="2"/>
          <w:sz w:val="21"/>
          <w:szCs w:val="24"/>
          <w:highlight w:val="none"/>
          <w:lang w:val="en-US" w:eastAsia="zh-CN" w:bidi="ar-SA"/>
        </w:rPr>
        <w:t>认可</w:t>
      </w:r>
      <w:r>
        <w:rPr>
          <w:rFonts w:hint="eastAsia" w:asciiTheme="minorHAnsi" w:hAnsiTheme="minorHAnsi" w:cstheme="minorBidi"/>
          <w:kern w:val="2"/>
          <w:sz w:val="21"/>
          <w:szCs w:val="24"/>
          <w:highlight w:val="none"/>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highlight w:val="none"/>
          <w:lang w:eastAsia="zh-CN"/>
        </w:rPr>
      </w:pPr>
      <w:r>
        <w:rPr>
          <w:rFonts w:hint="eastAsia" w:ascii="宋体" w:hAnsi="宋体" w:eastAsia="宋体" w:cs="宋体"/>
          <w:szCs w:val="22"/>
          <w:highlight w:val="none"/>
        </w:rPr>
        <w:t>（</w:t>
      </w:r>
      <w:r>
        <w:rPr>
          <w:rFonts w:hint="eastAsia" w:ascii="宋体" w:hAnsi="宋体" w:eastAsia="宋体" w:cs="宋体"/>
          <w:szCs w:val="22"/>
          <w:highlight w:val="none"/>
          <w:lang w:val="en-US" w:eastAsia="zh-CN"/>
        </w:rPr>
        <w:t>3</w:t>
      </w:r>
      <w:r>
        <w:rPr>
          <w:rFonts w:hint="eastAsia" w:ascii="宋体" w:hAnsi="宋体" w:eastAsia="宋体" w:cs="宋体"/>
          <w:szCs w:val="22"/>
          <w:highlight w:val="none"/>
        </w:rPr>
        <w:t>）</w:t>
      </w:r>
      <w:r>
        <w:rPr>
          <w:rFonts w:ascii="Times New Roman" w:hAnsi="Times New Roman" w:eastAsia="宋体" w:cs="Times New Roman"/>
          <w:szCs w:val="22"/>
          <w:highlight w:val="none"/>
        </w:rPr>
        <w:t>信誉最低要求：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highlight w:val="none"/>
        </w:rPr>
      </w:pPr>
      <w:r>
        <w:rPr>
          <w:rFonts w:ascii="Times New Roman" w:hAnsi="Times New Roman" w:eastAsia="宋体" w:cs="Times New Roman"/>
          <w:szCs w:val="22"/>
          <w:highlight w:val="none"/>
        </w:rPr>
        <w:t>①</w:t>
      </w:r>
      <w:r>
        <w:rPr>
          <w:rFonts w:hint="eastAsia" w:ascii="Times New Roman" w:hAnsi="Times New Roman" w:eastAsia="宋体" w:cs="Times New Roman"/>
          <w:szCs w:val="22"/>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highlight w:val="none"/>
        </w:rPr>
      </w:pPr>
      <w:r>
        <w:rPr>
          <w:rFonts w:hint="eastAsia" w:ascii="Times New Roman" w:hAnsi="Times New Roman" w:eastAsia="宋体" w:cs="Times New Roman"/>
          <w:szCs w:val="22"/>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highlight w:val="none"/>
        </w:rPr>
      </w:pPr>
      <w:r>
        <w:rPr>
          <w:rFonts w:hint="eastAsia" w:ascii="Times New Roman" w:hAnsi="Times New Roman" w:eastAsia="宋体" w:cs="Times New Roman"/>
          <w:szCs w:val="22"/>
          <w:highlight w:val="none"/>
        </w:rPr>
        <w:t>③</w:t>
      </w:r>
      <w:r>
        <w:rPr>
          <w:rFonts w:ascii="Times New Roman" w:hAnsi="Times New Roman" w:eastAsia="宋体" w:cs="Times New Roman"/>
          <w:szCs w:val="22"/>
          <w:highlight w:val="none"/>
        </w:rPr>
        <w:t>在国家企业信用信息公示系统（http://www.gsxt.gov.cn）中</w:t>
      </w:r>
      <w:r>
        <w:rPr>
          <w:rFonts w:hint="eastAsia" w:ascii="Times New Roman" w:hAnsi="Times New Roman" w:eastAsia="宋体" w:cs="Times New Roman"/>
          <w:szCs w:val="22"/>
          <w:highlight w:val="none"/>
        </w:rPr>
        <w:t>未</w:t>
      </w:r>
      <w:r>
        <w:rPr>
          <w:rFonts w:ascii="Times New Roman" w:hAnsi="Times New Roman" w:eastAsia="宋体" w:cs="Times New Roman"/>
          <w:szCs w:val="22"/>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highlight w:val="none"/>
        </w:rPr>
      </w:pPr>
      <w:r>
        <w:rPr>
          <w:rFonts w:hint="eastAsia" w:ascii="Times New Roman" w:hAnsi="Times New Roman" w:eastAsia="宋体" w:cs="Times New Roman"/>
          <w:szCs w:val="22"/>
          <w:highlight w:val="none"/>
        </w:rPr>
        <w:t>④</w:t>
      </w:r>
      <w:r>
        <w:rPr>
          <w:rFonts w:ascii="Times New Roman" w:hAnsi="Times New Roman" w:eastAsia="宋体" w:cs="Times New Roman"/>
          <w:szCs w:val="22"/>
          <w:highlight w:val="none"/>
        </w:rPr>
        <w:t>在“信用中国”网站（http://www.creditchina.gov.cn）中</w:t>
      </w:r>
      <w:r>
        <w:rPr>
          <w:rFonts w:hint="eastAsia" w:ascii="Times New Roman" w:hAnsi="Times New Roman" w:eastAsia="宋体" w:cs="Times New Roman"/>
          <w:szCs w:val="22"/>
          <w:highlight w:val="none"/>
        </w:rPr>
        <w:t>未</w:t>
      </w:r>
      <w:r>
        <w:rPr>
          <w:rFonts w:ascii="Times New Roman" w:hAnsi="Times New Roman" w:eastAsia="宋体" w:cs="Times New Roman"/>
          <w:szCs w:val="22"/>
          <w:highlight w:val="none"/>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highlight w:val="none"/>
        </w:rPr>
      </w:pPr>
      <w:r>
        <w:rPr>
          <w:rFonts w:hint="eastAsia" w:ascii="Times New Roman" w:hAnsi="Times New Roman" w:eastAsia="宋体" w:cs="Times New Roman"/>
          <w:szCs w:val="22"/>
          <w:highlight w:val="none"/>
        </w:rPr>
        <w:t>⑤</w:t>
      </w:r>
      <w:r>
        <w:rPr>
          <w:rFonts w:ascii="Times New Roman" w:hAnsi="Times New Roman" w:eastAsia="宋体" w:cs="Times New Roman"/>
          <w:szCs w:val="22"/>
          <w:highlight w:val="none"/>
        </w:rPr>
        <w:t>在近三年内（自</w:t>
      </w:r>
      <w:r>
        <w:rPr>
          <w:rFonts w:hint="eastAsia" w:ascii="Times New Roman" w:hAnsi="Times New Roman" w:eastAsia="宋体" w:cs="Times New Roman"/>
          <w:szCs w:val="22"/>
          <w:highlight w:val="none"/>
        </w:rPr>
        <w:t>响应文件递交截止之日</w:t>
      </w:r>
      <w:r>
        <w:rPr>
          <w:rFonts w:ascii="Times New Roman" w:hAnsi="Times New Roman" w:eastAsia="宋体" w:cs="Times New Roman"/>
          <w:szCs w:val="22"/>
          <w:highlight w:val="none"/>
        </w:rPr>
        <w:t>向前追溯3年）供应商或其法定代表人、拟委任的项目经理</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如有</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rPr>
        <w:t>未</w:t>
      </w:r>
      <w:r>
        <w:rPr>
          <w:rFonts w:ascii="Times New Roman" w:hAnsi="Times New Roman" w:eastAsia="宋体" w:cs="Times New Roman"/>
          <w:szCs w:val="22"/>
          <w:highlight w:val="none"/>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⑥其他要求：</w:t>
      </w:r>
      <w:r>
        <w:rPr>
          <w:rFonts w:hint="eastAsia" w:ascii="Times New Roman" w:hAnsi="Times New Roman" w:eastAsia="宋体" w:cs="Times New Roman"/>
          <w:highlight w:val="none"/>
          <w:u w:val="single"/>
          <w:lang w:val="en-US" w:eastAsia="zh-CN"/>
        </w:rPr>
        <w:t xml:space="preserve">        /        </w:t>
      </w:r>
      <w:r>
        <w:rPr>
          <w:rFonts w:hint="eastAsia" w:ascii="Times New Roman" w:hAnsi="Times New Roman" w:eastAsia="宋体" w:cs="Times New Roman"/>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highlight w:val="none"/>
        </w:rPr>
      </w:pPr>
      <w:r>
        <w:rPr>
          <w:rFonts w:ascii="Times New Roman" w:hAnsi="Times New Roman" w:eastAsia="宋体" w:cs="Times New Roman"/>
          <w:szCs w:val="22"/>
          <w:highlight w:val="none"/>
        </w:rPr>
        <w:t>3.2 联合体：本次采购</w:t>
      </w:r>
      <w:r>
        <w:rPr>
          <w:rFonts w:hint="eastAsia" w:ascii="Times New Roman" w:hAnsi="Times New Roman" w:eastAsia="宋体" w:cs="Times New Roman"/>
          <w:szCs w:val="22"/>
          <w:highlight w:val="none"/>
        </w:rPr>
        <w:t>不接受</w:t>
      </w:r>
      <w:r>
        <w:rPr>
          <w:rFonts w:ascii="Times New Roman" w:hAnsi="Times New Roman" w:eastAsia="宋体" w:cs="Times New Roman"/>
          <w:szCs w:val="22"/>
          <w:highlight w:val="none"/>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highlight w:val="none"/>
        </w:rPr>
      </w:pPr>
      <w:r>
        <w:rPr>
          <w:rFonts w:ascii="Times New Roman" w:hAnsi="Times New Roman" w:eastAsia="宋体" w:cs="Times New Roman"/>
          <w:szCs w:val="22"/>
          <w:highlight w:val="none"/>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highlight w:val="none"/>
          <w:lang w:val="en-US" w:eastAsia="zh-CN" w:bidi="ar-SA"/>
        </w:rPr>
      </w:pPr>
      <w:bookmarkStart w:id="25" w:name="_Toc4109_WPSOffice_Level2"/>
      <w:bookmarkStart w:id="26" w:name="_Toc4751"/>
      <w:bookmarkStart w:id="27" w:name="_Toc25666_WPSOffice_Level2"/>
      <w:bookmarkStart w:id="28" w:name="_Toc2996_WPSOffice_Level2"/>
      <w:bookmarkStart w:id="29" w:name="_Toc525632588"/>
      <w:bookmarkStart w:id="30" w:name="_Toc1994"/>
      <w:bookmarkStart w:id="31" w:name="_Toc29452_WPSOffice_Level2"/>
      <w:r>
        <w:rPr>
          <w:rFonts w:hint="eastAsia" w:ascii="Times New Roman" w:hAnsi="Times New Roman" w:eastAsia="黑体" w:cs="Times New Roman"/>
          <w:b w:val="0"/>
          <w:bCs/>
          <w:kern w:val="2"/>
          <w:sz w:val="22"/>
          <w:szCs w:val="15"/>
          <w:highlight w:val="none"/>
          <w:lang w:val="en-US" w:eastAsia="zh-CN" w:bidi="ar-SA"/>
        </w:rPr>
        <w:t>询比文件</w:t>
      </w:r>
      <w:r>
        <w:rPr>
          <w:rFonts w:ascii="Times New Roman" w:hAnsi="Times New Roman" w:eastAsia="黑体" w:cs="Times New Roman"/>
          <w:b w:val="0"/>
          <w:bCs/>
          <w:kern w:val="2"/>
          <w:sz w:val="22"/>
          <w:szCs w:val="15"/>
          <w:highlight w:val="none"/>
          <w:lang w:val="en-US" w:eastAsia="zh-CN" w:bidi="ar-SA"/>
        </w:rPr>
        <w:t>的获取</w:t>
      </w:r>
      <w:bookmarkEnd w:id="25"/>
      <w:bookmarkEnd w:id="26"/>
      <w:bookmarkEnd w:id="27"/>
      <w:bookmarkEnd w:id="28"/>
      <w:bookmarkEnd w:id="29"/>
      <w:bookmarkEnd w:id="30"/>
      <w:bookmarkEnd w:id="31"/>
    </w:p>
    <w:p>
      <w:pPr>
        <w:pStyle w:val="15"/>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highlight w:val="none"/>
          <w:lang w:val="en-US" w:eastAsia="zh-CN" w:bidi="ar-SA"/>
        </w:rPr>
      </w:pPr>
      <w:bookmarkStart w:id="32" w:name="_Toc726"/>
      <w:bookmarkStart w:id="33" w:name="_Toc525632589"/>
      <w:r>
        <w:rPr>
          <w:rFonts w:ascii="Times New Roman" w:hAnsi="Times New Roman" w:eastAsia="宋体" w:cs="Times New Roman"/>
          <w:kern w:val="2"/>
          <w:sz w:val="21"/>
          <w:szCs w:val="22"/>
          <w:highlight w:val="none"/>
          <w:lang w:val="en-US" w:eastAsia="zh-CN" w:bidi="ar-SA"/>
        </w:rPr>
        <w:t>供应商应在递交响应文件的截止时间前登录“</w:t>
      </w:r>
      <w:r>
        <w:rPr>
          <w:rFonts w:hint="eastAsia" w:ascii="Times New Roman" w:hAnsi="Times New Roman" w:cs="Times New Roman"/>
          <w:kern w:val="2"/>
          <w:sz w:val="21"/>
          <w:szCs w:val="22"/>
          <w:highlight w:val="none"/>
          <w:lang w:val="en-US" w:eastAsia="zh-CN" w:bidi="ar-SA"/>
        </w:rPr>
        <w:t>安徽交控建设工程集团有限公司</w:t>
      </w:r>
      <w:r>
        <w:rPr>
          <w:rFonts w:ascii="Times New Roman" w:hAnsi="Times New Roman" w:eastAsia="宋体" w:cs="Times New Roman"/>
          <w:kern w:val="2"/>
          <w:sz w:val="21"/>
          <w:szCs w:val="22"/>
          <w:highlight w:val="none"/>
          <w:lang w:val="en-US" w:eastAsia="zh-CN" w:bidi="ar-SA"/>
        </w:rPr>
        <w:t>”网站（https://www.ahjggroup.com/）“</w:t>
      </w:r>
      <w:r>
        <w:rPr>
          <w:rFonts w:hint="eastAsia" w:ascii="Times New Roman" w:hAnsi="Times New Roman" w:cs="Times New Roman"/>
          <w:kern w:val="2"/>
          <w:sz w:val="21"/>
          <w:szCs w:val="22"/>
          <w:highlight w:val="none"/>
          <w:lang w:val="en-US" w:eastAsia="zh-CN" w:bidi="ar-SA"/>
        </w:rPr>
        <w:t>招标公告</w:t>
      </w:r>
      <w:r>
        <w:rPr>
          <w:rFonts w:ascii="Times New Roman" w:hAnsi="Times New Roman" w:eastAsia="宋体" w:cs="Times New Roman"/>
          <w:kern w:val="2"/>
          <w:sz w:val="21"/>
          <w:szCs w:val="22"/>
          <w:highlight w:val="none"/>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highlight w:val="none"/>
          <w:lang w:val="en-US" w:eastAsia="zh-CN" w:bidi="ar-SA"/>
        </w:rPr>
        <w:t>安徽交控建设工程集团有限公司</w:t>
      </w:r>
      <w:r>
        <w:rPr>
          <w:rFonts w:ascii="Times New Roman" w:hAnsi="Times New Roman" w:eastAsia="宋体" w:cs="Times New Roman"/>
          <w:kern w:val="2"/>
          <w:sz w:val="21"/>
          <w:szCs w:val="22"/>
          <w:highlight w:val="none"/>
          <w:lang w:val="en-US" w:eastAsia="zh-CN" w:bidi="ar-SA"/>
        </w:rPr>
        <w:t>”（https://www.ahjggroup.com/）“</w:t>
      </w:r>
      <w:r>
        <w:rPr>
          <w:rFonts w:hint="eastAsia" w:ascii="Times New Roman" w:hAnsi="Times New Roman" w:cs="Times New Roman"/>
          <w:kern w:val="2"/>
          <w:sz w:val="21"/>
          <w:szCs w:val="22"/>
          <w:highlight w:val="none"/>
          <w:lang w:val="en-US" w:eastAsia="zh-CN" w:bidi="ar-SA"/>
        </w:rPr>
        <w:t>招标公告</w:t>
      </w:r>
      <w:r>
        <w:rPr>
          <w:rFonts w:ascii="Times New Roman" w:hAnsi="Times New Roman" w:eastAsia="宋体" w:cs="Times New Roman"/>
          <w:kern w:val="2"/>
          <w:sz w:val="21"/>
          <w:szCs w:val="22"/>
          <w:highlight w:val="none"/>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highlight w:val="none"/>
          <w:lang w:val="en-US" w:eastAsia="zh-CN" w:bidi="ar-SA"/>
        </w:rPr>
      </w:pPr>
      <w:r>
        <w:rPr>
          <w:rFonts w:hint="eastAsia" w:ascii="Times New Roman" w:hAnsi="Times New Roman" w:eastAsia="黑体" w:cs="Times New Roman"/>
          <w:b w:val="0"/>
          <w:bCs/>
          <w:kern w:val="2"/>
          <w:sz w:val="22"/>
          <w:szCs w:val="15"/>
          <w:highlight w:val="none"/>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highlight w:val="none"/>
          <w:u w:val="none"/>
          <w:lang w:val="en-US" w:eastAsia="zh-CN" w:bidi="ar-SA"/>
        </w:rPr>
      </w:pPr>
      <w:bookmarkStart w:id="34" w:name="_Toc525632591"/>
      <w:bookmarkStart w:id="35" w:name="_Toc22719"/>
      <w:r>
        <w:rPr>
          <w:rFonts w:hint="eastAsia" w:ascii="宋体" w:hAnsi="宋体" w:eastAsia="宋体" w:cs="宋体"/>
          <w:kern w:val="0"/>
          <w:sz w:val="21"/>
          <w:szCs w:val="21"/>
          <w:highlight w:val="none"/>
          <w:lang w:val="en-US" w:eastAsia="zh-CN" w:bidi="ar-SA"/>
        </w:rPr>
        <w:t>响应文件递交的截止时间为</w:t>
      </w:r>
      <w:r>
        <w:rPr>
          <w:rFonts w:hint="eastAsia" w:ascii="宋体" w:hAnsi="宋体" w:eastAsia="宋体" w:cs="宋体"/>
          <w:b/>
          <w:bCs/>
          <w:kern w:val="0"/>
          <w:sz w:val="21"/>
          <w:szCs w:val="21"/>
          <w:highlight w:val="none"/>
          <w:u w:val="single"/>
          <w:lang w:val="en-US" w:eastAsia="zh-CN" w:bidi="ar-SA"/>
        </w:rPr>
        <w:t xml:space="preserve"> 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3</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12</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9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，供应商的法定代表人或其授权代理人应在文件递交截止时间前，将响应文件递交</w:t>
      </w:r>
      <w:r>
        <w:rPr>
          <w:rFonts w:hint="eastAsia" w:ascii="宋体" w:hAnsi="宋体" w:eastAsia="宋体" w:cs="宋体"/>
          <w:kern w:val="0"/>
          <w:sz w:val="21"/>
          <w:szCs w:val="21"/>
          <w:highlight w:val="none"/>
          <w:u w:val="none"/>
          <w:lang w:val="en-US" w:eastAsia="zh-CN" w:bidi="ar-SA"/>
        </w:rPr>
        <w:t>至</w:t>
      </w:r>
      <w:r>
        <w:rPr>
          <w:rFonts w:hint="eastAsia" w:ascii="宋体" w:hAnsi="宋体" w:eastAsia="宋体" w:cs="宋体"/>
          <w:kern w:val="2"/>
          <w:sz w:val="21"/>
          <w:szCs w:val="21"/>
          <w:highlight w:val="none"/>
          <w:u w:val="none"/>
          <w:lang w:val="en-US" w:eastAsia="zh-CN" w:bidi="ar-SA"/>
        </w:rPr>
        <w:t>安徽省合肥市包河区西藏路1588号高速时代广场C1栋1008安徽省经工物资有限公司</w:t>
      </w:r>
      <w:r>
        <w:rPr>
          <w:rFonts w:hint="eastAsia" w:ascii="宋体" w:hAnsi="宋体" w:eastAsia="宋体" w:cs="宋体"/>
          <w:kern w:val="2"/>
          <w:sz w:val="21"/>
          <w:szCs w:val="21"/>
          <w:highlight w:val="none"/>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highlight w:val="none"/>
          <w:lang w:val="en-US" w:eastAsia="zh-CN" w:bidi="ar-SA"/>
        </w:rPr>
      </w:pPr>
      <w:r>
        <w:rPr>
          <w:rFonts w:hint="eastAsia" w:ascii="Times New Roman" w:hAnsi="Times New Roman" w:eastAsia="黑体" w:cs="Times New Roman"/>
          <w:b w:val="0"/>
          <w:bCs/>
          <w:kern w:val="2"/>
          <w:sz w:val="22"/>
          <w:szCs w:val="15"/>
          <w:highlight w:val="none"/>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rPr>
        <w:t>安徽</w:t>
      </w:r>
      <w:r>
        <w:rPr>
          <w:rFonts w:hint="eastAsia" w:ascii="Times New Roman" w:hAnsi="Times New Roman" w:eastAsia="宋体" w:cs="Times New Roman"/>
          <w:kern w:val="2"/>
          <w:sz w:val="21"/>
          <w:szCs w:val="22"/>
          <w:highlight w:val="none"/>
          <w:u w:val="single"/>
          <w:lang w:val="en-US" w:eastAsia="zh-CN"/>
        </w:rPr>
        <w:t>省经工物资有限公司</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highlight w:val="none"/>
          <w:lang w:val="en-US" w:eastAsia="zh-CN" w:bidi="ar-SA"/>
        </w:rPr>
      </w:pPr>
      <w:r>
        <w:rPr>
          <w:rFonts w:hint="eastAsia" w:ascii="Times New Roman" w:hAnsi="Times New Roman" w:eastAsia="黑体" w:cs="Times New Roman"/>
          <w:b w:val="0"/>
          <w:bCs/>
          <w:kern w:val="2"/>
          <w:sz w:val="22"/>
          <w:szCs w:val="15"/>
          <w:highlight w:val="none"/>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3000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叁仟元整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“灯具采购项目”</w:t>
      </w:r>
      <w:r>
        <w:rPr>
          <w:rFonts w:hint="eastAsia" w:ascii="宋体" w:hAnsi="宋体" w:eastAsia="宋体" w:cs="宋体"/>
          <w:kern w:val="2"/>
          <w:sz w:val="21"/>
          <w:szCs w:val="21"/>
          <w:highlight w:val="none"/>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highlight w:val="none"/>
          <w:lang w:val="en-US" w:eastAsia="zh-CN" w:bidi="ar-SA"/>
        </w:rPr>
      </w:pPr>
      <w:r>
        <w:rPr>
          <w:rFonts w:hint="eastAsia" w:ascii="Times New Roman" w:hAnsi="Times New Roman" w:eastAsia="黑体" w:cs="Times New Roman"/>
          <w:b w:val="0"/>
          <w:bCs/>
          <w:kern w:val="2"/>
          <w:sz w:val="22"/>
          <w:szCs w:val="15"/>
          <w:highlight w:val="none"/>
          <w:lang w:val="en-US" w:eastAsia="zh-CN" w:bidi="ar-SA"/>
        </w:rPr>
        <w:t>发布公告的媒介</w:t>
      </w:r>
      <w:bookmarkEnd w:id="34"/>
      <w:bookmarkEnd w:id="35"/>
    </w:p>
    <w:p>
      <w:pPr>
        <w:pStyle w:val="15"/>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highlight w:val="none"/>
          <w:lang w:val="en-US" w:eastAsia="zh-CN" w:bidi="ar-SA"/>
        </w:rPr>
      </w:pPr>
      <w:bookmarkStart w:id="36" w:name="_Toc525632592"/>
      <w:bookmarkStart w:id="37" w:name="_Toc321_WPSOffice_Level2"/>
      <w:bookmarkStart w:id="38" w:name="_Toc28571_WPSOffice_Level2"/>
      <w:bookmarkStart w:id="39" w:name="_Toc20572_WPSOffice_Level2"/>
      <w:bookmarkStart w:id="40" w:name="_Toc26829"/>
      <w:bookmarkStart w:id="41" w:name="_Toc14943_WPSOffice_Level2"/>
      <w:bookmarkStart w:id="42" w:name="_Toc8501"/>
      <w:r>
        <w:rPr>
          <w:rFonts w:hint="eastAsia" w:ascii="宋体" w:hAnsi="宋体" w:eastAsia="宋体" w:cs="宋体"/>
          <w:kern w:val="2"/>
          <w:sz w:val="21"/>
          <w:szCs w:val="21"/>
          <w:highlight w:val="none"/>
          <w:lang w:val="en-US" w:eastAsia="zh-CN" w:bidi="ar-SA"/>
        </w:rPr>
        <w:t>本次采购公告在“</w:t>
      </w:r>
      <w:r>
        <w:rPr>
          <w:rFonts w:hint="eastAsia" w:cs="宋体"/>
          <w:kern w:val="2"/>
          <w:sz w:val="21"/>
          <w:szCs w:val="21"/>
          <w:highlight w:val="none"/>
          <w:lang w:val="en-US" w:eastAsia="zh-CN" w:bidi="ar-SA"/>
        </w:rPr>
        <w:t>安徽交控建设工程集团有限公司</w:t>
      </w:r>
      <w:r>
        <w:rPr>
          <w:rFonts w:hint="eastAsia" w:ascii="宋体" w:hAnsi="宋体" w:eastAsia="宋体" w:cs="宋体"/>
          <w:kern w:val="2"/>
          <w:sz w:val="21"/>
          <w:szCs w:val="21"/>
          <w:highlight w:val="none"/>
          <w:lang w:val="en-US" w:eastAsia="zh-CN" w:bidi="ar-SA"/>
        </w:rPr>
        <w:t>网站（https://www.ahjggroup.com/）“</w:t>
      </w:r>
      <w:r>
        <w:rPr>
          <w:rFonts w:hint="eastAsia" w:cs="宋体"/>
          <w:kern w:val="2"/>
          <w:sz w:val="21"/>
          <w:szCs w:val="21"/>
          <w:highlight w:val="none"/>
          <w:lang w:val="en-US" w:eastAsia="zh-CN" w:bidi="ar-SA"/>
        </w:rPr>
        <w:t>招标公告</w:t>
      </w:r>
      <w:r>
        <w:rPr>
          <w:rFonts w:hint="eastAsia" w:ascii="宋体" w:hAnsi="宋体" w:eastAsia="宋体" w:cs="宋体"/>
          <w:kern w:val="2"/>
          <w:sz w:val="21"/>
          <w:szCs w:val="21"/>
          <w:highlight w:val="none"/>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highlight w:val="none"/>
          <w:lang w:val="en-US" w:eastAsia="zh-CN" w:bidi="ar-SA"/>
        </w:rPr>
      </w:pPr>
      <w:r>
        <w:rPr>
          <w:rFonts w:hint="eastAsia" w:ascii="Times New Roman" w:hAnsi="Times New Roman" w:eastAsia="黑体" w:cs="Times New Roman"/>
          <w:b w:val="0"/>
          <w:bCs/>
          <w:kern w:val="2"/>
          <w:sz w:val="22"/>
          <w:szCs w:val="15"/>
          <w:highlight w:val="none"/>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highlight w:val="none"/>
          <w:lang w:val="en-US" w:eastAsia="zh-CN" w:bidi="ar-SA"/>
        </w:rPr>
        <w:t xml:space="preserve">     </w:t>
      </w:r>
      <w:r>
        <w:rPr>
          <w:rFonts w:hint="eastAsia" w:ascii="宋体" w:hAnsi="宋体" w:eastAsia="宋体" w:cs="宋体"/>
          <w:b w:val="0"/>
          <w:bCs/>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 购 人：</w:t>
      </w:r>
      <w:r>
        <w:rPr>
          <w:rFonts w:hint="eastAsia" w:ascii="宋体" w:hAnsi="宋体" w:eastAsia="宋体" w:cs="宋体"/>
          <w:kern w:val="2"/>
          <w:sz w:val="21"/>
          <w:szCs w:val="21"/>
          <w:highlight w:val="none"/>
        </w:rPr>
        <w:t>安徽</w:t>
      </w:r>
      <w:r>
        <w:rPr>
          <w:rFonts w:hint="eastAsia" w:ascii="宋体" w:hAnsi="宋体" w:eastAsia="宋体" w:cs="宋体"/>
          <w:kern w:val="2"/>
          <w:sz w:val="21"/>
          <w:szCs w:val="21"/>
          <w:highlight w:val="none"/>
          <w:lang w:val="en-US" w:eastAsia="zh-CN"/>
        </w:rPr>
        <w:t>省经工物资有限公司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eastAsia="宋体" w:cs="宋体"/>
          <w:kern w:val="2"/>
          <w:sz w:val="21"/>
          <w:szCs w:val="21"/>
          <w:highlight w:val="none"/>
        </w:rPr>
        <w:t>安徽省合肥市包河区西藏路1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号高速时代广场C1栋</w:t>
      </w:r>
      <w:r>
        <w:rPr>
          <w:rFonts w:hint="eastAsia" w:ascii="宋体" w:hAnsi="宋体" w:eastAsia="宋体" w:cs="宋体"/>
          <w:kern w:val="2"/>
          <w:sz w:val="21"/>
          <w:szCs w:val="21"/>
          <w:highlight w:val="none"/>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 xml:space="preserve">     高工、周工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pStyle w:val="3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3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p>
    <w:p>
      <w:pPr>
        <w:rPr>
          <w:rFonts w:ascii="Times New Roman" w:hAnsi="Times New Roman" w:cs="Times New Roman"/>
          <w:sz w:val="24"/>
          <w:szCs w:val="28"/>
          <w:highlight w:val="none"/>
        </w:rPr>
      </w:pPr>
    </w:p>
    <w:p>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pPr>
        <w:pStyle w:val="3"/>
        <w:spacing w:before="312" w:after="312"/>
        <w:rPr>
          <w:rFonts w:ascii="Times New Roman" w:hAnsi="Times New Roman" w:eastAsia="宋体" w:cs="Times New Roman"/>
          <w:highlight w:val="none"/>
        </w:rPr>
      </w:pPr>
      <w:bookmarkStart w:id="43" w:name="_Toc26240"/>
      <w:r>
        <w:rPr>
          <w:rFonts w:ascii="Times New Roman" w:hAnsi="Times New Roman" w:eastAsia="宋体" w:cs="Times New Roman"/>
          <w:highlight w:val="none"/>
        </w:rPr>
        <w:t>供应商须知</w:t>
      </w:r>
      <w:bookmarkEnd w:id="43"/>
    </w:p>
    <w:p>
      <w:pPr>
        <w:spacing w:line="440" w:lineRule="exact"/>
        <w:jc w:val="center"/>
        <w:outlineLvl w:val="1"/>
        <w:rPr>
          <w:rFonts w:ascii="Times New Roman" w:hAnsi="Times New Roman" w:eastAsia="黑体" w:cs="Times New Roman"/>
          <w:sz w:val="28"/>
          <w:szCs w:val="28"/>
          <w:highlight w:val="none"/>
        </w:rPr>
      </w:pPr>
      <w:bookmarkStart w:id="44" w:name="_Toc26656928"/>
      <w:bookmarkStart w:id="45" w:name="_Toc29381_WPSOffice_Level2"/>
      <w:bookmarkStart w:id="46" w:name="_Toc16069"/>
      <w:bookmarkStart w:id="47" w:name="_Toc55466811"/>
      <w:bookmarkStart w:id="48" w:name="_Toc19501"/>
      <w:r>
        <w:rPr>
          <w:rFonts w:ascii="Times New Roman" w:hAnsi="Times New Roman" w:eastAsia="黑体" w:cs="Times New Roman"/>
          <w:sz w:val="28"/>
          <w:szCs w:val="28"/>
          <w:highlight w:val="none"/>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highlight w:val="none"/>
              </w:rPr>
            </w:pPr>
            <w:r>
              <w:rPr>
                <w:rFonts w:ascii="Times New Roman" w:hAnsi="Times New Roman" w:eastAsia="宋体" w:cs="Times New Roman"/>
                <w:b/>
                <w:szCs w:val="21"/>
                <w:highlight w:val="none"/>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highlight w:val="none"/>
              </w:rPr>
            </w:pPr>
            <w:r>
              <w:rPr>
                <w:rFonts w:ascii="Times New Roman" w:hAnsi="Times New Roman" w:eastAsia="宋体" w:cs="Times New Roman"/>
                <w:b/>
                <w:szCs w:val="21"/>
                <w:highlight w:val="none"/>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highlight w:val="none"/>
              </w:rPr>
            </w:pPr>
            <w:r>
              <w:rPr>
                <w:rFonts w:ascii="Times New Roman" w:hAnsi="Times New Roman" w:eastAsia="宋体" w:cs="Times New Roman"/>
                <w:b/>
                <w:szCs w:val="21"/>
                <w:highlight w:val="none"/>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highlight w:val="none"/>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供应商</w:t>
            </w:r>
            <w:r>
              <w:rPr>
                <w:rFonts w:hint="eastAsia" w:ascii="Times New Roman" w:hAnsi="Times New Roman" w:eastAsia="宋体" w:cs="Times New Roman"/>
                <w:szCs w:val="21"/>
                <w:highlight w:val="none"/>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highlight w:val="none"/>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highlight w:val="none"/>
              </w:rPr>
            </w:pPr>
            <w:r>
              <w:rPr>
                <w:rFonts w:hint="eastAsia" w:ascii="Times New Roman" w:hAnsi="Times New Roman" w:eastAsia="宋体" w:cs="Times New Roman"/>
                <w:szCs w:val="21"/>
                <w:highlight w:val="none"/>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r>
              <w:rPr>
                <w:rFonts w:hint="eastAsia" w:ascii="Times New Roman" w:hAnsi="Times New Roman" w:eastAsia="宋体" w:cs="Times New Roman"/>
                <w:szCs w:val="21"/>
                <w:highlight w:val="none"/>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none"/>
              </w:rPr>
            </w:pPr>
            <w:r>
              <w:rPr>
                <w:rFonts w:hint="eastAsia"/>
                <w:highlight w:val="none"/>
                <w:lang w:eastAsia="zh-CN"/>
              </w:rPr>
              <w:t>☑</w:t>
            </w:r>
            <w:r>
              <w:rPr>
                <w:rFonts w:hint="eastAsia" w:ascii="Times New Roman" w:hAnsi="Times New Roman" w:eastAsia="宋体" w:cs="Times New Roman"/>
                <w:szCs w:val="21"/>
                <w:highlight w:val="none"/>
              </w:rPr>
              <w:t>固定</w:t>
            </w:r>
            <w:r>
              <w:rPr>
                <w:rFonts w:ascii="Times New Roman" w:hAnsi="Times New Roman" w:eastAsia="宋体" w:cs="Times New Roman"/>
                <w:szCs w:val="21"/>
                <w:highlight w:val="none"/>
              </w:rPr>
              <w:t>单价</w:t>
            </w:r>
          </w:p>
          <w:p>
            <w:pPr>
              <w:spacing w:line="480" w:lineRule="exact"/>
              <w:rPr>
                <w:rFonts w:ascii="Times New Roman" w:hAnsi="Times New Roman" w:eastAsia="宋体" w:cs="Times New Roman"/>
                <w:szCs w:val="21"/>
                <w:highlight w:val="none"/>
              </w:rPr>
            </w:pPr>
            <w:r>
              <w:rPr>
                <w:rFonts w:hint="eastAsia"/>
                <w:highlight w:val="none"/>
                <w:lang w:eastAsia="zh-CN"/>
              </w:rPr>
              <w:t>□</w:t>
            </w:r>
            <w:r>
              <w:rPr>
                <w:rFonts w:hint="eastAsia" w:ascii="Times New Roman" w:hAnsi="Times New Roman" w:eastAsia="宋体" w:cs="Times New Roman"/>
                <w:szCs w:val="21"/>
                <w:highlight w:val="none"/>
              </w:rPr>
              <w:t>固定</w:t>
            </w:r>
            <w:r>
              <w:rPr>
                <w:rFonts w:ascii="Times New Roman" w:hAnsi="Times New Roman" w:eastAsia="宋体" w:cs="Times New Roman"/>
                <w:szCs w:val="21"/>
                <w:highlight w:val="none"/>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3.2.</w:t>
            </w:r>
            <w:r>
              <w:rPr>
                <w:rFonts w:hint="eastAsia" w:ascii="Times New Roman" w:hAnsi="Times New Roman" w:eastAsia="宋体" w:cs="Times New Roman"/>
                <w:szCs w:val="21"/>
                <w:highlight w:val="none"/>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3.4.4</w:t>
            </w:r>
            <w:r>
              <w:rPr>
                <w:rFonts w:hint="eastAsia" w:ascii="Times New Roman" w:hAnsi="Times New Roman" w:eastAsia="宋体" w:cs="Times New Roman"/>
                <w:szCs w:val="21"/>
                <w:highlight w:val="none"/>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cs="Times New Roman"/>
                <w:highlight w:val="none"/>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highlight w:val="none"/>
              </w:rPr>
            </w:pPr>
            <w:r>
              <w:rPr>
                <w:rFonts w:hint="eastAsia" w:ascii="宋体" w:hAnsi="宋体" w:eastAsia="宋体" w:cs="宋体"/>
                <w:sz w:val="22"/>
                <w:szCs w:val="22"/>
                <w:highlight w:val="none"/>
              </w:rPr>
              <w:t>报</w:t>
            </w:r>
            <w:r>
              <w:rPr>
                <w:rFonts w:hint="eastAsia" w:ascii="宋体" w:hAnsi="宋体" w:eastAsia="宋体" w:cs="宋体"/>
                <w:sz w:val="21"/>
                <w:szCs w:val="21"/>
                <w:highlight w:val="none"/>
              </w:rPr>
              <w:t>价方出现以下情形的，其询价响应保证金将不予退还：</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报价方在规定的响应有效期内撤销其响应文件</w:t>
            </w:r>
            <w:r>
              <w:rPr>
                <w:rFonts w:hint="eastAsia" w:ascii="宋体" w:hAnsi="宋体" w:eastAsia="宋体" w:cs="宋体"/>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w:t>
            </w:r>
            <w:r>
              <w:rPr>
                <w:rFonts w:hint="eastAsia" w:ascii="宋体" w:hAnsi="宋体" w:eastAsia="宋体" w:cs="宋体"/>
                <w:sz w:val="21"/>
                <w:szCs w:val="21"/>
                <w:highlight w:val="none"/>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highlight w:val="none"/>
              </w:rPr>
            </w:pPr>
            <w:r>
              <w:rPr>
                <w:rFonts w:hint="eastAsia" w:ascii="Times New Roman" w:hAnsi="Times New Roman" w:cs="Times New Roman"/>
                <w:highlight w:val="none"/>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none"/>
                <w:u w:val="single"/>
              </w:rPr>
            </w:pPr>
            <w:r>
              <w:rPr>
                <w:rFonts w:hint="eastAsia" w:ascii="Times New Roman" w:hAnsi="Times New Roman" w:cs="Times New Roman"/>
                <w:highlight w:val="none"/>
              </w:rPr>
              <w:t>响应文件应</w:t>
            </w:r>
            <w:r>
              <w:rPr>
                <w:rFonts w:hint="eastAsia" w:ascii="Times New Roman" w:hAnsi="Times New Roman" w:cs="Times New Roman"/>
                <w:b w:val="0"/>
                <w:bCs w:val="0"/>
                <w:highlight w:val="none"/>
              </w:rPr>
              <w:t>胶装成册</w:t>
            </w:r>
            <w:r>
              <w:rPr>
                <w:rFonts w:hint="eastAsia" w:ascii="Times New Roman" w:hAnsi="Times New Roman" w:cs="Times New Roman"/>
                <w:b/>
                <w:bCs/>
                <w:highlight w:val="none"/>
              </w:rPr>
              <w:t>，</w:t>
            </w:r>
            <w:r>
              <w:rPr>
                <w:rFonts w:ascii="Times New Roman" w:hAnsi="Times New Roman" w:cs="Times New Roman"/>
                <w:highlight w:val="none"/>
              </w:rPr>
              <w:t>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副本各</w:t>
            </w:r>
            <w:r>
              <w:rPr>
                <w:rFonts w:ascii="Times New Roman" w:hAnsi="Times New Roman" w:cs="Times New Roman"/>
                <w:highlight w:val="none"/>
              </w:rPr>
              <w:t>一份。</w:t>
            </w:r>
            <w:r>
              <w:rPr>
                <w:rFonts w:hint="eastAsia" w:ascii="Times New Roman" w:hAnsi="Times New Roman" w:cs="Times New Roman"/>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highlight w:val="none"/>
              </w:rPr>
            </w:pPr>
            <w:r>
              <w:rPr>
                <w:rFonts w:hint="eastAsia" w:ascii="Times New Roman" w:hAnsi="Times New Roman" w:cs="Times New Roman"/>
                <w:highlight w:val="none"/>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highlight w:val="none"/>
              </w:rPr>
            </w:pPr>
            <w:r>
              <w:rPr>
                <w:rFonts w:hint="eastAsia" w:ascii="Times New Roman" w:hAnsi="Times New Roman" w:cs="Times New Roman"/>
                <w:b/>
                <w:bCs/>
                <w:highlight w:val="none"/>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none"/>
              </w:rPr>
            </w:pPr>
            <w:r>
              <w:rPr>
                <w:rFonts w:ascii="Times New Roman" w:hAnsi="Times New Roman" w:cs="Times New Roman"/>
                <w:highlight w:val="none"/>
              </w:rPr>
              <w:t>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highlight w:val="none"/>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highlight w:val="none"/>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响应文件第一信封（商务技术文件）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single"/>
                <w:lang w:val="en-US" w:eastAsia="zh-CN"/>
              </w:rPr>
              <w:t xml:space="preserve">    </w:t>
            </w:r>
            <w:r>
              <w:rPr>
                <w:rFonts w:hint="eastAsia" w:ascii="Times New Roman" w:hAnsi="Times New Roman" w:eastAsia="黑体" w:cs="黑体"/>
                <w:bCs/>
                <w:snapToGrid w:val="0"/>
                <w:kern w:val="0"/>
                <w:szCs w:val="21"/>
                <w:highlight w:val="none"/>
                <w:lang w:val="en-US" w:eastAsia="zh-CN"/>
              </w:rPr>
              <w:t>包</w:t>
            </w:r>
            <w:r>
              <w:rPr>
                <w:rFonts w:hint="eastAsia" w:ascii="Times New Roman" w:hAnsi="Times New Roman" w:eastAsia="黑体" w:cs="黑体"/>
                <w:bCs/>
                <w:snapToGrid w:val="0"/>
                <w:kern w:val="0"/>
                <w:szCs w:val="21"/>
                <w:highlight w:val="none"/>
                <w:u w:val="none"/>
                <w:lang w:val="en-US" w:eastAsia="zh-CN"/>
              </w:rPr>
              <w:t>第一信封（商务技术文件）</w:t>
            </w:r>
            <w:r>
              <w:rPr>
                <w:rFonts w:hint="eastAsia" w:ascii="Times New Roman" w:hAnsi="Times New Roman" w:eastAsia="黑体" w:cs="黑体"/>
                <w:bCs/>
                <w:snapToGrid w:val="0"/>
                <w:kern w:val="0"/>
                <w:szCs w:val="21"/>
                <w:highlight w:val="none"/>
              </w:rPr>
              <w:t>响应文件</w:t>
            </w:r>
          </w:p>
          <w:p>
            <w:pPr>
              <w:spacing w:line="440" w:lineRule="exact"/>
              <w:ind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在</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年</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月</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日</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时</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分（递交响应文件的截止时间）前不得开启</w:t>
            </w:r>
          </w:p>
          <w:p>
            <w:pPr>
              <w:spacing w:line="480" w:lineRule="exact"/>
              <w:rPr>
                <w:rFonts w:hint="eastAsia" w:ascii="Times New Roman" w:hAnsi="Times New Roman" w:cs="Times New Roman"/>
                <w:highlight w:val="none"/>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highlight w:val="none"/>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highlight w:val="none"/>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single"/>
                <w:lang w:val="en-US" w:eastAsia="zh-CN"/>
              </w:rPr>
              <w:t xml:space="preserve">    </w:t>
            </w:r>
            <w:r>
              <w:rPr>
                <w:rFonts w:hint="eastAsia" w:ascii="Times New Roman" w:hAnsi="Times New Roman" w:eastAsia="黑体" w:cs="黑体"/>
                <w:bCs/>
                <w:snapToGrid w:val="0"/>
                <w:kern w:val="0"/>
                <w:szCs w:val="21"/>
                <w:highlight w:val="none"/>
                <w:lang w:val="en-US" w:eastAsia="zh-CN"/>
              </w:rPr>
              <w:t>包</w:t>
            </w:r>
            <w:r>
              <w:rPr>
                <w:rFonts w:hint="eastAsia" w:ascii="Times New Roman" w:hAnsi="Times New Roman" w:eastAsia="黑体" w:cs="黑体"/>
                <w:bCs/>
                <w:snapToGrid w:val="0"/>
                <w:kern w:val="0"/>
                <w:szCs w:val="21"/>
                <w:highlight w:val="none"/>
                <w:u w:val="none"/>
                <w:lang w:val="en-US" w:eastAsia="zh-CN"/>
              </w:rPr>
              <w:t>第二信封（报价文件）</w:t>
            </w:r>
            <w:r>
              <w:rPr>
                <w:rFonts w:hint="eastAsia" w:ascii="Times New Roman" w:hAnsi="Times New Roman" w:eastAsia="黑体" w:cs="黑体"/>
                <w:bCs/>
                <w:snapToGrid w:val="0"/>
                <w:kern w:val="0"/>
                <w:szCs w:val="21"/>
                <w:highlight w:val="none"/>
              </w:rPr>
              <w:t>响应文件</w:t>
            </w:r>
          </w:p>
          <w:p>
            <w:pPr>
              <w:spacing w:line="440" w:lineRule="exact"/>
              <w:ind w:firstLine="420" w:firstLineChars="200"/>
              <w:jc w:val="both"/>
              <w:rPr>
                <w:rFonts w:hint="eastAsia" w:ascii="Times New Roman" w:hAnsi="Times New Roman" w:cs="Times New Roman"/>
                <w:highlight w:val="none"/>
              </w:rPr>
            </w:pPr>
            <w:r>
              <w:rPr>
                <w:rFonts w:hint="eastAsia" w:ascii="Times New Roman" w:hAnsi="Times New Roman" w:eastAsia="黑体" w:cs="黑体"/>
                <w:bCs/>
                <w:snapToGrid w:val="0"/>
                <w:kern w:val="0"/>
                <w:szCs w:val="21"/>
                <w:highlight w:val="none"/>
                <w:lang w:val="en-US" w:eastAsia="zh-CN"/>
              </w:rPr>
              <w:t>在第一信封开启</w:t>
            </w:r>
            <w:r>
              <w:rPr>
                <w:rFonts w:hint="eastAsia" w:ascii="Times New Roman" w:hAnsi="Times New Roman" w:eastAsia="黑体" w:cs="黑体"/>
                <w:bCs/>
                <w:snapToGrid w:val="0"/>
                <w:kern w:val="0"/>
                <w:szCs w:val="21"/>
                <w:highlight w:val="none"/>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（1）中标后，响应保证金自动转为履约保证金。</w:t>
            </w:r>
          </w:p>
          <w:p>
            <w:pPr>
              <w:snapToGrid w:val="0"/>
              <w:spacing w:line="480" w:lineRule="exact"/>
              <w:rPr>
                <w:highlight w:val="none"/>
              </w:rPr>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highlight w:val="none"/>
                <w:lang w:val="en-US" w:eastAsia="zh-CN"/>
              </w:rPr>
            </w:pPr>
            <w:r>
              <w:rPr>
                <w:rFonts w:hint="eastAsia"/>
                <w:highlight w:val="none"/>
                <w:lang w:val="en-US" w:eastAsia="zh-CN"/>
              </w:rPr>
              <w:t>投标人或其他利害关系人对评标结果有异议的，应以书面形式提出，异议材料应包括：</w:t>
            </w:r>
          </w:p>
          <w:p>
            <w:pPr>
              <w:snapToGrid w:val="0"/>
              <w:spacing w:line="480" w:lineRule="exact"/>
              <w:rPr>
                <w:rFonts w:hint="eastAsia"/>
                <w:highlight w:val="none"/>
                <w:lang w:val="en-US" w:eastAsia="zh-CN"/>
              </w:rPr>
            </w:pPr>
            <w:r>
              <w:rPr>
                <w:rFonts w:hint="eastAsia"/>
                <w:highlight w:val="none"/>
                <w:lang w:val="en-US" w:eastAsia="zh-CN"/>
              </w:rPr>
              <w:t>（1）异议人的名称、地址及有效联系方式；</w:t>
            </w:r>
          </w:p>
          <w:p>
            <w:pPr>
              <w:snapToGrid w:val="0"/>
              <w:spacing w:line="480" w:lineRule="exact"/>
              <w:rPr>
                <w:rFonts w:hint="eastAsia"/>
                <w:highlight w:val="none"/>
                <w:lang w:val="en-US" w:eastAsia="zh-CN"/>
              </w:rPr>
            </w:pPr>
            <w:r>
              <w:rPr>
                <w:rFonts w:hint="eastAsia"/>
                <w:highlight w:val="none"/>
                <w:lang w:val="en-US" w:eastAsia="zh-CN"/>
              </w:rPr>
              <w:t>（2）异议事项的基本事实；</w:t>
            </w:r>
          </w:p>
          <w:p>
            <w:pPr>
              <w:snapToGrid w:val="0"/>
              <w:spacing w:line="480" w:lineRule="exact"/>
              <w:rPr>
                <w:rFonts w:hint="eastAsia"/>
                <w:highlight w:val="none"/>
                <w:lang w:val="en-US" w:eastAsia="zh-CN"/>
              </w:rPr>
            </w:pPr>
            <w:r>
              <w:rPr>
                <w:rFonts w:hint="eastAsia"/>
                <w:highlight w:val="none"/>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highlight w:val="none"/>
                <w:lang w:val="en-US" w:eastAsia="zh-CN"/>
              </w:rPr>
            </w:pPr>
            <w:r>
              <w:rPr>
                <w:rFonts w:hint="eastAsia"/>
                <w:highlight w:val="none"/>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b/>
                <w:bCs/>
                <w:szCs w:val="21"/>
                <w:highlight w:val="none"/>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eastAsia"/>
                <w:highlight w:val="none"/>
                <w:lang w:val="en-US" w:eastAsia="zh-CN"/>
              </w:rPr>
            </w:pPr>
            <w:r>
              <w:rPr>
                <w:rFonts w:hint="eastAsia"/>
                <w:highlight w:val="none"/>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p>
            <w:pPr>
              <w:pStyle w:val="2"/>
              <w:spacing w:line="360" w:lineRule="auto"/>
              <w:ind w:firstLine="420" w:firstLineChars="200"/>
              <w:rPr>
                <w:rFonts w:hint="default" w:cstheme="minorBidi"/>
                <w:b/>
                <w:bCs/>
                <w:kern w:val="2"/>
                <w:sz w:val="21"/>
                <w:szCs w:val="24"/>
                <w:highlight w:val="none"/>
                <w:lang w:val="en-US" w:eastAsia="zh-CN" w:bidi="ar-SA"/>
              </w:rPr>
            </w:pPr>
            <w:r>
              <w:rPr>
                <w:rFonts w:hint="eastAsia" w:cstheme="minorBidi"/>
                <w:b/>
                <w:bCs/>
                <w:kern w:val="2"/>
                <w:sz w:val="21"/>
                <w:szCs w:val="24"/>
                <w:highlight w:val="none"/>
                <w:lang w:val="en-US" w:eastAsia="zh-CN" w:bidi="ar-SA"/>
              </w:rPr>
              <w:t>2</w:t>
            </w:r>
            <w:r>
              <w:rPr>
                <w:rFonts w:hint="eastAsia" w:asciiTheme="minorHAnsi" w:hAnsiTheme="minorHAnsi" w:eastAsiaTheme="minorEastAsia" w:cstheme="minorBidi"/>
                <w:b/>
                <w:bCs/>
                <w:kern w:val="2"/>
                <w:sz w:val="21"/>
                <w:szCs w:val="24"/>
                <w:highlight w:val="none"/>
                <w:lang w:val="en-US" w:eastAsia="zh-CN" w:bidi="ar-SA"/>
              </w:rPr>
              <w:t>.报价完全考虑</w:t>
            </w:r>
            <w:r>
              <w:rPr>
                <w:rFonts w:hint="eastAsia" w:cstheme="minorBidi"/>
                <w:b/>
                <w:bCs/>
                <w:kern w:val="2"/>
                <w:sz w:val="21"/>
                <w:szCs w:val="24"/>
                <w:highlight w:val="none"/>
                <w:lang w:val="en-US" w:eastAsia="zh-CN" w:bidi="ar-SA"/>
              </w:rPr>
              <w:t>报价</w:t>
            </w:r>
            <w:r>
              <w:rPr>
                <w:rFonts w:hint="eastAsia" w:asciiTheme="minorHAnsi" w:hAnsiTheme="minorHAnsi" w:eastAsiaTheme="minorEastAsia" w:cstheme="minorBidi"/>
                <w:b/>
                <w:bCs/>
                <w:kern w:val="2"/>
                <w:sz w:val="21"/>
                <w:szCs w:val="24"/>
                <w:highlight w:val="none"/>
                <w:lang w:val="en-US" w:eastAsia="zh-CN" w:bidi="ar-SA"/>
              </w:rPr>
              <w:t>清单</w:t>
            </w:r>
            <w:r>
              <w:rPr>
                <w:rFonts w:hint="eastAsia" w:cstheme="minorBidi"/>
                <w:b/>
                <w:bCs/>
                <w:kern w:val="2"/>
                <w:sz w:val="21"/>
                <w:szCs w:val="24"/>
                <w:highlight w:val="none"/>
                <w:lang w:val="en-US" w:eastAsia="zh-CN" w:bidi="ar-SA"/>
              </w:rPr>
              <w:t>要求</w:t>
            </w:r>
            <w:r>
              <w:rPr>
                <w:rFonts w:hint="eastAsia" w:asciiTheme="minorHAnsi" w:hAnsiTheme="minorHAnsi" w:eastAsiaTheme="minorEastAsia" w:cstheme="minorBidi"/>
                <w:b/>
                <w:bCs/>
                <w:kern w:val="2"/>
                <w:sz w:val="21"/>
                <w:szCs w:val="24"/>
                <w:highlight w:val="none"/>
                <w:lang w:val="en-US" w:eastAsia="zh-CN" w:bidi="ar-SA"/>
              </w:rPr>
              <w:t>内容</w:t>
            </w:r>
            <w:r>
              <w:rPr>
                <w:rFonts w:hint="eastAsia" w:cstheme="minorBidi"/>
                <w:b/>
                <w:bCs/>
                <w:kern w:val="2"/>
                <w:sz w:val="21"/>
                <w:szCs w:val="24"/>
                <w:highlight w:val="none"/>
                <w:lang w:val="en-US" w:eastAsia="zh-CN" w:bidi="ar-SA"/>
              </w:rPr>
              <w:t>，含清单内要求的品牌，材质，工艺，辅材等。</w:t>
            </w:r>
          </w:p>
          <w:p>
            <w:pPr>
              <w:spacing w:line="360" w:lineRule="auto"/>
              <w:ind w:firstLine="420" w:firstLineChars="200"/>
              <w:rPr>
                <w:rFonts w:hint="default" w:ascii="Times New Roman" w:eastAsia="宋体"/>
                <w:b/>
                <w:bCs/>
                <w:highlight w:val="none"/>
                <w:lang w:val="en-US" w:eastAsia="zh-CN"/>
              </w:rPr>
            </w:pPr>
            <w:r>
              <w:rPr>
                <w:rFonts w:hint="eastAsia" w:cstheme="minorBidi"/>
                <w:b/>
                <w:bCs/>
                <w:kern w:val="2"/>
                <w:sz w:val="21"/>
                <w:szCs w:val="24"/>
                <w:highlight w:val="none"/>
                <w:lang w:val="en-US" w:eastAsia="zh-CN" w:bidi="ar-SA"/>
              </w:rPr>
              <w:t>3.</w:t>
            </w:r>
            <w:r>
              <w:rPr>
                <w:rFonts w:hint="eastAsia" w:ascii="Times New Roman" w:eastAsia="宋体"/>
                <w:b/>
                <w:bCs/>
                <w:highlight w:val="none"/>
                <w:lang w:val="en-US" w:eastAsia="zh-CN"/>
              </w:rPr>
              <w:t>异常低价或不平衡报价，采购人有权做废标处理。</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highlight w:val="none"/>
                <w:lang w:val="en-US" w:eastAsia="zh-CN"/>
              </w:rPr>
            </w:pPr>
            <w:r>
              <w:rPr>
                <w:rFonts w:hint="eastAsia"/>
                <w:highlight w:val="none"/>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pPr>
        <w:rPr>
          <w:rFonts w:ascii="Times New Roman" w:hAnsi="Times New Roman" w:eastAsia="黑体" w:cs="Times New Roman"/>
          <w:bCs/>
          <w:sz w:val="24"/>
          <w:szCs w:val="32"/>
          <w:highlight w:val="none"/>
        </w:rPr>
      </w:pPr>
      <w:bookmarkStart w:id="49" w:name="_Toc26656938"/>
      <w:bookmarkStart w:id="50" w:name="_Toc9067720"/>
      <w:bookmarkStart w:id="51" w:name="_Toc14201207"/>
      <w:r>
        <w:rPr>
          <w:rFonts w:ascii="Times New Roman" w:hAnsi="Times New Roman" w:eastAsia="黑体" w:cs="Times New Roman"/>
          <w:bCs/>
          <w:sz w:val="24"/>
          <w:szCs w:val="32"/>
          <w:highlight w:val="none"/>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2"/>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pStyle w:val="2"/>
              <w:jc w:val="center"/>
              <w:rPr>
                <w:highlight w:val="none"/>
              </w:rPr>
            </w:pPr>
            <w:r>
              <w:rPr>
                <w:rFonts w:hint="eastAsia"/>
                <w:highlight w:val="none"/>
              </w:rPr>
              <w:t>至少提供1个自2021年1月1日以来，单项合同额不低于</w:t>
            </w:r>
            <w:r>
              <w:rPr>
                <w:rFonts w:hint="eastAsia"/>
                <w:highlight w:val="none"/>
                <w:lang w:eastAsia="zh-CN"/>
              </w:rPr>
              <w:t>30万元</w:t>
            </w:r>
            <w:r>
              <w:rPr>
                <w:rFonts w:hint="eastAsia"/>
                <w:highlight w:val="none"/>
              </w:rPr>
              <w:t>的灯具供应合同业绩</w:t>
            </w:r>
          </w:p>
        </w:tc>
      </w:tr>
    </w:tbl>
    <w:p>
      <w:pPr>
        <w:bidi w:val="0"/>
        <w:rPr>
          <w:rFonts w:hint="eastAsia"/>
          <w:highlight w:val="none"/>
          <w:lang w:val="en-US" w:eastAsia="zh-CN"/>
        </w:rPr>
      </w:pPr>
      <w:r>
        <w:rPr>
          <w:rFonts w:hint="eastAsia"/>
          <w:highlight w:val="none"/>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2"/>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highlight w:val="none"/>
              </w:rPr>
            </w:pPr>
            <w:r>
              <w:rPr>
                <w:rFonts w:hint="eastAsia"/>
                <w:highlight w:val="none"/>
              </w:rPr>
              <w:t>1.投标人、法定代表人近三年内无行贿犯罪行为。</w:t>
            </w:r>
          </w:p>
          <w:p>
            <w:pPr>
              <w:spacing w:line="276" w:lineRule="auto"/>
              <w:ind w:firstLine="210" w:firstLineChars="100"/>
              <w:jc w:val="left"/>
              <w:rPr>
                <w:rFonts w:hint="eastAsia"/>
                <w:highlight w:val="none"/>
              </w:rPr>
            </w:pPr>
            <w:r>
              <w:rPr>
                <w:rFonts w:hint="eastAsia"/>
                <w:highlight w:val="none"/>
              </w:rPr>
              <w:t>2.投标人未被人民法院列入失信被执行人（以“信用中国”官网http://www.creditchina.gov.cn查询为准）。</w:t>
            </w:r>
          </w:p>
          <w:p>
            <w:pPr>
              <w:spacing w:line="276" w:lineRule="auto"/>
              <w:ind w:firstLine="210" w:firstLineChars="100"/>
              <w:jc w:val="left"/>
              <w:rPr>
                <w:rFonts w:hint="eastAsia"/>
                <w:highlight w:val="none"/>
              </w:rPr>
            </w:pPr>
            <w:r>
              <w:rPr>
                <w:rFonts w:hint="eastAsia"/>
                <w:highlight w:val="none"/>
              </w:rPr>
              <w:t>3投标人没有正受到责令停业，暂扣或吊销执照，或吊销资质证书。</w:t>
            </w:r>
          </w:p>
          <w:p>
            <w:pPr>
              <w:spacing w:line="276" w:lineRule="auto"/>
              <w:ind w:firstLine="210" w:firstLineChars="100"/>
              <w:jc w:val="left"/>
              <w:rPr>
                <w:rFonts w:hint="eastAsia"/>
                <w:highlight w:val="none"/>
              </w:rPr>
            </w:pPr>
            <w:r>
              <w:rPr>
                <w:rFonts w:hint="eastAsia"/>
                <w:highlight w:val="none"/>
                <w:lang w:val="en-US" w:eastAsia="zh-CN"/>
              </w:rPr>
              <w:t>4</w:t>
            </w:r>
            <w:r>
              <w:rPr>
                <w:rFonts w:hint="eastAsia"/>
                <w:highlight w:val="none"/>
              </w:rPr>
              <w:t>.没有进入清算程序，或被宣告破产，或其他丧失履约能力的情形。</w:t>
            </w:r>
          </w:p>
          <w:p>
            <w:pPr>
              <w:spacing w:line="276" w:lineRule="auto"/>
              <w:ind w:firstLine="210" w:firstLineChars="100"/>
              <w:jc w:val="left"/>
              <w:rPr>
                <w:rFonts w:hint="eastAsia"/>
                <w:highlight w:val="none"/>
              </w:rPr>
            </w:pPr>
            <w:r>
              <w:rPr>
                <w:rFonts w:hint="eastAsia"/>
                <w:highlight w:val="none"/>
                <w:lang w:val="en-US" w:eastAsia="zh-CN"/>
              </w:rPr>
              <w:t>5</w:t>
            </w:r>
            <w:r>
              <w:rPr>
                <w:rFonts w:hint="eastAsia"/>
                <w:highlight w:val="none"/>
              </w:rPr>
              <w:t>.没有在国家企业信用信息公示系统（http://www.gsxt.gov.cn）中被列入严重违法失信企业名单。</w:t>
            </w:r>
          </w:p>
          <w:p>
            <w:pPr>
              <w:spacing w:line="276" w:lineRule="auto"/>
              <w:ind w:firstLine="210" w:firstLineChars="100"/>
              <w:jc w:val="left"/>
              <w:rPr>
                <w:rFonts w:hint="eastAsia"/>
                <w:highlight w:val="none"/>
              </w:rPr>
            </w:pPr>
            <w:r>
              <w:rPr>
                <w:rFonts w:hint="eastAsia"/>
                <w:highlight w:val="none"/>
                <w:lang w:val="en-US" w:eastAsia="zh-CN"/>
              </w:rPr>
              <w:t>6</w:t>
            </w:r>
            <w:r>
              <w:rPr>
                <w:rFonts w:hint="eastAsia"/>
                <w:highlight w:val="none"/>
              </w:rPr>
              <w:t>.没有法律法规规定的其他情形。</w:t>
            </w:r>
          </w:p>
          <w:p>
            <w:pPr>
              <w:pStyle w:val="30"/>
              <w:rPr>
                <w:rFonts w:hint="eastAsia"/>
                <w:highlight w:val="none"/>
              </w:rPr>
            </w:pPr>
          </w:p>
        </w:tc>
      </w:tr>
    </w:tbl>
    <w:p>
      <w:pPr>
        <w:pStyle w:val="30"/>
        <w:rPr>
          <w:rFonts w:ascii="Times New Roman" w:hAnsi="Times New Roman" w:eastAsia="黑体" w:cs="Times New Roman"/>
          <w:bCs/>
          <w:sz w:val="24"/>
          <w:szCs w:val="32"/>
          <w:highlight w:val="none"/>
        </w:rPr>
      </w:pPr>
    </w:p>
    <w:p>
      <w:pPr>
        <w:keepNext/>
        <w:keepLines/>
        <w:spacing w:before="156" w:beforeLines="50" w:after="156"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1.1 质量要求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rPr>
        <w:t>见供应商须知前附表。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要求：见供应商须知前附表</w:t>
      </w:r>
      <w:r>
        <w:rPr>
          <w:rFonts w:ascii="Times New Roman" w:hAnsi="Times New Roman" w:cs="Times New Roman"/>
          <w:szCs w:val="21"/>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p>
    <w:p>
      <w:pPr>
        <w:spacing w:line="440" w:lineRule="exact"/>
        <w:ind w:firstLine="420"/>
        <w:rPr>
          <w:rFonts w:hint="eastAsia" w:ascii="Times New Roman" w:hAnsi="Times New Roman" w:cs="Times New Roman"/>
          <w:szCs w:val="21"/>
          <w:highlight w:val="none"/>
        </w:rPr>
      </w:pPr>
      <w:r>
        <w:rPr>
          <w:rFonts w:hint="eastAsia" w:ascii="Times New Roman" w:hAnsi="Times New Roman" w:cs="Times New Roman"/>
          <w:szCs w:val="21"/>
          <w:highlight w:val="none"/>
        </w:rPr>
        <w:t>供应商准备和参加询比活动发生的费用自理。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r>
        <w:rPr>
          <w:rFonts w:hint="eastAsia" w:ascii="Times New Roman" w:hAnsi="Times New Roman" w:eastAsia="黑体" w:cs="Times New Roman"/>
          <w:bCs/>
          <w:sz w:val="24"/>
          <w:szCs w:val="32"/>
          <w:highlight w:val="none"/>
        </w:rPr>
        <w:t>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.2 响应文件存在“评审办法”中所列任一否决</w:t>
      </w:r>
      <w:r>
        <w:rPr>
          <w:rFonts w:hint="eastAsia" w:ascii="Times New Roman" w:hAnsi="Times New Roman" w:cs="Times New Roman"/>
          <w:highlight w:val="none"/>
        </w:rPr>
        <w:t>响应文件</w:t>
      </w:r>
      <w:r>
        <w:rPr>
          <w:rFonts w:ascii="Times New Roman" w:hAnsi="Times New Roman" w:cs="Times New Roman"/>
          <w:highlight w:val="none"/>
        </w:rPr>
        <w:t>情形的，均属于存在重大偏差</w:t>
      </w:r>
      <w:r>
        <w:rPr>
          <w:rFonts w:hint="eastAsia" w:ascii="Times New Roman" w:hAnsi="Times New Roman" w:cs="Times New Roman"/>
          <w:highlight w:val="none"/>
        </w:rPr>
        <w:t>，响应文件将被否决</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询比文件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询比文件的组成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pPr>
        <w:spacing w:line="440" w:lineRule="exact"/>
        <w:ind w:firstLine="420"/>
        <w:rPr>
          <w:rFonts w:hint="eastAsia" w:ascii="Times New Roman" w:hAnsi="Times New Roman" w:eastAsia="宋体" w:cs="Times New Roman"/>
          <w:highlight w:val="none"/>
          <w:lang w:eastAsia="zh-CN"/>
        </w:rPr>
      </w:pPr>
      <w:r>
        <w:rPr>
          <w:rFonts w:ascii="Times New Roman" w:hAnsi="Times New Roman" w:cs="Times New Roman"/>
          <w:highlight w:val="none"/>
        </w:rPr>
        <w:t>（4）合同内容</w:t>
      </w:r>
      <w:r>
        <w:rPr>
          <w:rFonts w:hint="eastAsia" w:ascii="Times New Roman" w:hAnsi="Times New Roman" w:eastAsia="宋体" w:cs="Times New Roman"/>
          <w:highlight w:val="none"/>
          <w:lang w:eastAsia="zh-CN"/>
        </w:rPr>
        <w:t>；</w:t>
      </w:r>
    </w:p>
    <w:p>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供货要求</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6</w:t>
      </w:r>
      <w:r>
        <w:rPr>
          <w:rFonts w:ascii="Times New Roman" w:hAnsi="Times New Roman" w:cs="Times New Roman"/>
          <w:highlight w:val="none"/>
        </w:rPr>
        <w:t>）采购需求及清单；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7</w:t>
      </w:r>
      <w:r>
        <w:rPr>
          <w:rFonts w:ascii="Times New Roman" w:hAnsi="Times New Roman" w:cs="Times New Roman"/>
          <w:highlight w:val="none"/>
        </w:rPr>
        <w:t>）响应文件格式</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根据本章对询比文件所作的澄清、修改，构成询比文件的组成部分。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询比文件的澄清</w:t>
      </w:r>
      <w:r>
        <w:rPr>
          <w:rFonts w:hint="eastAsia" w:ascii="Times New Roman" w:hAnsi="Times New Roman" w:eastAsia="黑体" w:cs="Times New Roman"/>
          <w:bCs/>
          <w:sz w:val="24"/>
          <w:szCs w:val="32"/>
          <w:highlight w:val="none"/>
        </w:rPr>
        <w:t>与修改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xml:space="preserve"> </w:t>
      </w:r>
      <w:r>
        <w:rPr>
          <w:rFonts w:ascii="Times New Roman" w:hAnsi="Times New Roman" w:cs="Times New Roman"/>
          <w:highlight w:val="none"/>
        </w:rPr>
        <w:t>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highlight w:val="none"/>
          <w:lang w:eastAsia="zh-CN"/>
        </w:rPr>
        <w:t>“安徽交控建设工程集团有限公司</w:t>
      </w:r>
      <w:r>
        <w:rPr>
          <w:rFonts w:hint="eastAsia" w:ascii="Times New Roman" w:hAnsi="Times New Roman" w:cs="Times New Roman"/>
          <w:highlight w:val="none"/>
          <w:lang w:val="en-US" w:eastAsia="zh-CN"/>
        </w:rPr>
        <w:t>”官网平台联系采购人</w:t>
      </w:r>
      <w:r>
        <w:rPr>
          <w:rFonts w:ascii="Times New Roman" w:hAnsi="Times New Roman" w:cs="Times New Roman"/>
          <w:highlight w:val="none"/>
        </w:rPr>
        <w:t>对询比文件予以澄清</w:t>
      </w:r>
      <w:r>
        <w:rPr>
          <w:rFonts w:hint="eastAsia" w:ascii="Times New Roman" w:hAnsi="Times New Roman" w:cs="Times New Roman"/>
          <w:highlight w:val="none"/>
        </w:rPr>
        <w:t>或修改</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响应文件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3.1响应文件的组成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p>
    <w:p>
      <w:pPr>
        <w:spacing w:line="440" w:lineRule="exact"/>
        <w:ind w:firstLine="42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供应商应按第六章“响应文件格式”的要求在报价函中进行报价并填写工程量清单相应表格</w:t>
      </w:r>
      <w:r>
        <w:rPr>
          <w:rFonts w:hint="eastAsia" w:ascii="Times New Roman" w:hAnsi="Times New Roman" w:cs="Times New Roman"/>
          <w:highlight w:val="none"/>
          <w:lang w:val="en-US"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为</w:t>
      </w:r>
      <w:r>
        <w:rPr>
          <w:rFonts w:hint="eastAsia" w:ascii="Times New Roman" w:hAnsi="Times New Roman" w:cs="Times New Roman"/>
          <w:highlight w:val="none"/>
          <w:u w:val="single"/>
        </w:rPr>
        <w:t xml:space="preserve">  见供应商须知前附表  </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szCs w:val="21"/>
          <w:highlight w:val="none"/>
        </w:rPr>
        <w:t>见供应商须知前附表</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3.3响应有效期</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3.4响应保证金</w:t>
      </w:r>
    </w:p>
    <w:p>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的要求</w:t>
      </w:r>
      <w:r>
        <w:rPr>
          <w:rFonts w:ascii="Times New Roman" w:hAnsi="Times New Roman" w:cs="Times New Roman"/>
          <w:highlight w:val="none"/>
        </w:rPr>
        <w:t>递交响应保证金，并作为其响应文件的组成部分。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w:t>
      </w:r>
      <w:r>
        <w:rPr>
          <w:rFonts w:hint="eastAsia" w:ascii="Times New Roman" w:hAnsi="Times New Roman" w:cs="Times New Roman"/>
          <w:highlight w:val="none"/>
        </w:rPr>
        <w:t>评审小组</w:t>
      </w:r>
      <w:r>
        <w:rPr>
          <w:rFonts w:ascii="Times New Roman" w:hAnsi="Times New Roman" w:cs="Times New Roman"/>
          <w:highlight w:val="none"/>
        </w:rPr>
        <w:t>将否决其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szCs w:val="21"/>
          <w:highlight w:val="none"/>
        </w:rPr>
        <w:t>供应商须知前附表规定的</w:t>
      </w:r>
      <w:r>
        <w:rPr>
          <w:rFonts w:ascii="Times New Roman" w:hAnsi="Times New Roman" w:cs="Times New Roman"/>
          <w:szCs w:val="21"/>
          <w:highlight w:val="none"/>
        </w:rPr>
        <w:t>其他情形</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3.5资格审查资料</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w:t>
      </w:r>
      <w:r>
        <w:rPr>
          <w:rFonts w:hint="eastAsia" w:ascii="Times New Roman" w:hAnsi="Times New Roman" w:cs="Times New Roman"/>
          <w:highlight w:val="none"/>
        </w:rPr>
        <w:t>能力、</w:t>
      </w:r>
      <w:r>
        <w:rPr>
          <w:rFonts w:ascii="Times New Roman" w:hAnsi="Times New Roman" w:cs="Times New Roman"/>
          <w:highlight w:val="none"/>
        </w:rPr>
        <w:t>信誉等要求。</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响应文件应按“响应文件格式”进行编写，如有必要，可以增加附页，作为响应文件的组成部分。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响应文件应当对询比文件有关工期、响应有效期、质量要求、技术标准和要求、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imes New Roman" w:hAnsi="Times New Roman" w:cs="Times New Roman"/>
          <w:highlight w:val="none"/>
        </w:rPr>
        <w:t>响应文件</w:t>
      </w:r>
      <w:r>
        <w:rPr>
          <w:rFonts w:ascii="Times New Roman" w:hAnsi="Times New Roman" w:cs="Times New Roman"/>
          <w:highlight w:val="none"/>
        </w:rPr>
        <w:t>格式”的要求进行</w:t>
      </w:r>
      <w:r>
        <w:rPr>
          <w:rFonts w:hint="eastAsia" w:ascii="Times New Roman" w:hAnsi="Times New Roman" w:cs="Times New Roman"/>
          <w:highlight w:val="none"/>
        </w:rPr>
        <w:t>签名</w:t>
      </w:r>
      <w:r>
        <w:rPr>
          <w:rFonts w:ascii="Times New Roman" w:hAnsi="Times New Roman" w:cs="Times New Roman"/>
          <w:highlight w:val="none"/>
        </w:rPr>
        <w:t>和（或）盖章。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（2）</w:t>
      </w:r>
      <w:r>
        <w:rPr>
          <w:rFonts w:hint="eastAsia" w:ascii="Times New Roman" w:hAnsi="Times New Roman" w:cs="Times New Roman"/>
          <w:highlight w:val="none"/>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 响应文件的递交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4.1响应文件的密封和标记</w:t>
      </w:r>
    </w:p>
    <w:p>
      <w:pPr>
        <w:spacing w:line="440" w:lineRule="exact"/>
        <w:ind w:firstLine="420"/>
        <w:rPr>
          <w:rFonts w:hint="eastAsia" w:ascii="Times New Roman" w:hAnsi="Times New Roman" w:cs="Times New Roman"/>
          <w:highlight w:val="none"/>
          <w:lang w:val="en-US" w:eastAsia="zh-CN"/>
        </w:rPr>
      </w:pPr>
      <w:r>
        <w:rPr>
          <w:rFonts w:ascii="Times New Roman" w:hAnsi="Times New Roman" w:cs="Times New Roman"/>
          <w:highlight w:val="none"/>
        </w:rPr>
        <w:t>4.1.1响应文件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第一信封（商务技术文件）与第二信封（报价文件）分开密封。</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响应文件第一信封（商务技术文件）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single"/>
          <w:lang w:val="en-US" w:eastAsia="zh-CN"/>
        </w:rPr>
        <w:t xml:space="preserve">    </w:t>
      </w:r>
      <w:r>
        <w:rPr>
          <w:rFonts w:hint="eastAsia" w:ascii="Times New Roman" w:hAnsi="Times New Roman" w:eastAsia="黑体" w:cs="黑体"/>
          <w:bCs/>
          <w:snapToGrid w:val="0"/>
          <w:kern w:val="0"/>
          <w:szCs w:val="21"/>
          <w:highlight w:val="none"/>
          <w:lang w:val="en-US" w:eastAsia="zh-CN"/>
        </w:rPr>
        <w:t>包</w:t>
      </w:r>
      <w:r>
        <w:rPr>
          <w:rFonts w:hint="eastAsia" w:ascii="Times New Roman" w:hAnsi="Times New Roman" w:eastAsia="黑体" w:cs="黑体"/>
          <w:bCs/>
          <w:snapToGrid w:val="0"/>
          <w:kern w:val="0"/>
          <w:szCs w:val="21"/>
          <w:highlight w:val="none"/>
          <w:u w:val="none"/>
          <w:lang w:val="en-US" w:eastAsia="zh-CN"/>
        </w:rPr>
        <w:t>第一信封（商务技术文件）</w:t>
      </w:r>
      <w:r>
        <w:rPr>
          <w:rFonts w:hint="eastAsia" w:ascii="Times New Roman" w:hAnsi="Times New Roman" w:eastAsia="黑体" w:cs="黑体"/>
          <w:bCs/>
          <w:snapToGrid w:val="0"/>
          <w:kern w:val="0"/>
          <w:szCs w:val="21"/>
          <w:highlight w:val="none"/>
        </w:rPr>
        <w:t>响应文件</w:t>
      </w:r>
    </w:p>
    <w:p>
      <w:pPr>
        <w:spacing w:line="440" w:lineRule="exact"/>
        <w:ind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在</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年</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月</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日</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时</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分（递交响应文件的截止时间）前不得开启</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single"/>
          <w:lang w:val="en-US" w:eastAsia="zh-CN"/>
        </w:rPr>
        <w:t xml:space="preserve">    </w:t>
      </w:r>
      <w:r>
        <w:rPr>
          <w:rFonts w:hint="eastAsia" w:ascii="Times New Roman" w:hAnsi="Times New Roman" w:eastAsia="黑体" w:cs="黑体"/>
          <w:bCs/>
          <w:snapToGrid w:val="0"/>
          <w:kern w:val="0"/>
          <w:szCs w:val="21"/>
          <w:highlight w:val="none"/>
          <w:lang w:val="en-US" w:eastAsia="zh-CN"/>
        </w:rPr>
        <w:t>包</w:t>
      </w:r>
      <w:r>
        <w:rPr>
          <w:rFonts w:hint="eastAsia" w:ascii="Times New Roman" w:hAnsi="Times New Roman" w:eastAsia="黑体" w:cs="黑体"/>
          <w:bCs/>
          <w:snapToGrid w:val="0"/>
          <w:kern w:val="0"/>
          <w:szCs w:val="21"/>
          <w:highlight w:val="none"/>
          <w:u w:val="none"/>
          <w:lang w:val="en-US" w:eastAsia="zh-CN"/>
        </w:rPr>
        <w:t>第二信封（报价文件）</w:t>
      </w:r>
      <w:r>
        <w:rPr>
          <w:rFonts w:hint="eastAsia" w:ascii="Times New Roman" w:hAnsi="Times New Roman" w:eastAsia="黑体" w:cs="黑体"/>
          <w:bCs/>
          <w:snapToGrid w:val="0"/>
          <w:kern w:val="0"/>
          <w:szCs w:val="21"/>
          <w:highlight w:val="none"/>
        </w:rPr>
        <w:t>响应文件</w:t>
      </w:r>
    </w:p>
    <w:p>
      <w:pPr>
        <w:spacing w:line="440" w:lineRule="exact"/>
        <w:ind w:firstLine="420" w:firstLineChars="200"/>
        <w:jc w:val="both"/>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lang w:val="en-US" w:eastAsia="zh-CN"/>
        </w:rPr>
        <w:t>在第一信封开启</w:t>
      </w:r>
      <w:r>
        <w:rPr>
          <w:rFonts w:hint="eastAsia" w:ascii="Times New Roman" w:hAnsi="Times New Roman" w:eastAsia="黑体" w:cs="黑体"/>
          <w:bCs/>
          <w:snapToGrid w:val="0"/>
          <w:kern w:val="0"/>
          <w:szCs w:val="21"/>
          <w:highlight w:val="none"/>
        </w:rPr>
        <w:t>前不得开启</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4.1.2</w:t>
      </w:r>
      <w:r>
        <w:rPr>
          <w:rFonts w:ascii="Times New Roman" w:hAnsi="Times New Roman"/>
          <w:highlight w:val="none"/>
        </w:rPr>
        <w:t>未按本章第4.1.1项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的规定递交响应文件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 启封</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的规定进行启封</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highlight w:val="none"/>
        </w:rPr>
        <w:t>（3）</w:t>
      </w:r>
      <w:r>
        <w:rPr>
          <w:rFonts w:hint="eastAsia" w:ascii="Times New Roman" w:hAnsi="Times New Roman" w:cs="Times New Roman"/>
          <w:bCs/>
          <w:highlight w:val="none"/>
          <w:lang w:val="en-US" w:eastAsia="zh-CN"/>
        </w:rPr>
        <w:t>开启商务技术文件</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highlight w:val="none"/>
          <w:lang w:val="en-US" w:eastAsia="zh-CN"/>
        </w:rPr>
      </w:pPr>
      <w:r>
        <w:rPr>
          <w:rFonts w:ascii="Times New Roman" w:hAnsi="Times New Roman" w:cs="Times New Roman"/>
          <w:bCs/>
          <w:highlight w:val="none"/>
        </w:rPr>
        <w:t>（</w:t>
      </w:r>
      <w:r>
        <w:rPr>
          <w:rFonts w:hint="eastAsia" w:ascii="Times New Roman" w:hAnsi="Times New Roman" w:cs="Times New Roman"/>
          <w:bCs/>
          <w:highlight w:val="none"/>
        </w:rPr>
        <w:t>4</w:t>
      </w:r>
      <w:r>
        <w:rPr>
          <w:rFonts w:ascii="Times New Roman" w:hAnsi="Times New Roman" w:cs="Times New Roman"/>
          <w:bCs/>
          <w:highlight w:val="none"/>
        </w:rPr>
        <w:t>）</w:t>
      </w:r>
      <w:r>
        <w:rPr>
          <w:rFonts w:hint="eastAsia" w:ascii="Times New Roman" w:hAnsi="Times New Roman" w:cs="Times New Roman"/>
          <w:bCs/>
          <w:highlight w:val="none"/>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bCs/>
          <w:highlight w:val="none"/>
        </w:rPr>
        <w:t>（</w:t>
      </w:r>
      <w:r>
        <w:rPr>
          <w:rFonts w:hint="eastAsia" w:ascii="Times New Roman" w:hAnsi="Times New Roman" w:cs="Times New Roman"/>
          <w:bCs/>
          <w:highlight w:val="none"/>
        </w:rPr>
        <w:t>5</w:t>
      </w:r>
      <w:r>
        <w:rPr>
          <w:rFonts w:ascii="Times New Roman" w:hAnsi="Times New Roman" w:cs="Times New Roman"/>
          <w:bCs/>
          <w:highlight w:val="none"/>
        </w:rPr>
        <w:t>）</w:t>
      </w:r>
      <w:r>
        <w:rPr>
          <w:rFonts w:hint="eastAsia" w:ascii="Times New Roman" w:hAnsi="Times New Roman" w:cs="Times New Roman"/>
          <w:bCs/>
          <w:highlight w:val="none"/>
        </w:rPr>
        <w:t>启封</w:t>
      </w:r>
      <w:r>
        <w:rPr>
          <w:rFonts w:ascii="Times New Roman" w:hAnsi="Times New Roman" w:cs="Times New Roman"/>
          <w:highlight w:val="none"/>
        </w:rPr>
        <w:t>结束</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 评审</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6.1</w:t>
      </w:r>
      <w:r>
        <w:rPr>
          <w:rFonts w:hint="eastAsia" w:ascii="Times New Roman" w:hAnsi="Times New Roman" w:eastAsia="黑体" w:cs="Times New Roman"/>
          <w:bCs/>
          <w:sz w:val="24"/>
          <w:szCs w:val="32"/>
          <w:highlight w:val="none"/>
        </w:rPr>
        <w:t>评审小组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 合同授予</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采用公开询比方式采购的项目，公示期不得少于</w:t>
      </w:r>
      <w:r>
        <w:rPr>
          <w:rFonts w:hint="eastAsia" w:ascii="Times New Roman" w:hAnsi="Times New Roman" w:cs="Times New Roman"/>
          <w:highlight w:val="none"/>
        </w:rPr>
        <w:t>3</w:t>
      </w:r>
      <w:r>
        <w:rPr>
          <w:rFonts w:ascii="Times New Roman" w:hAnsi="Times New Roman" w:cs="Times New Roman"/>
          <w:highlight w:val="none"/>
        </w:rPr>
        <w:t>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按照询比文件规定的标准和方法进行审查确认。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7.4履约保证金</w:t>
      </w:r>
    </w:p>
    <w:p>
      <w:pPr>
        <w:rPr>
          <w:rFonts w:hint="default" w:ascii="宋体" w:hAnsi="宋体" w:eastAsia="宋体" w:cs="宋体"/>
          <w:kern w:val="2"/>
          <w:sz w:val="21"/>
          <w:szCs w:val="21"/>
          <w:highlight w:val="none"/>
          <w:lang w:val="en-US" w:eastAsia="zh-CN" w:bidi="ar-SA"/>
        </w:rPr>
      </w:pPr>
      <w:r>
        <w:rPr>
          <w:rFonts w:ascii="Times New Roman" w:hAnsi="Times New Roman" w:cs="Times New Roman"/>
          <w:highlight w:val="none"/>
        </w:rPr>
        <w:t>7.4.1</w:t>
      </w:r>
      <w:r>
        <w:rPr>
          <w:rFonts w:hint="eastAsia" w:ascii="宋体" w:hAnsi="宋体" w:eastAsia="宋体" w:cs="宋体"/>
          <w:kern w:val="2"/>
          <w:sz w:val="21"/>
          <w:szCs w:val="21"/>
          <w:highlight w:val="none"/>
          <w:lang w:val="en-US" w:eastAsia="zh-CN" w:bidi="ar-SA"/>
        </w:rPr>
        <w:t>中标后，响应保证金自动转为履约保证金。</w:t>
      </w:r>
    </w:p>
    <w:p>
      <w:pPr>
        <w:spacing w:line="440" w:lineRule="exact"/>
        <w:ind w:firstLine="420"/>
        <w:rPr>
          <w:rFonts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7.5签订合同</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8. 纪律和监督</w:t>
      </w:r>
    </w:p>
    <w:p>
      <w:pPr>
        <w:keepNext/>
        <w:keepLines/>
        <w:spacing w:before="120" w:after="120"/>
        <w:outlineLvl w:val="2"/>
        <w:rPr>
          <w:rFonts w:hint="eastAsia"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lang w:val="en-US" w:eastAsia="zh-CN"/>
        </w:rPr>
        <w:t xml:space="preserve">8.1 </w:t>
      </w:r>
      <w:r>
        <w:rPr>
          <w:rFonts w:hint="eastAsia" w:ascii="Times New Roman" w:hAnsi="Times New Roman" w:eastAsia="黑体" w:cs="Times New Roman"/>
          <w:bCs/>
          <w:sz w:val="24"/>
          <w:szCs w:val="32"/>
          <w:highlight w:val="none"/>
        </w:rPr>
        <w:t>对</w:t>
      </w:r>
      <w:r>
        <w:rPr>
          <w:rFonts w:hint="eastAsia" w:ascii="Times New Roman" w:hAnsi="Times New Roman" w:eastAsia="黑体" w:cs="Times New Roman"/>
          <w:bCs/>
          <w:sz w:val="24"/>
          <w:szCs w:val="32"/>
          <w:highlight w:val="none"/>
          <w:lang w:eastAsia="zh-CN"/>
        </w:rPr>
        <w:t>采购</w:t>
      </w:r>
      <w:r>
        <w:rPr>
          <w:rFonts w:hint="eastAsia" w:ascii="Times New Roman" w:hAnsi="Times New Roman" w:eastAsia="黑体" w:cs="Times New Roman"/>
          <w:bCs/>
          <w:sz w:val="24"/>
          <w:szCs w:val="32"/>
          <w:highlight w:val="none"/>
        </w:rPr>
        <w:t>人的纪律要求</w:t>
      </w:r>
    </w:p>
    <w:p>
      <w:pPr>
        <w:spacing w:line="440" w:lineRule="exact"/>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采购</w:t>
      </w:r>
      <w:r>
        <w:rPr>
          <w:rFonts w:hint="eastAsia" w:ascii="Times New Roman" w:hAnsi="Times New Roman" w:cs="Times New Roman"/>
          <w:highlight w:val="none"/>
        </w:rPr>
        <w:t>人不得泄露</w:t>
      </w:r>
      <w:r>
        <w:rPr>
          <w:rFonts w:hint="eastAsia" w:ascii="Times New Roman" w:hAnsi="Times New Roman" w:cs="Times New Roman"/>
          <w:highlight w:val="none"/>
          <w:lang w:eastAsia="zh-CN"/>
        </w:rPr>
        <w:t>采购</w:t>
      </w:r>
      <w:r>
        <w:rPr>
          <w:rFonts w:hint="eastAsia" w:ascii="Times New Roman" w:hAnsi="Times New Roman" w:cs="Times New Roman"/>
          <w:highlight w:val="none"/>
        </w:rPr>
        <w:t>活动中应当保密的情况和资料， 不得与</w:t>
      </w:r>
      <w:r>
        <w:rPr>
          <w:rFonts w:hint="eastAsia" w:ascii="Times New Roman" w:hAnsi="Times New Roman" w:cs="Times New Roman"/>
          <w:highlight w:val="none"/>
          <w:lang w:eastAsia="zh-CN"/>
        </w:rPr>
        <w:t>响应供应商</w:t>
      </w:r>
      <w:r>
        <w:rPr>
          <w:rFonts w:hint="eastAsia" w:ascii="Times New Roman" w:hAnsi="Times New Roman" w:cs="Times New Roman"/>
          <w:highlight w:val="none"/>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8.2对响应供应商的纪律要求</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8.3 对评审小组成员的纪律要求</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成员不得收受他人的财物或者其他好处，不得向他人透露对</w:t>
      </w:r>
      <w:r>
        <w:rPr>
          <w:rFonts w:hint="eastAsia" w:ascii="Times New Roman" w:hAnsi="Times New Roman" w:cs="Times New Roman"/>
          <w:highlight w:val="none"/>
          <w:lang w:eastAsia="zh-CN"/>
        </w:rPr>
        <w:t>响应</w:t>
      </w:r>
      <w:r>
        <w:rPr>
          <w:rFonts w:hint="eastAsia" w:ascii="Times New Roman" w:hAnsi="Times New Roman" w:cs="Times New Roman"/>
          <w:highlight w:val="none"/>
        </w:rPr>
        <w:t>文件的评审和比较、中标候选人的推荐情况以及</w:t>
      </w:r>
      <w:r>
        <w:rPr>
          <w:rFonts w:hint="eastAsia" w:ascii="Times New Roman" w:hAnsi="Times New Roman" w:cs="Times New Roman"/>
          <w:highlight w:val="none"/>
          <w:lang w:eastAsia="zh-CN"/>
        </w:rPr>
        <w:t>评审</w:t>
      </w:r>
      <w:r>
        <w:rPr>
          <w:rFonts w:hint="eastAsia" w:ascii="Times New Roman" w:hAnsi="Times New Roman" w:cs="Times New Roman"/>
          <w:highlight w:val="none"/>
        </w:rPr>
        <w:t>有关的其他情况。在</w:t>
      </w:r>
      <w:r>
        <w:rPr>
          <w:rFonts w:hint="eastAsia" w:ascii="Times New Roman" w:hAnsi="Times New Roman" w:cs="Times New Roman"/>
          <w:highlight w:val="none"/>
          <w:lang w:eastAsia="zh-CN"/>
        </w:rPr>
        <w:t>评审</w:t>
      </w:r>
      <w:r>
        <w:rPr>
          <w:rFonts w:hint="eastAsia" w:ascii="Times New Roman" w:hAnsi="Times New Roman" w:cs="Times New Roman"/>
          <w:highlight w:val="none"/>
        </w:rPr>
        <w:t>活动中，</w:t>
      </w: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成员应当客观、公正地履行职责，遵守职业道德，不得擅离职守，影响评标程序正常进行，不得使用第三章“</w:t>
      </w:r>
      <w:r>
        <w:rPr>
          <w:rFonts w:hint="eastAsia" w:ascii="Times New Roman" w:hAnsi="Times New Roman" w:cs="Times New Roman"/>
          <w:highlight w:val="none"/>
          <w:lang w:eastAsia="zh-CN"/>
        </w:rPr>
        <w:t>评审</w:t>
      </w:r>
      <w:r>
        <w:rPr>
          <w:rFonts w:hint="eastAsia" w:ascii="Times New Roman" w:hAnsi="Times New Roman" w:cs="Times New Roman"/>
          <w:highlight w:val="none"/>
        </w:rPr>
        <w:t>办法”没有规定的评审因素和标准进行</w:t>
      </w:r>
      <w:r>
        <w:rPr>
          <w:rFonts w:hint="eastAsia" w:ascii="Times New Roman" w:hAnsi="Times New Roman" w:cs="Times New Roman"/>
          <w:highlight w:val="none"/>
          <w:lang w:eastAsia="zh-CN"/>
        </w:rPr>
        <w:t>评审</w:t>
      </w:r>
      <w:r>
        <w:rPr>
          <w:rFonts w:hint="eastAsia"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rPr>
        <w:t xml:space="preserve">9. </w:t>
      </w:r>
      <w:r>
        <w:rPr>
          <w:rFonts w:ascii="Times New Roman" w:hAnsi="Times New Roman" w:eastAsia="黑体" w:cs="Times New Roman"/>
          <w:bCs/>
          <w:sz w:val="24"/>
          <w:szCs w:val="32"/>
          <w:highlight w:val="none"/>
        </w:rPr>
        <w:t>需要补充的其他内容</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需要补充的其他内容：见供应商须知前附表。</w:t>
      </w:r>
    </w:p>
    <w:bookmarkEnd w:id="49"/>
    <w:bookmarkEnd w:id="50"/>
    <w:bookmarkEnd w:id="51"/>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br w:type="page"/>
      </w:r>
    </w:p>
    <w:p>
      <w:pPr>
        <w:pStyle w:val="3"/>
        <w:spacing w:before="312" w:after="312"/>
        <w:rPr>
          <w:rFonts w:ascii="Times New Roman" w:hAnsi="Times New Roman" w:eastAsia="宋体" w:cs="Times New Roman"/>
          <w:highlight w:val="none"/>
        </w:rPr>
      </w:pPr>
      <w:bookmarkStart w:id="52" w:name="_Toc2394"/>
      <w:r>
        <w:rPr>
          <w:rFonts w:ascii="Times New Roman" w:hAnsi="Times New Roman" w:eastAsia="宋体" w:cs="Times New Roman"/>
          <w:highlight w:val="none"/>
        </w:rPr>
        <w:t>评审办法</w:t>
      </w:r>
      <w:bookmarkEnd w:id="52"/>
    </w:p>
    <w:p>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152045528"/>
      <w:bookmarkStart w:id="54" w:name="_Toc457482536"/>
      <w:bookmarkStart w:id="55" w:name="_Toc447808662"/>
      <w:bookmarkStart w:id="56" w:name="_Toc3834"/>
      <w:bookmarkStart w:id="57" w:name="_Toc152042304"/>
      <w:bookmarkStart w:id="58" w:name="_Toc14847"/>
      <w:bookmarkStart w:id="59" w:name="_Toc144974496"/>
      <w:r>
        <w:rPr>
          <w:rFonts w:hint="eastAsia" w:ascii="宋体" w:hAnsi="宋体" w:eastAsia="宋体"/>
          <w:b/>
          <w:bCs/>
          <w:szCs w:val="28"/>
          <w:highlight w:val="none"/>
        </w:rPr>
        <w:t>前附表</w:t>
      </w:r>
      <w:bookmarkEnd w:id="53"/>
      <w:bookmarkEnd w:id="54"/>
      <w:bookmarkEnd w:id="55"/>
      <w:bookmarkEnd w:id="56"/>
      <w:bookmarkEnd w:id="57"/>
      <w:bookmarkEnd w:id="58"/>
      <w:bookmarkEnd w:id="59"/>
      <w:r>
        <w:rPr>
          <w:rFonts w:hint="eastAsia" w:ascii="宋体" w:hAnsi="宋体" w:eastAsia="宋体"/>
          <w:b/>
          <w:bCs/>
          <w:szCs w:val="28"/>
          <w:highlight w:val="none"/>
        </w:rPr>
        <w:t>A</w:t>
      </w: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）投标文件按照采购文件规定的格式、内容填写，字迹清晰可辨：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a.</w:t>
            </w:r>
            <w:r>
              <w:rPr>
                <w:rFonts w:hint="eastAsia" w:ascii="宋体" w:hAnsi="宋体" w:eastAsia="宋体" w:cs="宋体"/>
                <w:color w:val="000000"/>
                <w:kern w:val="0"/>
                <w:sz w:val="22"/>
                <w:szCs w:val="22"/>
                <w:highlight w:val="none"/>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投标函附录的所有数据均符合采购文件规定；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投标文件组成齐全完整，内容均按规定填写。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）投标文件上法定代表人或其授权代理人的签字、投标人的单位章盖章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齐全，符合采购文件规定。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）投标人按照采购文件的规定提供了投标保证金：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a.</w:t>
            </w:r>
            <w:r>
              <w:rPr>
                <w:rFonts w:hint="eastAsia" w:ascii="宋体" w:hAnsi="宋体" w:eastAsia="宋体" w:cs="宋体"/>
                <w:color w:val="000000"/>
                <w:kern w:val="0"/>
                <w:sz w:val="22"/>
                <w:szCs w:val="22"/>
                <w:highlight w:val="none"/>
                <w:lang w:val="en-US" w:eastAsia="zh-CN" w:bidi="ar"/>
              </w:rPr>
              <w:t xml:space="preserve">投标保证金金额符合采购文件规定的金额，且投标保证金有效期不少于投标有效期；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若投标保证金采用现金或支票形式提交，投标人应在递交投标文件截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止时间之前，将投标保证金由投标人的基本账户转入并到达采购人指定账户；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）投标文件中未出现有关投标报价的内容。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9</w:t>
            </w:r>
            <w:r>
              <w:rPr>
                <w:rFonts w:hint="eastAsia" w:ascii="宋体" w:hAnsi="宋体" w:eastAsia="宋体" w:cs="宋体"/>
                <w:color w:val="000000"/>
                <w:kern w:val="0"/>
                <w:sz w:val="22"/>
                <w:szCs w:val="22"/>
                <w:highlight w:val="none"/>
                <w:lang w:val="en-US" w:eastAsia="zh-CN" w:bidi="ar"/>
              </w:rPr>
              <w:t xml:space="preserve">）投标文件载明的招标项目完成期限未超过采购文件规定的时限。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Times New Roman" w:hAnsi="Times New Roman" w:eastAsia="宋体" w:cs="Times New Roman"/>
                <w:color w:val="000000"/>
                <w:kern w:val="0"/>
                <w:sz w:val="22"/>
                <w:szCs w:val="22"/>
                <w:highlight w:val="none"/>
                <w:lang w:val="en-US" w:eastAsia="zh-CN" w:bidi="ar"/>
              </w:rPr>
              <w:t>0</w:t>
            </w:r>
            <w:r>
              <w:rPr>
                <w:rFonts w:hint="eastAsia" w:ascii="宋体" w:hAnsi="宋体" w:eastAsia="宋体" w:cs="宋体"/>
                <w:color w:val="000000"/>
                <w:kern w:val="0"/>
                <w:sz w:val="22"/>
                <w:szCs w:val="22"/>
                <w:highlight w:val="none"/>
                <w:lang w:val="en-US" w:eastAsia="zh-CN" w:bidi="ar"/>
              </w:rPr>
              <w:t xml:space="preserve">）投标文件对采购文件的实质性要求和条件作出响应。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）权利义务符合采购文件规定：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a.</w:t>
            </w:r>
            <w:r>
              <w:rPr>
                <w:rFonts w:hint="eastAsia" w:ascii="宋体" w:hAnsi="宋体" w:eastAsia="宋体" w:cs="宋体"/>
                <w:color w:val="000000"/>
                <w:kern w:val="0"/>
                <w:sz w:val="22"/>
                <w:szCs w:val="22"/>
                <w:highlight w:val="none"/>
                <w:lang w:val="en-US" w:eastAsia="zh-CN" w:bidi="ar"/>
              </w:rPr>
              <w:t xml:space="preserve">投标人应接受采购文件规定的风险划分原则，未提出新的风险划分办法；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投标人未增加发包人的责任范围，或减少投标人义务；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投标人未提出不同的工程验收、计量、支付办法；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投标人对合同纠纷、事故处理办法未提出异议；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e.</w:t>
            </w:r>
            <w:r>
              <w:rPr>
                <w:rFonts w:hint="eastAsia" w:ascii="宋体" w:hAnsi="宋体" w:eastAsia="宋体" w:cs="宋体"/>
                <w:color w:val="000000"/>
                <w:kern w:val="0"/>
                <w:sz w:val="22"/>
                <w:szCs w:val="22"/>
                <w:highlight w:val="none"/>
                <w:lang w:val="en-US" w:eastAsia="zh-CN" w:bidi="ar"/>
              </w:rPr>
              <w:t xml:space="preserve">投标人在投标活动中无欺诈行为；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f.</w:t>
            </w:r>
            <w:r>
              <w:rPr>
                <w:rFonts w:hint="eastAsia" w:ascii="宋体" w:hAnsi="宋体" w:eastAsia="宋体" w:cs="宋体"/>
                <w:color w:val="000000"/>
                <w:kern w:val="0"/>
                <w:sz w:val="22"/>
                <w:szCs w:val="22"/>
                <w:highlight w:val="none"/>
                <w:lang w:val="en-US" w:eastAsia="zh-CN" w:bidi="ar"/>
              </w:rPr>
              <w:t xml:space="preserve">投标人未对合同条款有重要保留。 </w:t>
            </w:r>
          </w:p>
          <w:p>
            <w:pPr>
              <w:keepNext w:val="0"/>
              <w:keepLines w:val="0"/>
              <w:widowControl/>
              <w:suppressLineNumbers w:val="0"/>
              <w:jc w:val="left"/>
              <w:rPr>
                <w:b w:val="0"/>
                <w:bCs w:val="0"/>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 xml:space="preserve">投标人网上报名的标段、投标保证金提交的标段和投标文件所投标 </w:t>
            </w:r>
          </w:p>
          <w:p>
            <w:pPr>
              <w:keepNext w:val="0"/>
              <w:keepLines w:val="0"/>
              <w:widowControl/>
              <w:suppressLineNumbers w:val="0"/>
              <w:jc w:val="left"/>
              <w:rPr>
                <w:highlight w:val="none"/>
              </w:rPr>
            </w:pPr>
            <w:r>
              <w:rPr>
                <w:rFonts w:hint="eastAsia" w:ascii="宋体" w:hAnsi="宋体" w:eastAsia="宋体" w:cs="宋体"/>
                <w:b w:val="0"/>
                <w:bCs w:val="0"/>
                <w:color w:val="000000"/>
                <w:kern w:val="0"/>
                <w:sz w:val="22"/>
                <w:szCs w:val="22"/>
                <w:highlight w:val="none"/>
                <w:lang w:val="en-US" w:eastAsia="zh-CN" w:bidi="ar"/>
              </w:rPr>
              <w:t>段一致。</w:t>
            </w:r>
            <w:r>
              <w:rPr>
                <w:rFonts w:hint="eastAsia" w:ascii="宋体" w:hAnsi="宋体" w:eastAsia="宋体" w:cs="宋体"/>
                <w:b/>
                <w:bCs/>
                <w:color w:val="000000"/>
                <w:kern w:val="0"/>
                <w:sz w:val="22"/>
                <w:szCs w:val="22"/>
                <w:highlight w:val="none"/>
                <w:lang w:val="en-US" w:eastAsia="zh-CN" w:bidi="ar"/>
              </w:rPr>
              <w:t xml:space="preserve">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）投标文件未附有采购人不能接受的条件。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）报价文件按照采购文件规定的格式、内容填写，字迹清晰可辨：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a.</w:t>
            </w:r>
            <w:r>
              <w:rPr>
                <w:rFonts w:hint="eastAsia" w:ascii="宋体" w:hAnsi="宋体" w:eastAsia="宋体" w:cs="宋体"/>
                <w:color w:val="000000"/>
                <w:kern w:val="0"/>
                <w:sz w:val="22"/>
                <w:szCs w:val="22"/>
                <w:highlight w:val="none"/>
                <w:lang w:val="en-US" w:eastAsia="zh-CN" w:bidi="ar"/>
              </w:rPr>
              <w:t xml:space="preserve">投标函按采购文件规定填报了采购人名称、项目名称、标段号、补遗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已标价工程量清单及说明文字与采购文件规定一致，未进行实质性修改和删减；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工程量清单中的投标报价与投标函大写金额报价一致；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投标文件组成齐全完整，内容均按规定填写。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）投标报价未超过采购文件设定的最高投标限价（如有）。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 xml:space="preserve">）投标人未提交调价函。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）投标人若填写工程量固化清单，填写完毕的工程量固化清单未对工程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量固化清单电子文件中的数据、格式和运算定义进行修改。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widowControl/>
        <w:spacing w:line="360" w:lineRule="atLeast"/>
        <w:jc w:val="center"/>
        <w:rPr>
          <w:rFonts w:ascii="Times New Roman" w:hAnsi="Times New Roman" w:cs="Times New Roman"/>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34"/>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19"/>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2"/>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商务技术文件评分分值构成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    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pStyle w:val="2"/>
              <w:keepNext w:val="0"/>
              <w:keepLines w:val="0"/>
              <w:pageBreakBefore w:val="0"/>
              <w:widowControl w:val="0"/>
              <w:kinsoku/>
              <w:wordWrap/>
              <w:overflowPunct/>
              <w:topLinePunct w:val="0"/>
              <w:autoSpaceDE/>
              <w:autoSpaceDN/>
              <w:bidi w:val="0"/>
              <w:snapToGrid/>
              <w:spacing w:after="0" w:line="240" w:lineRule="auto"/>
              <w:textAlignment w:val="auto"/>
              <w:rPr>
                <w:rFonts w:hint="eastAsia"/>
                <w:highlight w:val="none"/>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20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pStyle w:val="2"/>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highlight w:val="none"/>
                <w:lang w:val="en-US" w:eastAsia="zh-CN"/>
              </w:rPr>
            </w:pPr>
            <w:r>
              <w:rPr>
                <w:rFonts w:hint="eastAsia" w:ascii="宋体" w:hAnsi="宋体" w:eastAsia="宋体" w:cs="宋体"/>
                <w:sz w:val="21"/>
                <w:szCs w:val="21"/>
                <w:highlight w:val="none"/>
                <w:lang w:val="en-US" w:eastAsia="zh-CN"/>
              </w:rPr>
              <w:t>合格证书：</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20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供货方案：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30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通过第一个信封详细评审的投标人数量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按照投标人的商务和技术得分由高到低排序，排序前</w:t>
            </w:r>
            <w:r>
              <w:rPr>
                <w:rFonts w:hint="default" w:ascii="宋体" w:hAnsi="宋体" w:eastAsia="宋体" w:cs="宋体"/>
                <w:color w:val="000000"/>
                <w:kern w:val="0"/>
                <w:sz w:val="21"/>
                <w:szCs w:val="21"/>
                <w:highlight w:val="none"/>
                <w:lang w:val="en-US" w:eastAsia="zh-CN" w:bidi="ar"/>
              </w:rPr>
              <w:t xml:space="preserve"> 3 </w:t>
            </w:r>
            <w:r>
              <w:rPr>
                <w:rFonts w:hint="eastAsia" w:ascii="宋体" w:hAnsi="宋体" w:eastAsia="宋体" w:cs="宋体"/>
                <w:color w:val="000000"/>
                <w:kern w:val="0"/>
                <w:sz w:val="21"/>
                <w:szCs w:val="21"/>
                <w:highlight w:val="none"/>
                <w:lang w:val="en-US" w:eastAsia="zh-CN" w:bidi="ar"/>
              </w:rPr>
              <w:t xml:space="preserve">家通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过评审，进入第二个信封报价文件开启和评审。如出现第一个信封 </w:t>
            </w: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得分相同的情况，按照业绩合同累计金额由高到低</w:t>
            </w:r>
            <w:bookmarkStart w:id="154" w:name="_GoBack"/>
            <w:bookmarkEnd w:id="154"/>
            <w:r>
              <w:rPr>
                <w:rFonts w:hint="eastAsia" w:ascii="宋体" w:hAnsi="宋体" w:eastAsia="宋体" w:cs="宋体"/>
                <w:color w:val="000000"/>
                <w:kern w:val="0"/>
                <w:sz w:val="22"/>
                <w:szCs w:val="22"/>
                <w:highlight w:val="none"/>
                <w:lang w:val="en-US" w:eastAsia="zh-CN" w:bidi="ar"/>
              </w:rPr>
              <w:t>排列。</w:t>
            </w:r>
          </w:p>
        </w:tc>
      </w:tr>
    </w:tbl>
    <w:tbl>
      <w:tblPr>
        <w:tblStyle w:val="19"/>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899"/>
        <w:gridCol w:w="165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条款号</w:t>
            </w:r>
          </w:p>
        </w:tc>
        <w:tc>
          <w:tcPr>
            <w:tcW w:w="899" w:type="pc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3114" w:type="pc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2"/>
              <w:adjustRightInd w:val="0"/>
              <w:snapToGrid w:val="0"/>
              <w:rPr>
                <w:rFonts w:hint="eastAsia" w:ascii="宋体" w:hAnsi="宋体" w:eastAsia="宋体" w:cs="宋体"/>
                <w:sz w:val="21"/>
                <w:szCs w:val="21"/>
                <w:highlight w:val="none"/>
              </w:rPr>
            </w:pPr>
          </w:p>
        </w:tc>
        <w:tc>
          <w:tcPr>
            <w:tcW w:w="490" w:type="pct"/>
            <w:vMerge w:val="restart"/>
            <w:vAlign w:val="center"/>
          </w:tcPr>
          <w:p>
            <w:pPr>
              <w:pStyle w:val="2"/>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2"/>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2"/>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18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分。</w:t>
            </w:r>
          </w:p>
          <w:p>
            <w:pPr>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备注：类似业绩指自2021年1月1日以来，单项合同额不低于30万元的灯具供应合同业绩。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2"/>
              <w:adjustRightInd w:val="0"/>
              <w:snapToGrid w:val="0"/>
              <w:rPr>
                <w:rFonts w:hint="eastAsia" w:ascii="宋体" w:hAnsi="宋体" w:eastAsia="宋体" w:cs="宋体"/>
                <w:sz w:val="21"/>
                <w:szCs w:val="21"/>
                <w:highlight w:val="none"/>
              </w:rPr>
            </w:pPr>
          </w:p>
        </w:tc>
        <w:tc>
          <w:tcPr>
            <w:tcW w:w="490" w:type="pct"/>
            <w:vMerge w:val="continue"/>
            <w:vAlign w:val="center"/>
          </w:tcPr>
          <w:p>
            <w:pPr>
              <w:pStyle w:val="2"/>
              <w:adjustRightInd w:val="0"/>
              <w:snapToGrid w:val="0"/>
              <w:rPr>
                <w:rFonts w:hint="eastAsia" w:ascii="宋体" w:hAnsi="宋体" w:eastAsia="宋体" w:cs="宋体"/>
                <w:sz w:val="21"/>
                <w:szCs w:val="21"/>
                <w:highlight w:val="none"/>
              </w:rPr>
            </w:pPr>
          </w:p>
        </w:tc>
        <w:tc>
          <w:tcPr>
            <w:tcW w:w="899"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合格证书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default" w:ascii="宋体" w:hAnsi="宋体" w:cs="宋体" w:eastAsiaTheme="minorEastAsia"/>
                <w:sz w:val="21"/>
                <w:szCs w:val="21"/>
                <w:highlight w:val="none"/>
                <w:lang w:val="en-US" w:eastAsia="zh-CN"/>
              </w:rPr>
            </w:pPr>
            <w:r>
              <w:rPr>
                <w:rFonts w:hint="eastAsia" w:ascii="宋体" w:hAnsi="宋体" w:eastAsia="宋体" w:cs="宋体"/>
                <w:color w:val="auto"/>
                <w:kern w:val="0"/>
                <w:sz w:val="21"/>
                <w:szCs w:val="21"/>
                <w:highlight w:val="none"/>
                <w:u w:val="none"/>
                <w:lang w:val="en-US" w:eastAsia="zh-CN" w:bidi="ar"/>
              </w:rPr>
              <w:t>提供拟同品牌筒灯、吸顶灯、平板灯、射灯、轨道灯、灯带的产品合格证书，每提供一个得4分，最多不超过20分</w:t>
            </w:r>
            <w:r>
              <w:rPr>
                <w:rFonts w:hint="eastAsia" w:ascii="宋体" w:hAnsi="宋体"/>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2"/>
              <w:adjustRightInd w:val="0"/>
              <w:snapToGrid w:val="0"/>
              <w:rPr>
                <w:rFonts w:hint="eastAsia" w:ascii="宋体" w:hAnsi="宋体" w:eastAsia="宋体" w:cs="宋体"/>
                <w:sz w:val="21"/>
                <w:szCs w:val="21"/>
                <w:highlight w:val="none"/>
              </w:rPr>
            </w:pPr>
          </w:p>
        </w:tc>
        <w:tc>
          <w:tcPr>
            <w:tcW w:w="490" w:type="pct"/>
            <w:vMerge w:val="continue"/>
            <w:vAlign w:val="center"/>
          </w:tcPr>
          <w:p>
            <w:pPr>
              <w:pStyle w:val="2"/>
              <w:adjustRightInd w:val="0"/>
              <w:snapToGrid w:val="0"/>
              <w:rPr>
                <w:rFonts w:hint="eastAsia" w:ascii="宋体" w:hAnsi="宋体" w:eastAsia="宋体" w:cs="宋体"/>
                <w:sz w:val="21"/>
                <w:szCs w:val="21"/>
                <w:highlight w:val="none"/>
              </w:rPr>
            </w:pPr>
          </w:p>
        </w:tc>
        <w:tc>
          <w:tcPr>
            <w:tcW w:w="899" w:type="pct"/>
            <w:vAlign w:val="center"/>
          </w:tcPr>
          <w:p>
            <w:pPr>
              <w:pStyle w:val="2"/>
              <w:adjustRightInd w:val="0"/>
              <w:snapToGrid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       （满分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val="en-US" w:eastAsia="zh-CN"/>
              </w:rPr>
              <w:t>）</w:t>
            </w:r>
          </w:p>
        </w:tc>
        <w:tc>
          <w:tcPr>
            <w:tcW w:w="3114" w:type="pct"/>
            <w:vAlign w:val="center"/>
          </w:tcPr>
          <w:p>
            <w:pPr>
              <w:spacing w:line="360" w:lineRule="auto"/>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提供投标单位（授权生产厂家）证书、厂房规模、机械（自有）、人员等证明企业实力的资料，实力较强得</w:t>
            </w:r>
            <w:r>
              <w:rPr>
                <w:rFonts w:hint="eastAsia" w:ascii="宋体" w:hAnsi="宋体" w:eastAsia="宋体" w:cs="宋体"/>
                <w:sz w:val="21"/>
                <w:szCs w:val="21"/>
                <w:highlight w:val="none"/>
                <w:lang w:val="en-US" w:eastAsia="zh-CN"/>
              </w:rPr>
              <w:t>得16-20分；一般得12-16分，较差得基础分12分，不提供不得分。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2"/>
              <w:adjustRightInd w:val="0"/>
              <w:snapToGrid w:val="0"/>
              <w:rPr>
                <w:rFonts w:hint="eastAsia" w:ascii="宋体" w:hAnsi="宋体" w:eastAsia="宋体" w:cs="宋体"/>
                <w:sz w:val="21"/>
                <w:szCs w:val="21"/>
                <w:highlight w:val="none"/>
              </w:rPr>
            </w:pPr>
          </w:p>
        </w:tc>
        <w:tc>
          <w:tcPr>
            <w:tcW w:w="490" w:type="pct"/>
            <w:vMerge w:val="continue"/>
            <w:vAlign w:val="center"/>
          </w:tcPr>
          <w:p>
            <w:pPr>
              <w:pStyle w:val="2"/>
              <w:adjustRightInd w:val="0"/>
              <w:snapToGrid w:val="0"/>
              <w:rPr>
                <w:rFonts w:hint="eastAsia" w:ascii="宋体" w:hAnsi="宋体" w:eastAsia="宋体" w:cs="宋体"/>
                <w:sz w:val="21"/>
                <w:szCs w:val="21"/>
                <w:highlight w:val="none"/>
              </w:rPr>
            </w:pPr>
          </w:p>
        </w:tc>
        <w:tc>
          <w:tcPr>
            <w:tcW w:w="899" w:type="pct"/>
            <w:vAlign w:val="center"/>
          </w:tcPr>
          <w:p>
            <w:pPr>
              <w:pStyle w:val="2"/>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2"/>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14" w:type="pct"/>
            <w:vAlign w:val="center"/>
          </w:tcPr>
          <w:p>
            <w:pPr>
              <w:pStyle w:val="2"/>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kern w:val="0"/>
                <w:sz w:val="24"/>
                <w:highlight w:val="none"/>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2"/>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2"/>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3、针对本项目售后服务方案（包括备品备件、设备损坏维修及更换、应急处理、售后服务响应等内容）具体、详细，可行性最优，针对性强得8-10分；一般得6-8分，较差得基础分6分。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hint="default" w:ascii="Times New Roman" w:hAnsi="Times New Roman" w:cs="Times New Roman"/>
          <w:highlight w:val="none"/>
          <w:lang w:val="en-US"/>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w:t>
      </w:r>
      <w:r>
        <w:rPr>
          <w:rFonts w:hint="eastAsia" w:ascii="Times New Roman" w:hAnsi="Times New Roman" w:cs="Times New Roman"/>
          <w:highlight w:val="none"/>
        </w:rPr>
        <w:t>评审小组</w:t>
      </w:r>
      <w:r>
        <w:rPr>
          <w:rFonts w:ascii="Times New Roman" w:hAnsi="Times New Roman" w:cs="Times New Roman"/>
          <w:highlight w:val="none"/>
        </w:rPr>
        <w:t>对满足询比文件实质性要求的响应文件</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第一信封商务及技术文件）</w:t>
      </w:r>
      <w:r>
        <w:rPr>
          <w:rFonts w:ascii="Times New Roman" w:hAnsi="Times New Roman" w:cs="Times New Roman"/>
          <w:highlight w:val="none"/>
        </w:rPr>
        <w:t>按照本章规定的评分标准进行打分，</w:t>
      </w:r>
      <w:r>
        <w:rPr>
          <w:rFonts w:hint="eastAsia" w:ascii="宋体" w:hAnsi="宋体" w:eastAsia="宋体" w:cs="宋体"/>
          <w:color w:val="000000"/>
          <w:kern w:val="0"/>
          <w:sz w:val="21"/>
          <w:szCs w:val="21"/>
          <w:highlight w:val="none"/>
          <w:lang w:val="en-US" w:eastAsia="zh-CN" w:bidi="ar"/>
        </w:rPr>
        <w:t>按照投标人的商务和技术得分由高到低排序，排序前</w:t>
      </w:r>
      <w:r>
        <w:rPr>
          <w:rFonts w:hint="default" w:ascii="宋体" w:hAnsi="宋体" w:eastAsia="宋体" w:cs="宋体"/>
          <w:color w:val="000000"/>
          <w:kern w:val="0"/>
          <w:sz w:val="21"/>
          <w:szCs w:val="21"/>
          <w:highlight w:val="none"/>
          <w:lang w:val="en-US" w:eastAsia="zh-CN" w:bidi="ar"/>
        </w:rPr>
        <w:t xml:space="preserve"> 3 </w:t>
      </w:r>
      <w:r>
        <w:rPr>
          <w:rFonts w:hint="eastAsia" w:ascii="宋体" w:hAnsi="宋体" w:eastAsia="宋体" w:cs="宋体"/>
          <w:color w:val="000000"/>
          <w:kern w:val="0"/>
          <w:sz w:val="21"/>
          <w:szCs w:val="21"/>
          <w:highlight w:val="none"/>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技术性能</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评审基准价计算</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评审基准价计算方法：见评审办法前附表。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2.2.3 评审价的偏差率计算</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评审价的偏差率计算公式：见评审办法前附表。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2.2.4评分标准：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技术性能</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评审办法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rPr>
        <w:t>综合</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pPr>
        <w:spacing w:line="440" w:lineRule="exact"/>
        <w:ind w:firstLine="420"/>
        <w:rPr>
          <w:rFonts w:hint="default" w:ascii="Times New Roman" w:hAnsi="Times New Roman" w:cs="Times New Roman"/>
          <w:color w:val="auto"/>
          <w:highlight w:val="none"/>
          <w:lang w:val="en-US" w:eastAsia="zh-CN"/>
        </w:rPr>
      </w:pPr>
    </w:p>
    <w:p>
      <w:pPr>
        <w:pStyle w:val="2"/>
        <w:rPr>
          <w:rFonts w:hint="default"/>
          <w:highlight w:val="none"/>
        </w:rPr>
      </w:pPr>
    </w:p>
    <w:p>
      <w:pPr>
        <w:rPr>
          <w:rFonts w:hint="default"/>
          <w:highlight w:val="none"/>
        </w:rPr>
      </w:pPr>
    </w:p>
    <w:p>
      <w:pPr>
        <w:pStyle w:val="2"/>
        <w:rPr>
          <w:rFonts w:hint="default"/>
          <w:highlight w:val="none"/>
        </w:rPr>
      </w:pPr>
    </w:p>
    <w:p>
      <w:pPr>
        <w:pStyle w:val="2"/>
        <w:rPr>
          <w:rFonts w:ascii="Times New Roman" w:hAnsi="Times New Roman"/>
          <w:highlight w:val="none"/>
        </w:rPr>
      </w:pPr>
    </w:p>
    <w:p>
      <w:pPr>
        <w:widowControl/>
        <w:jc w:val="left"/>
        <w:rPr>
          <w:rFonts w:ascii="Times New Roman" w:hAnsi="Times New Roman" w:eastAsia="宋体" w:cs="Times New Roman"/>
          <w:highlight w:val="none"/>
        </w:rPr>
      </w:pPr>
    </w:p>
    <w:p>
      <w:pPr>
        <w:pStyle w:val="18"/>
        <w:rPr>
          <w:rFonts w:ascii="Times New Roman" w:hAnsi="Times New Roman" w:eastAsia="宋体" w:cs="Times New Roman"/>
          <w:highlight w:val="none"/>
        </w:rPr>
      </w:pPr>
    </w:p>
    <w:p>
      <w:pPr>
        <w:pStyle w:val="18"/>
        <w:rPr>
          <w:rFonts w:ascii="Times New Roman" w:hAnsi="Times New Roman" w:eastAsia="宋体" w:cs="Times New Roman"/>
          <w:highlight w:val="none"/>
        </w:rPr>
      </w:pPr>
    </w:p>
    <w:p>
      <w:pPr>
        <w:pStyle w:val="3"/>
        <w:numPr>
          <w:ilvl w:val="0"/>
          <w:numId w:val="0"/>
        </w:numPr>
        <w:spacing w:before="312" w:after="312"/>
        <w:ind w:leftChars="0"/>
        <w:jc w:val="center"/>
        <w:rPr>
          <w:rFonts w:ascii="Times New Roman" w:hAnsi="Times New Roman" w:eastAsia="宋体" w:cs="Times New Roman"/>
          <w:highlight w:val="none"/>
        </w:rPr>
      </w:pPr>
      <w:bookmarkStart w:id="60" w:name="_Toc25343"/>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bookmarkEnd w:id="60"/>
    </w:p>
    <w:p>
      <w:pPr>
        <w:rPr>
          <w:highlight w:val="none"/>
        </w:rPr>
      </w:pPr>
    </w:p>
    <w:p>
      <w:pPr>
        <w:pStyle w:val="3"/>
        <w:numPr>
          <w:ilvl w:val="255"/>
          <w:numId w:val="0"/>
        </w:numPr>
        <w:spacing w:before="312" w:after="312"/>
        <w:ind w:left="402"/>
        <w:outlineLvl w:val="9"/>
        <w:rPr>
          <w:rFonts w:hint="eastAsia" w:ascii="Times New Roman" w:hAnsi="Times New Roman" w:eastAsia="宋体" w:cs="Times New Roman"/>
          <w:highlight w:val="none"/>
        </w:rPr>
      </w:pPr>
    </w:p>
    <w:p>
      <w:pPr>
        <w:rPr>
          <w:rFonts w:hint="eastAsia" w:ascii="Times New Roman" w:hAnsi="Times New Roman" w:eastAsia="宋体" w:cs="Times New Roman"/>
          <w:highlight w:val="none"/>
        </w:rPr>
      </w:pPr>
    </w:p>
    <w:p>
      <w:pPr>
        <w:pStyle w:val="2"/>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pStyle w:val="30"/>
        <w:rPr>
          <w:rFonts w:hint="eastAsia" w:ascii="Times New Roman" w:hAnsi="Times New Roman" w:eastAsia="宋体" w:cs="Times New Roman"/>
          <w:highlight w:val="none"/>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r>
        <w:rPr>
          <w:rFonts w:hint="eastAsia" w:ascii="方正小标宋简体" w:hAnsi="方正小标宋简体" w:eastAsia="方正小标宋简体" w:cs="方正小标宋简体"/>
          <w:bCs/>
          <w:sz w:val="44"/>
          <w:szCs w:val="44"/>
          <w:highlight w:val="none"/>
          <w:lang w:eastAsia="zh-CN"/>
        </w:rPr>
        <w:t>【</w:t>
      </w:r>
      <w:r>
        <w:rPr>
          <w:rFonts w:hint="eastAsia" w:ascii="方正小标宋简体" w:hAnsi="方正小标宋简体" w:eastAsia="方正小标宋简体" w:cs="方正小标宋简体"/>
          <w:bCs/>
          <w:sz w:val="44"/>
          <w:szCs w:val="44"/>
          <w:highlight w:val="none"/>
          <w:lang w:val="en-US" w:eastAsia="zh-CN"/>
        </w:rPr>
        <w:t>项目名称</w:t>
      </w:r>
      <w:r>
        <w:rPr>
          <w:rFonts w:hint="eastAsia" w:ascii="方正小标宋简体" w:hAnsi="方正小标宋简体" w:eastAsia="方正小标宋简体" w:cs="方正小标宋简体"/>
          <w:bCs/>
          <w:sz w:val="44"/>
          <w:szCs w:val="44"/>
          <w:highlight w:val="none"/>
          <w:lang w:eastAsia="zh-CN"/>
        </w:rPr>
        <w:t>】</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eastAsia="zh-CN"/>
        </w:rPr>
        <w:t>安徽省经工物资有限公司</w:t>
      </w:r>
      <w:r>
        <w:rPr>
          <w:rFonts w:hint="eastAsia" w:ascii="仿宋_GB2312" w:hAnsi="仿宋_GB2312" w:eastAsia="仿宋_GB2312" w:cs="仿宋_GB2312"/>
          <w:color w:val="auto"/>
          <w:sz w:val="28"/>
          <w:szCs w:val="28"/>
          <w:highlight w:val="none"/>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highlight w:val="none"/>
          <w:u w:val="single"/>
          <w:lang w:eastAsia="zh-CN"/>
        </w:rPr>
        <w:t>【供应商名称】</w:t>
      </w:r>
      <w:r>
        <w:rPr>
          <w:rFonts w:hint="eastAsia" w:ascii="仿宋_GB2312" w:hAnsi="仿宋_GB2312" w:eastAsia="仿宋_GB2312" w:cs="仿宋_GB2312"/>
          <w:color w:val="auto"/>
          <w:sz w:val="28"/>
          <w:szCs w:val="28"/>
          <w:highlight w:val="none"/>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【项目名称】</w:t>
      </w:r>
      <w:r>
        <w:rPr>
          <w:rFonts w:hint="eastAsia" w:ascii="仿宋_GB2312" w:hAnsi="仿宋_GB2312" w:eastAsia="仿宋_GB2312" w:cs="仿宋_GB2312"/>
          <w:color w:val="auto"/>
          <w:sz w:val="28"/>
          <w:szCs w:val="28"/>
          <w:highlight w:val="none"/>
          <w:u w:val="none"/>
          <w:lang w:val="en-US" w:eastAsia="zh-CN"/>
        </w:rPr>
        <w:t>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w:t>
      </w:r>
      <w:r>
        <w:rPr>
          <w:rFonts w:hint="eastAsia" w:ascii="仿宋_GB2312" w:hAnsi="仿宋_GB2312" w:eastAsia="仿宋_GB2312" w:cs="仿宋_GB2312"/>
          <w:color w:val="auto"/>
          <w:sz w:val="28"/>
          <w:szCs w:val="28"/>
          <w:lang w:val="en-US" w:eastAsia="zh-CN"/>
        </w:rPr>
        <w:t>保期按</w:t>
      </w:r>
      <w:r>
        <w:rPr>
          <w:rFonts w:hint="eastAsia" w:ascii="仿宋_GB2312" w:hAnsi="仿宋_GB2312" w:eastAsia="仿宋_GB2312" w:cs="仿宋_GB2312"/>
          <w:color w:val="auto"/>
          <w:sz w:val="28"/>
          <w:szCs w:val="28"/>
          <w:lang w:val="zh-CN" w:eastAsia="zh-CN"/>
        </w:rPr>
        <w:t>国家标准</w:t>
      </w:r>
      <w:r>
        <w:rPr>
          <w:rFonts w:hint="eastAsia" w:ascii="仿宋_GB2312" w:hAnsi="仿宋_GB2312" w:eastAsia="仿宋_GB2312" w:cs="仿宋_GB2312"/>
          <w:color w:val="auto"/>
          <w:sz w:val="28"/>
          <w:szCs w:val="28"/>
          <w:lang w:val="en-US" w:eastAsia="zh-CN"/>
        </w:rPr>
        <w:t>执行</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全部供货完成，经甲方确认后，支付至审定金额的97%。审定金额的3%作为质保金，缺陷责任期结束后无息退还。甲方向乙方支付合同价款前，乙方需提交的合法有效的增值税专用发票（13%），如若虚假或虚开，乙方应承担一切责任且需补开合法有效的增值税专用发票(税率13%)。</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提前7日通知乙方供应，若供应滞后需支付甲方逾期价款每日1%（合同金额）的违约金，进度节点滞后（因乙方原因）超过3日的，甲方有权解除合同，或将乙方承担的一部分供货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甲方可解除合同，乙方须按合同总价款20%向甲方支付违约金，并向甲方赔偿因此造成的全部损失，同时承担甲方由此支付的诉讼费、律师费等实现债权的费用；甲方有权将未完成的工程量移交给第三方实施，乙方应无条件配合相关移交工作。</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2"/>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5.本项目涉及部分货物的局部尺寸或颜色的调整，需进行优化设计、深化图纸，合同单价不予调整。</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pPr>
        <w:bidi w:val="0"/>
        <w:rPr>
          <w:rFonts w:hint="eastAsia"/>
          <w:highlight w:val="none"/>
          <w:lang w:val="en-US" w:eastAsia="zh-CN"/>
        </w:rPr>
      </w:pPr>
    </w:p>
    <w:p>
      <w:pPr>
        <w:pStyle w:val="2"/>
        <w:bidi w:val="0"/>
        <w:rPr>
          <w:rFonts w:hint="eastAsia"/>
          <w:highlight w:val="none"/>
          <w:lang w:val="en-US" w:eastAsia="zh-CN"/>
        </w:rPr>
      </w:pPr>
    </w:p>
    <w:p>
      <w:pPr>
        <w:pStyle w:val="2"/>
        <w:bidi w:val="0"/>
        <w:rPr>
          <w:rFonts w:hint="eastAsia"/>
          <w:highlight w:val="none"/>
          <w:lang w:val="en-US" w:eastAsia="zh-CN"/>
        </w:rPr>
      </w:pPr>
    </w:p>
    <w:p>
      <w:pPr>
        <w:pStyle w:val="2"/>
        <w:bidi w:val="0"/>
        <w:rPr>
          <w:rFonts w:hint="eastAsia"/>
          <w:highlight w:val="none"/>
          <w:lang w:val="en-US" w:eastAsia="zh-CN"/>
        </w:rPr>
      </w:pPr>
    </w:p>
    <w:p>
      <w:pPr>
        <w:pStyle w:val="2"/>
        <w:bidi w:val="0"/>
        <w:rPr>
          <w:rFonts w:hint="eastAsia"/>
          <w:highlight w:val="none"/>
          <w:lang w:val="en-US" w:eastAsia="zh-CN"/>
        </w:rPr>
      </w:pPr>
    </w:p>
    <w:p>
      <w:pPr>
        <w:pStyle w:val="2"/>
        <w:bidi w:val="0"/>
        <w:rPr>
          <w:rFonts w:hint="eastAsia"/>
          <w:highlight w:val="none"/>
          <w:lang w:val="en-US" w:eastAsia="zh-CN"/>
        </w:rPr>
      </w:pPr>
    </w:p>
    <w:p>
      <w:pPr>
        <w:bidi w:val="0"/>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highlight w:val="none"/>
          <w:u w:val="single"/>
          <w:lang w:val="en-US" w:eastAsia="zh-CN"/>
        </w:rPr>
        <w:t>【项目名称】</w:t>
      </w:r>
      <w:r>
        <w:rPr>
          <w:rFonts w:hint="eastAsia" w:ascii="仿宋_GB2312" w:hAnsi="仿宋_GB2312" w:eastAsia="仿宋_GB2312" w:cs="仿宋_GB2312"/>
          <w:color w:val="auto"/>
          <w:sz w:val="28"/>
          <w:szCs w:val="28"/>
          <w:highlight w:val="none"/>
          <w:lang w:val="en-US" w:eastAsia="zh-CN"/>
        </w:rPr>
        <w:t>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【供应商名称】</w:t>
      </w:r>
      <w:r>
        <w:rPr>
          <w:rFonts w:hint="eastAsia" w:ascii="仿宋_GB2312" w:hAnsi="仿宋_GB2312" w:eastAsia="仿宋_GB2312" w:cs="仿宋_GB2312"/>
          <w:color w:val="auto"/>
          <w:sz w:val="28"/>
          <w:szCs w:val="28"/>
          <w:highlight w:val="none"/>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000000"/>
          <w:sz w:val="28"/>
          <w:szCs w:val="28"/>
          <w:highlight w:val="none"/>
          <w:u w:val="single"/>
          <w:lang w:eastAsia="zh-CN"/>
        </w:rPr>
        <w:t>项目</w:t>
      </w:r>
      <w:r>
        <w:rPr>
          <w:rFonts w:hint="eastAsia" w:ascii="仿宋_GB2312" w:hAnsi="仿宋_GB2312" w:eastAsia="仿宋_GB2312" w:cs="仿宋_GB2312"/>
          <w:color w:val="000000"/>
          <w:sz w:val="28"/>
          <w:szCs w:val="28"/>
          <w:highlight w:val="none"/>
          <w:u w:val="single"/>
          <w:lang w:val="en-US" w:eastAsia="zh-CN"/>
        </w:rPr>
        <w:t>名称</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000000"/>
          <w:sz w:val="28"/>
          <w:szCs w:val="28"/>
          <w:highlight w:val="none"/>
          <w:u w:val="single"/>
          <w:lang w:eastAsia="zh-CN"/>
        </w:rPr>
        <w:t>项目</w:t>
      </w:r>
      <w:r>
        <w:rPr>
          <w:rFonts w:hint="eastAsia" w:ascii="仿宋_GB2312" w:hAnsi="仿宋_GB2312" w:eastAsia="仿宋_GB2312" w:cs="仿宋_GB2312"/>
          <w:color w:val="000000"/>
          <w:sz w:val="28"/>
          <w:szCs w:val="28"/>
          <w:highlight w:val="none"/>
          <w:u w:val="single"/>
          <w:lang w:val="en-US" w:eastAsia="zh-CN"/>
        </w:rPr>
        <w:t>名称</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甲方监督单位：（盖章）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000000"/>
          <w:sz w:val="28"/>
          <w:szCs w:val="28"/>
          <w:highlight w:val="none"/>
          <w:u w:val="single"/>
          <w:lang w:eastAsia="zh-CN"/>
        </w:rPr>
        <w:t>项目</w:t>
      </w:r>
      <w:r>
        <w:rPr>
          <w:rFonts w:hint="eastAsia" w:ascii="仿宋_GB2312" w:hAnsi="仿宋_GB2312" w:eastAsia="仿宋_GB2312" w:cs="仿宋_GB2312"/>
          <w:color w:val="000000"/>
          <w:sz w:val="28"/>
          <w:szCs w:val="28"/>
          <w:highlight w:val="none"/>
          <w:u w:val="single"/>
          <w:lang w:val="en-US" w:eastAsia="zh-CN"/>
        </w:rPr>
        <w:t>名称</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sz w:val="28"/>
          <w:szCs w:val="28"/>
          <w:highlight w:val="none"/>
          <w:u w:val="single"/>
          <w:lang w:val="en-US" w:eastAsia="zh-CN"/>
        </w:rPr>
        <w:t>【供应商名称】</w:t>
      </w:r>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壹</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z w:val="28"/>
          <w:szCs w:val="28"/>
          <w:highlight w:val="none"/>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pPr>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3"/>
        <w:numPr>
          <w:ilvl w:val="255"/>
          <w:numId w:val="0"/>
        </w:numPr>
        <w:spacing w:before="312" w:after="312"/>
        <w:ind w:left="402"/>
        <w:rPr>
          <w:rFonts w:ascii="Times New Roman" w:hAnsi="Times New Roman" w:eastAsia="宋体" w:cs="Times New Roman"/>
          <w:highlight w:val="none"/>
        </w:rPr>
      </w:pPr>
      <w:bookmarkStart w:id="61" w:name="_Toc24422"/>
      <w:r>
        <w:rPr>
          <w:rFonts w:hint="eastAsia" w:ascii="Times New Roman" w:hAnsi="Times New Roman" w:eastAsia="宋体" w:cs="Times New Roman"/>
          <w:highlight w:val="none"/>
          <w:lang w:val="en-US" w:eastAsia="zh-CN"/>
        </w:rPr>
        <w:t>第五章 供货要</w:t>
      </w:r>
      <w:r>
        <w:rPr>
          <w:rFonts w:ascii="Times New Roman" w:hAnsi="Times New Roman" w:eastAsia="宋体" w:cs="Times New Roman"/>
          <w:highlight w:val="none"/>
        </w:rPr>
        <w:t>求及清单</w:t>
      </w:r>
      <w:bookmarkEnd w:id="61"/>
    </w:p>
    <w:p>
      <w:pPr>
        <w:jc w:val="center"/>
        <w:rPr>
          <w:rFonts w:hint="default" w:eastAsiaTheme="minorEastAsia"/>
          <w:b/>
          <w:bCs/>
          <w:sz w:val="28"/>
          <w:szCs w:val="36"/>
          <w:highlight w:val="none"/>
          <w:lang w:val="en-US" w:eastAsia="zh-CN"/>
        </w:rPr>
      </w:pPr>
      <w:r>
        <w:rPr>
          <w:rFonts w:hint="eastAsia"/>
          <w:b/>
          <w:bCs/>
          <w:sz w:val="28"/>
          <w:szCs w:val="36"/>
          <w:highlight w:val="none"/>
          <w:lang w:val="en-US" w:eastAsia="zh-CN"/>
        </w:rPr>
        <w:t>供货要求</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一、本工程采用的标准与规范（包含但不限于）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1、《建筑工程施工质量验收统一标准》 GB50300—2013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2、《建筑地基基础工程施工质量验收规范》 GB50202－2018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3、《砌体结构工程施工质量验收规范》 GB50203—2011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4、《混凝土结构工程施工质量验收规范》 GB50204—2015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5、《钢结构工程施工质量验收规范》 GB50205—2020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6、《木结构工程施工质量验收规范》 GB50206—2012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7、《屋面工程质量验收规范》 GB50207—2012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8、《建筑地面工程施工质量验收规范》 GB50209—2010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9、《建筑装饰装修工程质量验收规范》 GB50210—2018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10、《建筑给水排水及采暖工程施工质量验收规范》 GB50242—2016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11、《建筑电气安装工程施工质量验收规范》 GB50303—2015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12、《民用建筑工程室内环境污染控制标准》 GB50325—2020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13、《绿色建筑评价标准》 GB—T50378—2019 </w:t>
      </w:r>
    </w:p>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14、《工程测量规范》 GB50026—2007 </w:t>
      </w:r>
    </w:p>
    <w:p>
      <w:pPr>
        <w:keepNext w:val="0"/>
        <w:keepLines w:val="0"/>
        <w:widowControl/>
        <w:suppressLineNumbers w:val="0"/>
        <w:spacing w:line="360" w:lineRule="auto"/>
        <w:jc w:val="left"/>
        <w:rPr>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15、依据设计文件的要求，本招标工程项目的材料、设备、施工须达到现行中华人民共和国以及安徽省或行业的有关工程建设标准、规范的要求。 </w:t>
      </w:r>
    </w:p>
    <w:p>
      <w:pPr>
        <w:keepNext w:val="0"/>
        <w:keepLines w:val="0"/>
        <w:widowControl/>
        <w:suppressLineNumbers w:val="0"/>
        <w:spacing w:line="360" w:lineRule="auto"/>
        <w:jc w:val="left"/>
        <w:rPr>
          <w:rFonts w:hint="eastAsia" w:asciiTheme="minorEastAsia" w:hAnsi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二、品牌</w:t>
      </w:r>
      <w:r>
        <w:rPr>
          <w:rFonts w:hint="eastAsia" w:asciiTheme="minorEastAsia" w:hAnsiTheme="minorEastAsia" w:cstheme="minorEastAsia"/>
          <w:color w:val="000000"/>
          <w:kern w:val="0"/>
          <w:sz w:val="24"/>
          <w:szCs w:val="24"/>
          <w:highlight w:val="none"/>
          <w:lang w:val="en-US" w:eastAsia="zh-CN" w:bidi="ar"/>
        </w:rPr>
        <w:t>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序号</w:t>
            </w:r>
          </w:p>
        </w:tc>
        <w:tc>
          <w:tcPr>
            <w:tcW w:w="1705"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名称</w:t>
            </w:r>
          </w:p>
        </w:tc>
        <w:tc>
          <w:tcPr>
            <w:tcW w:w="1706"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细目名称</w:t>
            </w:r>
          </w:p>
        </w:tc>
        <w:tc>
          <w:tcPr>
            <w:tcW w:w="1706"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规格型号</w:t>
            </w:r>
          </w:p>
        </w:tc>
        <w:tc>
          <w:tcPr>
            <w:tcW w:w="1706"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1</w:t>
            </w:r>
          </w:p>
        </w:tc>
        <w:tc>
          <w:tcPr>
            <w:tcW w:w="1705" w:type="dxa"/>
            <w:vAlign w:val="center"/>
          </w:tcPr>
          <w:p>
            <w:pPr>
              <w:pStyle w:val="2"/>
              <w:jc w:val="center"/>
              <w:rPr>
                <w:rFonts w:hint="eastAsia"/>
                <w:highlight w:val="none"/>
                <w:vertAlign w:val="baseline"/>
                <w:lang w:val="en-US" w:eastAsia="zh-CN"/>
              </w:rPr>
            </w:pPr>
            <w:r>
              <w:rPr>
                <w:rFonts w:hint="eastAsia"/>
                <w:highlight w:val="none"/>
                <w:vertAlign w:val="baseline"/>
                <w:lang w:val="en-US" w:eastAsia="zh-CN"/>
              </w:rPr>
              <w:t>灯具</w:t>
            </w:r>
          </w:p>
        </w:tc>
        <w:tc>
          <w:tcPr>
            <w:tcW w:w="1706" w:type="dxa"/>
            <w:vAlign w:val="center"/>
          </w:tcPr>
          <w:p>
            <w:pPr>
              <w:pStyle w:val="2"/>
              <w:jc w:val="center"/>
              <w:rPr>
                <w:rFonts w:hint="eastAsia"/>
                <w:highlight w:val="none"/>
                <w:vertAlign w:val="baseline"/>
                <w:lang w:val="en-US" w:eastAsia="zh-CN"/>
              </w:rPr>
            </w:pPr>
            <w:r>
              <w:rPr>
                <w:rFonts w:hint="eastAsia"/>
                <w:highlight w:val="none"/>
                <w:vertAlign w:val="baseline"/>
                <w:lang w:val="en-US" w:eastAsia="zh-CN"/>
              </w:rPr>
              <w:t>LED 灯具</w:t>
            </w:r>
          </w:p>
        </w:tc>
        <w:tc>
          <w:tcPr>
            <w:tcW w:w="1706" w:type="dxa"/>
            <w:vAlign w:val="center"/>
          </w:tcPr>
          <w:p>
            <w:pPr>
              <w:pStyle w:val="2"/>
              <w:jc w:val="center"/>
              <w:rPr>
                <w:rFonts w:hint="eastAsia"/>
                <w:highlight w:val="none"/>
                <w:vertAlign w:val="baseline"/>
                <w:lang w:val="en-US" w:eastAsia="zh-CN"/>
              </w:rPr>
            </w:pPr>
            <w:r>
              <w:rPr>
                <w:rFonts w:hint="eastAsia"/>
                <w:highlight w:val="none"/>
                <w:vertAlign w:val="baseline"/>
                <w:lang w:val="en-US" w:eastAsia="zh-CN"/>
              </w:rPr>
              <w:t>雷士、TCL、欧普、三雄极光、佛山照明或相当于上述档次的品牌；</w:t>
            </w:r>
          </w:p>
        </w:tc>
        <w:tc>
          <w:tcPr>
            <w:tcW w:w="1706" w:type="dxa"/>
            <w:vAlign w:val="center"/>
          </w:tcPr>
          <w:p>
            <w:pPr>
              <w:pStyle w:val="2"/>
              <w:jc w:val="center"/>
              <w:rPr>
                <w:rFonts w:hint="eastAsia"/>
                <w:highlight w:val="none"/>
                <w:vertAlign w:val="baseline"/>
                <w:lang w:val="en-US" w:eastAsia="zh-CN"/>
              </w:rPr>
            </w:pPr>
            <w:r>
              <w:rPr>
                <w:rFonts w:hint="eastAsia"/>
                <w:highlight w:val="none"/>
                <w:vertAlign w:val="baseline"/>
                <w:lang w:val="en-US" w:eastAsia="zh-CN"/>
              </w:rPr>
              <w:t>螺口 e27 灯头及钨丝灯不作要求</w:t>
            </w:r>
          </w:p>
        </w:tc>
      </w:tr>
    </w:tbl>
    <w:p>
      <w:pPr>
        <w:keepNext w:val="0"/>
        <w:keepLines w:val="0"/>
        <w:widowControl/>
        <w:suppressLineNumbers w:val="0"/>
        <w:spacing w:line="360" w:lineRule="auto"/>
        <w:jc w:val="left"/>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三、清单</w:t>
      </w:r>
    </w:p>
    <w:p>
      <w:pPr>
        <w:keepNext w:val="0"/>
        <w:keepLines w:val="0"/>
        <w:widowControl/>
        <w:suppressLineNumbers w:val="0"/>
        <w:spacing w:line="360" w:lineRule="auto"/>
        <w:jc w:val="left"/>
        <w:rPr>
          <w:rFonts w:hint="default"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详见附件</w:t>
      </w:r>
    </w:p>
    <w:p>
      <w:pPr>
        <w:rPr>
          <w:rFonts w:ascii="Times New Roman" w:hAnsi="Times New Roman" w:cs="Times New Roman"/>
          <w:highlight w:val="none"/>
        </w:rPr>
      </w:pPr>
    </w:p>
    <w:p>
      <w:pPr>
        <w:rPr>
          <w:rFonts w:ascii="Times New Roman" w:hAnsi="Times New Roman" w:eastAsia="宋体" w:cs="Times New Roman"/>
          <w:highlight w:val="none"/>
        </w:rPr>
      </w:pPr>
      <w:r>
        <w:rPr>
          <w:rFonts w:ascii="Times New Roman" w:hAnsi="Times New Roman" w:eastAsia="宋体" w:cs="Times New Roman"/>
          <w:highlight w:val="none"/>
        </w:rPr>
        <w:br w:type="page"/>
      </w:r>
    </w:p>
    <w:p>
      <w:pPr>
        <w:pStyle w:val="3"/>
        <w:numPr>
          <w:ilvl w:val="255"/>
          <w:numId w:val="0"/>
        </w:numPr>
        <w:spacing w:before="312" w:after="312"/>
        <w:ind w:left="402"/>
        <w:rPr>
          <w:rFonts w:hint="eastAsia" w:ascii="Times New Roman" w:hAnsi="Times New Roman" w:eastAsia="宋体" w:cs="Times New Roman"/>
          <w:highlight w:val="none"/>
        </w:rPr>
      </w:pPr>
      <w:bookmarkStart w:id="62" w:name="_Toc7773"/>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bookmarkEnd w:id="62"/>
    </w:p>
    <w:p>
      <w:pPr>
        <w:jc w:val="left"/>
        <w:rPr>
          <w:rFonts w:ascii="Times New Roman" w:hAnsi="Times New Roman" w:eastAsia="宋体" w:cs="Times New Roman"/>
          <w:highlight w:val="none"/>
        </w:rPr>
      </w:pPr>
      <w:r>
        <w:rPr>
          <w:rFonts w:ascii="Times New Roman" w:hAnsi="Times New Roman" w:eastAsia="宋体" w:cs="Times New Roman"/>
          <w:highlight w:val="none"/>
        </w:rPr>
        <w:br w:type="page"/>
      </w:r>
    </w:p>
    <w:p>
      <w:pPr>
        <w:spacing w:line="440" w:lineRule="exact"/>
        <w:jc w:val="center"/>
        <w:rPr>
          <w:rFonts w:hint="eastAsia" w:ascii="宋体" w:hAnsi="宋体" w:eastAsia="宋体" w:cs="宋体"/>
          <w:b/>
          <w:bCs/>
          <w:kern w:val="0"/>
          <w:sz w:val="36"/>
          <w:szCs w:val="36"/>
          <w:highlight w:val="none"/>
          <w:u w:val="single"/>
          <w:lang w:val="en-US" w:eastAsia="zh-CN"/>
        </w:rPr>
      </w:pPr>
    </w:p>
    <w:p>
      <w:pPr>
        <w:spacing w:line="440" w:lineRule="exact"/>
        <w:jc w:val="center"/>
        <w:rPr>
          <w:rFonts w:hint="eastAsia" w:ascii="宋体" w:hAnsi="宋体" w:eastAsia="宋体" w:cs="宋体"/>
          <w:b/>
          <w:bCs/>
          <w:kern w:val="0"/>
          <w:sz w:val="36"/>
          <w:szCs w:val="36"/>
          <w:highlight w:val="none"/>
          <w:u w:val="single"/>
          <w:lang w:val="en-US" w:eastAsia="zh-CN"/>
        </w:rPr>
      </w:pP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bookmarkStart w:id="63" w:name="_Toc32044_WPSOffice_Level1"/>
      <w:bookmarkStart w:id="64" w:name="_Toc29687_WPSOffice_Level1"/>
      <w:bookmarkStart w:id="65" w:name="_Toc17394_WPSOffice_Level1"/>
      <w:bookmarkStart w:id="66" w:name="_Toc1914_WPSOffice_Level1"/>
      <w:bookmarkStart w:id="67" w:name="_Toc10484_WPSOffice_Level1"/>
      <w:r>
        <w:rPr>
          <w:rFonts w:ascii="Times New Roman" w:hAnsi="Times New Roman" w:eastAsia="黑体" w:cs="Times New Roman"/>
          <w:sz w:val="50"/>
          <w:szCs w:val="50"/>
          <w:highlight w:val="none"/>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（商务技术文件）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bookmarkStart w:id="68" w:name="_Toc25232_WPSOffice_Level2"/>
      <w:bookmarkStart w:id="69" w:name="_Toc5520_WPSOffice_Level2"/>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w:t>
      </w:r>
      <w:bookmarkEnd w:id="68"/>
      <w:bookmarkEnd w:id="69"/>
      <w:r>
        <w:rPr>
          <w:rFonts w:ascii="Times New Roman" w:hAnsi="Times New Roman" w:eastAsia="黑体" w:cs="Times New Roman"/>
          <w:sz w:val="28"/>
          <w:szCs w:val="28"/>
          <w:highlight w:val="none"/>
          <w:u w:val="single"/>
        </w:rPr>
        <w:t xml:space="preserve">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bookmarkStart w:id="70" w:name="_Toc20076_WPSOffice_Level2"/>
      <w:bookmarkStart w:id="71" w:name="_Toc31577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70"/>
      <w:bookmarkEnd w:id="71"/>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72" w:name="_Toc21974_WPSOffice_Level2"/>
      <w:bookmarkStart w:id="73" w:name="_Toc22351_WPSOffice_Level2"/>
      <w:r>
        <w:rPr>
          <w:rFonts w:ascii="Times New Roman" w:hAnsi="Times New Roman" w:eastAsia="黑体" w:cs="Times New Roman"/>
          <w:sz w:val="28"/>
          <w:szCs w:val="28"/>
          <w:highlight w:val="none"/>
        </w:rPr>
        <w:t>目     录</w:t>
      </w:r>
      <w:bookmarkEnd w:id="72"/>
      <w:bookmarkEnd w:id="73"/>
    </w:p>
    <w:p>
      <w:pPr>
        <w:spacing w:line="440" w:lineRule="exact"/>
        <w:rPr>
          <w:rFonts w:ascii="Times New Roman" w:hAnsi="Times New Roman" w:eastAsia="黑体" w:cs="Times New Roman"/>
          <w:sz w:val="20"/>
          <w:szCs w:val="20"/>
          <w:highlight w:val="none"/>
        </w:rPr>
      </w:pPr>
    </w:p>
    <w:p>
      <w:pPr>
        <w:spacing w:line="440" w:lineRule="exact"/>
        <w:ind w:left="1619" w:leftChars="771"/>
        <w:rPr>
          <w:rFonts w:ascii="Times New Roman" w:hAnsi="Times New Roman" w:eastAsia="黑体" w:cs="Times New Roman"/>
          <w:sz w:val="24"/>
          <w:highlight w:val="none"/>
        </w:rPr>
      </w:pPr>
      <w:bookmarkStart w:id="74" w:name="_Toc11424_WPSOffice_Level1"/>
      <w:bookmarkStart w:id="75" w:name="_Toc6353_WPSOffice_Level1"/>
      <w:bookmarkStart w:id="76" w:name="_Toc5842_WPSOffice_Level1"/>
      <w:bookmarkStart w:id="77" w:name="_Toc30529_WPSOffice_Level1"/>
      <w:bookmarkStart w:id="78" w:name="_Toc23368_WPSOffice_Level1"/>
      <w:bookmarkStart w:id="79" w:name="_Toc12670_WPSOffice_Level1"/>
      <w:r>
        <w:rPr>
          <w:rFonts w:ascii="Times New Roman" w:hAnsi="Times New Roman" w:eastAsia="黑体" w:cs="Times New Roman"/>
          <w:sz w:val="24"/>
          <w:highlight w:val="none"/>
        </w:rPr>
        <w:t>一、</w:t>
      </w:r>
      <w:r>
        <w:rPr>
          <w:rFonts w:hint="eastAsia" w:ascii="Times New Roman" w:hAnsi="Times New Roman" w:eastAsia="黑体" w:cs="Times New Roman"/>
          <w:sz w:val="24"/>
          <w:highlight w:val="none"/>
          <w:lang w:val="en-US" w:eastAsia="zh-CN"/>
        </w:rPr>
        <w:t>响应</w:t>
      </w:r>
      <w:r>
        <w:rPr>
          <w:rFonts w:ascii="Times New Roman" w:hAnsi="Times New Roman" w:eastAsia="黑体" w:cs="Times New Roman"/>
          <w:sz w:val="24"/>
          <w:highlight w:val="none"/>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highlight w:val="none"/>
        </w:rPr>
      </w:pPr>
      <w:bookmarkStart w:id="80" w:name="_Toc30428_WPSOffice_Level1"/>
      <w:bookmarkStart w:id="81" w:name="_Toc21229_WPSOffice_Level1"/>
      <w:bookmarkStart w:id="82" w:name="_Toc32729_WPSOffice_Level1"/>
      <w:bookmarkStart w:id="83" w:name="_Toc31927_WPSOffice_Level1"/>
      <w:bookmarkStart w:id="84" w:name="_Toc5317_WPSOffice_Level1"/>
      <w:r>
        <w:rPr>
          <w:rFonts w:ascii="Times New Roman" w:hAnsi="Times New Roman" w:eastAsia="黑体" w:cs="Times New Roman"/>
          <w:sz w:val="24"/>
          <w:highlight w:val="none"/>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highlight w:val="none"/>
        </w:rPr>
      </w:pPr>
      <w:bookmarkStart w:id="85" w:name="_Toc23356_WPSOffice_Level1"/>
      <w:bookmarkStart w:id="86" w:name="_Toc25965_WPSOffice_Level1"/>
      <w:bookmarkStart w:id="87" w:name="_Toc29085_WPSOffice_Level1"/>
      <w:bookmarkStart w:id="88" w:name="_Toc21853_WPSOffice_Level1"/>
      <w:bookmarkStart w:id="89" w:name="_Toc4728_WPSOffice_Level1"/>
      <w:r>
        <w:rPr>
          <w:rFonts w:hint="eastAsia" w:ascii="Times New Roman" w:hAnsi="Times New Roman" w:eastAsia="黑体" w:cs="Times New Roman"/>
          <w:sz w:val="24"/>
          <w:highlight w:val="none"/>
        </w:rPr>
        <w:t>三</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highlight w:val="none"/>
        </w:rPr>
      </w:pPr>
      <w:bookmarkStart w:id="90" w:name="_Toc18964_WPSOffice_Level1"/>
      <w:bookmarkStart w:id="91" w:name="_Toc7453_WPSOffice_Level1"/>
      <w:bookmarkStart w:id="92" w:name="_Toc23744_WPSOffice_Level1"/>
      <w:bookmarkStart w:id="93" w:name="_Toc10608_WPSOffice_Level1"/>
      <w:bookmarkStart w:id="94" w:name="_Toc29870_WPSOffice_Level1"/>
      <w:r>
        <w:rPr>
          <w:rFonts w:hint="eastAsia" w:ascii="Times New Roman" w:hAnsi="Times New Roman" w:eastAsia="黑体" w:cs="Times New Roman"/>
          <w:sz w:val="24"/>
          <w:highlight w:val="none"/>
        </w:rPr>
        <w:t>四</w:t>
      </w:r>
      <w:r>
        <w:rPr>
          <w:rFonts w:ascii="Times New Roman" w:hAnsi="Times New Roman" w:eastAsia="黑体" w:cs="Times New Roman"/>
          <w:sz w:val="24"/>
          <w:highlight w:val="none"/>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highlight w:val="none"/>
        </w:rPr>
        <w:t>近年类似业绩情况</w:t>
      </w:r>
    </w:p>
    <w:p>
      <w:pPr>
        <w:spacing w:line="440" w:lineRule="exact"/>
        <w:ind w:left="1619" w:leftChars="771"/>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五</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信誉情况</w:t>
      </w:r>
    </w:p>
    <w:p>
      <w:pPr>
        <w:spacing w:line="440" w:lineRule="exact"/>
        <w:ind w:left="1619" w:leftChars="771"/>
        <w:rPr>
          <w:rFonts w:hint="eastAsia" w:ascii="Times New Roman" w:hAnsi="Times New Roman" w:eastAsia="黑体" w:cs="Times New Roman"/>
          <w:sz w:val="24"/>
          <w:highlight w:val="none"/>
        </w:rPr>
      </w:pPr>
      <w:bookmarkStart w:id="97" w:name="_Toc32220_WPSOffice_Level1"/>
      <w:bookmarkStart w:id="98" w:name="_Toc20930_WPSOffice_Level1"/>
      <w:bookmarkStart w:id="99" w:name="_Toc927_WPSOffice_Level1"/>
      <w:r>
        <w:rPr>
          <w:rFonts w:hint="eastAsia" w:ascii="Times New Roman" w:hAnsi="Times New Roman" w:eastAsia="黑体" w:cs="Times New Roman"/>
          <w:sz w:val="24"/>
          <w:highlight w:val="none"/>
          <w:lang w:val="en-US" w:eastAsia="zh-CN"/>
        </w:rPr>
        <w:t>六</w:t>
      </w:r>
      <w:r>
        <w:rPr>
          <w:rFonts w:ascii="Times New Roman" w:hAnsi="Times New Roman" w:eastAsia="黑体" w:cs="Times New Roman"/>
          <w:sz w:val="24"/>
          <w:highlight w:val="none"/>
        </w:rPr>
        <w:t>、</w:t>
      </w:r>
      <w:bookmarkEnd w:id="95"/>
      <w:bookmarkEnd w:id="96"/>
      <w:bookmarkEnd w:id="97"/>
      <w:bookmarkEnd w:id="98"/>
      <w:bookmarkEnd w:id="99"/>
      <w:r>
        <w:rPr>
          <w:rFonts w:hint="eastAsia" w:ascii="Times New Roman" w:hAnsi="Times New Roman" w:eastAsia="黑体" w:cs="Times New Roman"/>
          <w:sz w:val="24"/>
          <w:highlight w:val="none"/>
          <w:lang w:val="en-US" w:eastAsia="zh-CN"/>
        </w:rPr>
        <w:t>供货方案</w:t>
      </w:r>
    </w:p>
    <w:p>
      <w:pPr>
        <w:spacing w:line="440" w:lineRule="exact"/>
        <w:ind w:left="1619" w:leftChars="771"/>
        <w:rPr>
          <w:rFonts w:hint="eastAsia" w:ascii="Times New Roman" w:hAnsi="Times New Roman" w:eastAsia="黑体" w:cs="Times New Roman"/>
          <w:sz w:val="24"/>
          <w:highlight w:val="none"/>
        </w:rPr>
      </w:pPr>
      <w:bookmarkStart w:id="100" w:name="_Toc16988_WPSOffice_Level1"/>
      <w:bookmarkStart w:id="101" w:name="_Toc25973_WPSOffice_Level1"/>
      <w:bookmarkStart w:id="102" w:name="_Toc5885_WPSOffice_Level1"/>
      <w:r>
        <w:rPr>
          <w:rFonts w:hint="eastAsia" w:ascii="Times New Roman" w:hAnsi="Times New Roman" w:eastAsia="黑体" w:cs="Times New Roman"/>
          <w:sz w:val="24"/>
          <w:highlight w:val="none"/>
          <w:lang w:val="en-US" w:eastAsia="zh-CN"/>
        </w:rPr>
        <w:t>七</w:t>
      </w:r>
      <w:r>
        <w:rPr>
          <w:rFonts w:hint="eastAsia" w:ascii="Times New Roman" w:hAnsi="Times New Roman" w:eastAsia="黑体" w:cs="Times New Roman"/>
          <w:sz w:val="24"/>
          <w:highlight w:val="none"/>
        </w:rPr>
        <w:t>、其他材料</w:t>
      </w:r>
      <w:bookmarkEnd w:id="79"/>
      <w:bookmarkEnd w:id="100"/>
      <w:bookmarkEnd w:id="101"/>
      <w:bookmarkEnd w:id="102"/>
    </w:p>
    <w:p>
      <w:pPr>
        <w:pStyle w:val="18"/>
        <w:rPr>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br w:type="page"/>
      </w:r>
      <w:bookmarkStart w:id="103" w:name="_Toc1362_WPSOffice_Level1"/>
      <w:bookmarkStart w:id="104" w:name="_Toc1687_WPSOffice_Level1"/>
      <w:bookmarkStart w:id="105" w:name="_Toc3972_WPSOffice_Level1"/>
      <w:bookmarkStart w:id="106" w:name="_Toc2765_WPSOffice_Level1"/>
      <w:bookmarkStart w:id="107" w:name="_Toc18312_WPSOffice_Level1"/>
      <w:bookmarkStart w:id="108" w:name="_Toc1017_WPSOffice_Level1"/>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ascii="Times New Roman" w:hAnsi="Times New Roman" w:cs="Times New Roman"/>
          <w:sz w:val="24"/>
          <w:highlight w:val="none"/>
        </w:rPr>
        <w:t>采购人名称</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default" w:ascii="Times New Roman" w:hAnsi="Times New Roman" w:eastAsia="宋体" w:cs="Times New Roman"/>
          <w:sz w:val="24"/>
          <w:szCs w:val="24"/>
          <w:highlight w:val="none"/>
        </w:rPr>
        <w:t>1．</w:t>
      </w:r>
      <w:r>
        <w:rPr>
          <w:rFonts w:hint="eastAsia" w:ascii="宋体" w:hAnsi="宋体" w:eastAsia="宋体" w:cs="宋体"/>
          <w:sz w:val="24"/>
          <w:szCs w:val="24"/>
          <w:highlight w:val="none"/>
        </w:rPr>
        <w:t>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的全部内容，愿意以报价文件中的投标总报价（或根据</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规定修正核实后确定的另一金额）提供</w:t>
      </w:r>
      <w:r>
        <w:rPr>
          <w:rFonts w:hint="eastAsia" w:ascii="Times New Roman" w:hAnsi="Times New Roman" w:cs="Times New Roman"/>
          <w:sz w:val="24"/>
          <w:highlight w:val="none"/>
          <w:lang w:val="en-US" w:eastAsia="zh-CN"/>
        </w:rPr>
        <w:t>提供采购文件要求的货物、技术服务和质保售后服务，并按合同约定履行义务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2．</w:t>
      </w:r>
      <w:r>
        <w:rPr>
          <w:rFonts w:hint="eastAsia" w:ascii="宋体" w:hAnsi="宋体" w:eastAsia="宋体" w:cs="宋体"/>
          <w:sz w:val="24"/>
          <w:szCs w:val="24"/>
          <w:highlight w:val="none"/>
        </w:rPr>
        <w:t>我方承诺响应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sz w:val="24"/>
          <w:szCs w:val="24"/>
          <w:highlight w:val="none"/>
        </w:rPr>
        <w:t>3．</w:t>
      </w: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4．</w:t>
      </w:r>
      <w:r>
        <w:rPr>
          <w:rFonts w:hint="eastAsia" w:ascii="宋体" w:hAnsi="宋体" w:eastAsia="宋体" w:cs="宋体"/>
          <w:sz w:val="24"/>
          <w:szCs w:val="24"/>
          <w:highlight w:val="none"/>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5．</w:t>
      </w:r>
      <w:r>
        <w:rPr>
          <w:rFonts w:hint="eastAsia" w:ascii="宋体" w:hAnsi="宋体" w:eastAsia="宋体" w:cs="宋体"/>
          <w:sz w:val="24"/>
          <w:szCs w:val="24"/>
          <w:highlight w:val="none"/>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6．</w:t>
      </w:r>
      <w:r>
        <w:rPr>
          <w:rFonts w:hint="eastAsia" w:ascii="宋体" w:hAnsi="宋体" w:eastAsia="宋体" w:cs="宋体"/>
          <w:sz w:val="24"/>
          <w:szCs w:val="24"/>
          <w:highlight w:val="none"/>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18"/>
        <w:rPr>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5"/>
        <w:outlineLvl w:val="9"/>
        <w:rPr>
          <w:rFonts w:ascii="Times New Roman" w:hAnsi="Times New Roman" w:eastAsia="黑体" w:cs="Times New Roman"/>
          <w:sz w:val="20"/>
          <w:szCs w:val="20"/>
          <w:highlight w:val="none"/>
        </w:rPr>
      </w:pPr>
    </w:p>
    <w:p>
      <w:pPr>
        <w:rPr>
          <w:rFonts w:ascii="Times New Roman" w:hAnsi="Times New Roman" w:eastAsia="黑体" w:cs="Times New Roman"/>
          <w:sz w:val="20"/>
          <w:szCs w:val="20"/>
          <w:highlight w:val="none"/>
        </w:rPr>
      </w:pPr>
    </w:p>
    <w:p>
      <w:pPr>
        <w:pStyle w:val="2"/>
        <w:rPr>
          <w:highlight w:val="none"/>
        </w:rPr>
      </w:pPr>
    </w:p>
    <w:p>
      <w:pPr>
        <w:rPr>
          <w:highlight w:val="none"/>
        </w:rPr>
      </w:pPr>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highlight w:val="none"/>
        </w:rPr>
      </w:pPr>
      <w:bookmarkStart w:id="109" w:name="_Toc18668_WPSOffice_Level1"/>
      <w:bookmarkStart w:id="110" w:name="_Toc14563_WPSOffice_Level1"/>
      <w:bookmarkStart w:id="111" w:name="_Toc21740_WPSOffice_Level1"/>
      <w:bookmarkStart w:id="112" w:name="_Toc1996_WPSOffice_Level1"/>
      <w:bookmarkStart w:id="113" w:name="_Toc32350_WPSOffice_Level1"/>
      <w:bookmarkStart w:id="114" w:name="_Toc4951_WPSOffice_Level1"/>
      <w:r>
        <w:rPr>
          <w:rFonts w:ascii="Times New Roman" w:hAnsi="Times New Roman" w:eastAsia="黑体" w:cs="Times New Roman"/>
          <w:sz w:val="28"/>
          <w:szCs w:val="28"/>
          <w:highlight w:val="none"/>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highlight w:val="none"/>
        </w:rPr>
      </w:pPr>
      <w:bookmarkStart w:id="115" w:name="_Toc5153_WPSOffice_Level2"/>
      <w:bookmarkStart w:id="116" w:name="_Toc20803_WPSOffice_Level2"/>
      <w:r>
        <w:rPr>
          <w:rFonts w:ascii="Times New Roman" w:hAnsi="Times New Roman" w:eastAsia="黑体" w:cs="Times New Roman"/>
          <w:bCs/>
          <w:sz w:val="28"/>
          <w:szCs w:val="28"/>
          <w:highlight w:val="none"/>
        </w:rPr>
        <w:t>2-1 法定代表人身份证明</w:t>
      </w:r>
      <w:bookmarkEnd w:id="115"/>
      <w:bookmarkEnd w:id="116"/>
    </w:p>
    <w:p>
      <w:pPr>
        <w:spacing w:line="440" w:lineRule="exact"/>
        <w:rPr>
          <w:rFonts w:ascii="Times New Roman" w:hAnsi="Times New Roman" w:cs="Times New Roman"/>
          <w:sz w:val="20"/>
          <w:szCs w:val="20"/>
          <w:highlight w:val="none"/>
        </w:rPr>
      </w:pP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单位性质：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成立时间：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日</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经营期限：</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 xml:space="preserve"> 性别：</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职务：</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highlight w:val="none"/>
        </w:rPr>
      </w:pP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宋体" w:hAnsi="宋体" w:eastAsia="宋体" w:cs="宋体"/>
          <w:sz w:val="24"/>
          <w:highlight w:val="none"/>
        </w:rPr>
      </w:pPr>
      <w:r>
        <w:rPr>
          <w:rFonts w:ascii="Times New Roman" w:hAnsi="Times New Roman" w:cs="Times New Roman"/>
          <w:sz w:val="24"/>
          <w:highlight w:val="none"/>
        </w:rPr>
        <w:t xml:space="preserve">                         </w:t>
      </w:r>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pPr>
        <w:spacing w:line="440" w:lineRule="exact"/>
        <w:rPr>
          <w:rFonts w:ascii="Times New Roman" w:hAnsi="Times New Roman" w:cs="Times New Roman"/>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日  </w:t>
      </w:r>
      <w:r>
        <w:rPr>
          <w:rFonts w:ascii="Times New Roman" w:hAnsi="Times New Roman" w:cs="Times New Roman"/>
          <w:sz w:val="24"/>
          <w:highlight w:val="none"/>
        </w:rPr>
        <w:t xml:space="preserve">         </w:t>
      </w: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ind w:left="315" w:hanging="315" w:hangingChars="150"/>
        <w:rPr>
          <w:rFonts w:ascii="Times New Roman" w:hAnsi="Times New Roman" w:eastAsia="黑体" w:cs="Times New Roman"/>
          <w:szCs w:val="21"/>
          <w:highlight w:val="none"/>
        </w:rPr>
      </w:pPr>
    </w:p>
    <w:p>
      <w:pPr>
        <w:topLinePunct/>
        <w:spacing w:line="440" w:lineRule="exact"/>
        <w:ind w:left="315" w:hanging="315" w:hangingChars="150"/>
        <w:rPr>
          <w:rFonts w:ascii="Times New Roman" w:hAnsi="Times New Roman" w:eastAsia="黑体" w:cs="Times New Roman"/>
          <w:bCs/>
          <w:szCs w:val="21"/>
          <w:highlight w:val="none"/>
        </w:rPr>
      </w:pPr>
    </w:p>
    <w:p>
      <w:pPr>
        <w:spacing w:line="440" w:lineRule="exact"/>
        <w:jc w:val="center"/>
        <w:rPr>
          <w:rFonts w:hint="eastAsia" w:ascii="Times New Roman" w:hAnsi="Times New Roman" w:cs="Times New Roman" w:eastAsiaTheme="minorEastAsia"/>
          <w:sz w:val="28"/>
          <w:szCs w:val="28"/>
          <w:highlight w:val="none"/>
          <w:lang w:eastAsia="zh-CN"/>
        </w:rPr>
      </w:pPr>
      <w:r>
        <w:rPr>
          <w:rFonts w:ascii="Times New Roman" w:hAnsi="Times New Roman" w:eastAsia="黑体" w:cs="Times New Roman"/>
          <w:sz w:val="24"/>
          <w:highlight w:val="none"/>
        </w:rPr>
        <w:br w:type="page"/>
      </w:r>
      <w:bookmarkStart w:id="117" w:name="_Toc19768_WPSOffice_Level2"/>
      <w:bookmarkStart w:id="118" w:name="_Toc12035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117"/>
      <w:bookmarkEnd w:id="118"/>
    </w:p>
    <w:p>
      <w:pPr>
        <w:spacing w:line="440" w:lineRule="exact"/>
        <w:rPr>
          <w:rFonts w:ascii="Times New Roman" w:hAnsi="Times New Roman" w:eastAsia="黑体" w:cs="Times New Roman"/>
          <w:sz w:val="24"/>
          <w:highlight w:val="none"/>
        </w:rPr>
      </w:pPr>
    </w:p>
    <w:p>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(供应商名称)的法定代表人，现委托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(姓名)为我方代理人。代理人根据授权，以我方名义签署、澄清、说明、补正、递交、撤回、修改</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(项目名称)响应文件、签订合同和处理有关事宜，其法律后果由我方承担。</w:t>
      </w: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Theme="minorEastAsia" w:hAnsiTheme="minorEastAsia" w:eastAsiaTheme="minorEastAsia" w:cstheme="minorEastAsia"/>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Theme="minorEastAsia" w:hAnsiTheme="minorEastAsia" w:eastAsiaTheme="minorEastAsia" w:cstheme="minorEastAsia"/>
          <w:sz w:val="24"/>
          <w:highlight w:val="none"/>
        </w:rPr>
        <w:t>(盖单位章)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ind w:firstLine="3000" w:firstLineChars="1250"/>
        <w:rPr>
          <w:rFonts w:ascii="Times New Roman" w:hAnsi="Times New Roman" w:eastAsia="黑体" w:cs="Times New Roman"/>
          <w:sz w:val="24"/>
          <w:highlight w:val="none"/>
        </w:rPr>
        <w:sectPr>
          <w:headerReference r:id="rId12" w:type="default"/>
          <w:footerReference r:id="rId13"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bookmarkStart w:id="119" w:name="_Toc28828_WPSOffice_Level1"/>
      <w:bookmarkStart w:id="120" w:name="_Toc27513_WPSOffice_Level1"/>
      <w:bookmarkStart w:id="121" w:name="_Toc26364_WPSOffice_Level1"/>
      <w:bookmarkStart w:id="122" w:name="_Toc24567_WPSOffice_Level1"/>
      <w:bookmarkStart w:id="123" w:name="_Toc24530_WPSOffice_Level1"/>
      <w:bookmarkStart w:id="124" w:name="_Toc32085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highlight w:val="none"/>
        </w:rPr>
      </w:pPr>
      <w:bookmarkStart w:id="125" w:name="_Toc7738_WPSOffice_Level1"/>
      <w:bookmarkStart w:id="126" w:name="_Toc10436_WPSOffice_Level1"/>
      <w:bookmarkStart w:id="127" w:name="_Toc10646_WPSOffice_Level1"/>
      <w:bookmarkStart w:id="128" w:name="_Toc31445_WPSOffice_Level1"/>
      <w:bookmarkStart w:id="129" w:name="_Toc17124_WPSOffice_Level1"/>
      <w:bookmarkStart w:id="130" w:name="_Toc19015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131" w:name="_Toc27600_WPSOffice_Level2"/>
      <w:bookmarkStart w:id="132" w:name="_Toc2807_WPSOffice_Level2"/>
      <w:r>
        <w:rPr>
          <w:rFonts w:ascii="Times New Roman" w:hAnsi="Times New Roman" w:eastAsia="黑体" w:cs="Times New Roman"/>
          <w:sz w:val="28"/>
          <w:szCs w:val="28"/>
          <w:highlight w:val="none"/>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highlight w:val="none"/>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highlight w:val="none"/>
              </w:rPr>
            </w:pPr>
          </w:p>
          <w:p>
            <w:pPr>
              <w:topLinePunct/>
              <w:spacing w:line="440" w:lineRule="exact"/>
              <w:jc w:val="center"/>
              <w:rPr>
                <w:rFonts w:ascii="Times New Roman" w:hAnsi="Times New Roman" w:cs="Times New Roman"/>
                <w:szCs w:val="21"/>
                <w:highlight w:val="none"/>
              </w:rPr>
            </w:pPr>
          </w:p>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bl>
    <w:p>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在本表后应附企业法人</w:t>
      </w:r>
      <w:r>
        <w:rPr>
          <w:rFonts w:ascii="Times New Roman" w:hAnsi="Times New Roman" w:eastAsia="黑体" w:cs="Times New Roman"/>
          <w:b/>
          <w:bCs/>
          <w:sz w:val="21"/>
          <w:szCs w:val="21"/>
          <w:highlight w:val="none"/>
        </w:rPr>
        <w:t>营业执照、</w:t>
      </w:r>
      <w:r>
        <w:rPr>
          <w:rFonts w:hint="eastAsia" w:ascii="Times New Roman" w:hAnsi="Times New Roman" w:eastAsia="黑体" w:cs="Times New Roman"/>
          <w:b/>
          <w:bCs/>
          <w:sz w:val="21"/>
          <w:szCs w:val="21"/>
          <w:highlight w:val="none"/>
          <w:lang w:val="en-US" w:eastAsia="zh-CN"/>
        </w:rPr>
        <w:t>制造商（生产厂家）证明材料</w:t>
      </w:r>
      <w:r>
        <w:rPr>
          <w:rFonts w:ascii="Times New Roman" w:hAnsi="Times New Roman" w:eastAsia="黑体" w:cs="Times New Roman"/>
          <w:sz w:val="21"/>
          <w:szCs w:val="21"/>
          <w:highlight w:val="none"/>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pPr>
        <w:bidi w:val="0"/>
        <w:jc w:val="center"/>
        <w:rPr>
          <w:rFonts w:hint="eastAsia" w:ascii="黑体" w:hAnsi="黑体" w:eastAsia="黑体" w:cs="黑体"/>
          <w:sz w:val="28"/>
          <w:szCs w:val="28"/>
          <w:highlight w:val="none"/>
        </w:rPr>
      </w:pPr>
      <w:bookmarkStart w:id="133" w:name="_Toc18547_WPSOffice_Level1"/>
      <w:bookmarkStart w:id="134" w:name="_Toc19004_WPSOffice_Level1"/>
      <w:bookmarkStart w:id="135" w:name="_Toc1452_WPSOffice_Level1"/>
      <w:bookmarkStart w:id="136" w:name="_Toc3772_WPSOffice_Level1"/>
      <w:bookmarkStart w:id="137" w:name="_Toc5072_WPSOffice_Level1"/>
      <w:bookmarkStart w:id="138" w:name="_Toc3912"/>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w:t>
            </w:r>
            <w:r>
              <w:rPr>
                <w:rFonts w:ascii="Times New Roman" w:hAnsi="Times New Roman" w:cs="Times New Roman"/>
                <w:szCs w:val="21"/>
                <w:highlight w:val="none"/>
              </w:rPr>
              <w:t>电话</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ascii="Times New Roman" w:hAnsi="Times New Roman" w:cs="Times New Roman"/>
                <w:szCs w:val="21"/>
                <w:highlight w:val="none"/>
              </w:rPr>
              <w:t>描述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258" w:type="dxa"/>
          </w:tcPr>
          <w:p>
            <w:pPr>
              <w:topLinePunct/>
              <w:spacing w:line="440" w:lineRule="exact"/>
              <w:rPr>
                <w:rFonts w:ascii="Times New Roman" w:hAnsi="Times New Roman" w:cs="Times New Roman"/>
                <w:szCs w:val="21"/>
                <w:highlight w:val="none"/>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rPr>
      </w:pPr>
      <w:r>
        <w:rPr>
          <w:rFonts w:hint="eastAsia" w:ascii="黑体" w:hAnsi="黑体" w:eastAsia="黑体" w:cs="黑体"/>
          <w:sz w:val="21"/>
          <w:szCs w:val="21"/>
          <w:highlight w:val="none"/>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rPr>
        <w:t>2、业绩证明材料要求：</w:t>
      </w:r>
      <w:r>
        <w:rPr>
          <w:rFonts w:hint="eastAsia" w:ascii="黑体" w:hAnsi="黑体" w:eastAsia="黑体" w:cs="黑体"/>
          <w:sz w:val="21"/>
          <w:szCs w:val="21"/>
          <w:highlight w:val="none"/>
          <w:u w:val="single"/>
          <w:lang w:val="en-US" w:eastAsia="zh-CN"/>
        </w:rPr>
        <w:t>详见业绩要求</w:t>
      </w:r>
      <w:r>
        <w:rPr>
          <w:rFonts w:hint="eastAsia" w:ascii="黑体" w:hAnsi="黑体" w:eastAsia="黑体" w:cs="黑体"/>
          <w:sz w:val="21"/>
          <w:szCs w:val="21"/>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hint="eastAsia" w:ascii="黑体" w:hAnsi="黑体" w:eastAsia="黑体" w:cs="黑体"/>
          <w:sz w:val="21"/>
          <w:szCs w:val="21"/>
          <w:highlight w:val="none"/>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highlight w:val="none"/>
        </w:rPr>
        <w:br w:type="page"/>
      </w:r>
    </w:p>
    <w:p>
      <w:pPr>
        <w:bidi w:val="0"/>
        <w:jc w:val="center"/>
        <w:rPr>
          <w:rFonts w:ascii="Times New Roman" w:hAnsi="Times New Roman" w:cs="Times New Roman"/>
          <w:bCs/>
          <w:sz w:val="23"/>
          <w:szCs w:val="23"/>
          <w:highlight w:val="none"/>
        </w:rPr>
      </w:pPr>
      <w:bookmarkStart w:id="139" w:name="_Toc3893_WPSOffice_Level1"/>
      <w:bookmarkStart w:id="140" w:name="_Toc5889_WPSOffice_Level1"/>
      <w:bookmarkStart w:id="141" w:name="_Toc10810_WPSOffice_Level1"/>
      <w:bookmarkStart w:id="142" w:name="_Toc26594_WPSOffice_Level1"/>
      <w:bookmarkStart w:id="143" w:name="_Toc5403_WPSOffice_Level1"/>
      <w:bookmarkStart w:id="144" w:name="_Toc12019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highlight w:val="none"/>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2"/>
        <w:jc w:val="right"/>
        <w:rPr>
          <w:rFonts w:ascii="Times New Roman" w:hAnsi="Times New Roman"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pStyle w:val="2"/>
        <w:rPr>
          <w:highlight w:val="none"/>
        </w:rPr>
      </w:pPr>
    </w:p>
    <w:p>
      <w:pPr>
        <w:pStyle w:val="2"/>
        <w:spacing w:line="440" w:lineRule="exact"/>
        <w:rPr>
          <w:rFonts w:ascii="Times New Roman" w:hAnsi="Times New Roman" w:cs="Times New Roman"/>
          <w:sz w:val="24"/>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pStyle w:val="2"/>
        <w:rPr>
          <w:rFonts w:ascii="Times New Roman" w:hAnsi="Times New Roman" w:eastAsia="黑体" w:cs="Times New Roman"/>
          <w:sz w:val="27"/>
          <w:szCs w:val="27"/>
          <w:highlight w:val="none"/>
        </w:rPr>
      </w:pPr>
    </w:p>
    <w:p>
      <w:pPr>
        <w:rPr>
          <w:rFonts w:ascii="Times New Roman" w:hAnsi="Times New Roman" w:eastAsia="黑体" w:cs="Times New Roman"/>
          <w:sz w:val="27"/>
          <w:szCs w:val="27"/>
          <w:highlight w:val="none"/>
        </w:rPr>
      </w:pPr>
    </w:p>
    <w:p>
      <w:pPr>
        <w:pStyle w:val="2"/>
        <w:rPr>
          <w:highlight w:val="none"/>
        </w:rPr>
      </w:pPr>
    </w:p>
    <w:p>
      <w:pPr>
        <w:spacing w:line="400" w:lineRule="atLeast"/>
        <w:jc w:val="center"/>
        <w:rPr>
          <w:rFonts w:ascii="Times New Roman" w:hAnsi="Times New Roman" w:eastAsia="黑体" w:cs="Times New Roman"/>
          <w:sz w:val="27"/>
          <w:szCs w:val="27"/>
          <w:highlight w:val="none"/>
        </w:rPr>
      </w:pPr>
    </w:p>
    <w:p>
      <w:pPr>
        <w:numPr>
          <w:ilvl w:val="0"/>
          <w:numId w:val="0"/>
        </w:numPr>
        <w:bidi w:val="0"/>
        <w:jc w:val="both"/>
        <w:rPr>
          <w:rFonts w:hint="eastAsia" w:ascii="黑体" w:hAnsi="黑体" w:eastAsia="黑体" w:cs="黑体"/>
          <w:sz w:val="28"/>
          <w:szCs w:val="28"/>
          <w:highlight w:val="none"/>
          <w:lang w:val="en-US" w:eastAsia="zh-CN"/>
        </w:rPr>
      </w:pPr>
      <w:bookmarkStart w:id="145" w:name="_Toc22303_WPSOffice_Level1"/>
      <w:bookmarkStart w:id="146" w:name="_Toc19034_WPSOffice_Level1"/>
      <w:bookmarkStart w:id="147" w:name="_Toc5957_WPSOffice_Level1"/>
      <w:bookmarkStart w:id="148" w:name="_Toc2428_WPSOffice_Level1"/>
      <w:bookmarkStart w:id="149" w:name="_Toc31963_WPSOffice_Level1"/>
      <w:bookmarkStart w:id="150" w:name="_Toc13165_WPSOffice_Level1"/>
    </w:p>
    <w:p>
      <w:pPr>
        <w:rPr>
          <w:rFonts w:hint="eastAsia"/>
          <w:highlight w:val="none"/>
          <w:lang w:val="en-US" w:eastAsia="zh-CN"/>
        </w:rPr>
      </w:pPr>
    </w:p>
    <w:p>
      <w:pPr>
        <w:numPr>
          <w:ilvl w:val="0"/>
          <w:numId w:val="0"/>
        </w:numPr>
        <w:bidi w:val="0"/>
        <w:jc w:val="center"/>
        <w:rPr>
          <w:rFonts w:hint="eastAsia" w:ascii="Times New Roman"/>
          <w:color w:val="auto"/>
          <w:szCs w:val="24"/>
          <w:highlight w:val="none"/>
          <w:lang w:eastAsia="zh-CN"/>
        </w:rPr>
      </w:pPr>
      <w:r>
        <w:rPr>
          <w:rFonts w:hint="eastAsia" w:ascii="黑体" w:hAnsi="黑体" w:eastAsia="黑体" w:cs="黑体"/>
          <w:sz w:val="28"/>
          <w:szCs w:val="28"/>
          <w:highlight w:val="none"/>
          <w:lang w:val="en-US" w:eastAsia="zh-CN"/>
        </w:rPr>
        <w:t>六、供货方案</w:t>
      </w:r>
    </w:p>
    <w:p>
      <w:pPr>
        <w:numPr>
          <w:ilvl w:val="0"/>
          <w:numId w:val="0"/>
        </w:numPr>
        <w:bidi w:val="0"/>
        <w:jc w:val="both"/>
        <w:rPr>
          <w:rFonts w:hint="eastAsia" w:ascii="Times New Roman"/>
          <w:color w:val="auto"/>
          <w:sz w:val="24"/>
          <w:szCs w:val="24"/>
          <w:highlight w:val="none"/>
          <w:lang w:eastAsia="zh-CN"/>
        </w:rPr>
      </w:pPr>
      <w:r>
        <w:rPr>
          <w:rFonts w:hint="eastAsia" w:ascii="Times New Roman"/>
          <w:color w:val="auto"/>
          <w:sz w:val="24"/>
          <w:szCs w:val="24"/>
          <w:highlight w:val="none"/>
          <w:lang w:val="en-US" w:eastAsia="zh-CN"/>
        </w:rPr>
        <w:t>供应商应按项目特点编制供货方案</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文字宜精炼，内容具有可行性、针对性</w:t>
      </w:r>
      <w:r>
        <w:rPr>
          <w:rFonts w:hint="eastAsia" w:ascii="Times New Roman"/>
          <w:color w:val="auto"/>
          <w:sz w:val="24"/>
          <w:szCs w:val="24"/>
          <w:highlight w:val="none"/>
          <w:lang w:eastAsia="zh-CN"/>
        </w:rPr>
        <w:t>。</w:t>
      </w:r>
    </w:p>
    <w:p>
      <w:pPr>
        <w:pStyle w:val="18"/>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8"/>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8"/>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8"/>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18"/>
        <w:rPr>
          <w:rFonts w:hint="eastAsia" w:ascii="Times New Roman" w:hAnsi="Times New Roman" w:eastAsia="黑体" w:cs="Times New Roman"/>
          <w:sz w:val="28"/>
          <w:szCs w:val="28"/>
          <w:highlight w:val="none"/>
        </w:rPr>
      </w:pPr>
    </w:p>
    <w:p>
      <w:pPr>
        <w:rPr>
          <w:rFonts w:hint="eastAsia"/>
          <w:highlight w:val="none"/>
        </w:rPr>
      </w:pPr>
    </w:p>
    <w:p>
      <w:pPr>
        <w:pStyle w:val="18"/>
        <w:rPr>
          <w:rFonts w:hint="eastAsia"/>
          <w:highlight w:val="none"/>
        </w:rPr>
      </w:pPr>
    </w:p>
    <w:p>
      <w:pPr>
        <w:pStyle w:val="18"/>
        <w:rPr>
          <w:rFonts w:hint="eastAsia"/>
          <w:highlight w:val="none"/>
        </w:rPr>
      </w:pPr>
    </w:p>
    <w:p>
      <w:pPr>
        <w:rPr>
          <w:rFonts w:hint="eastAsia"/>
          <w:highlight w:val="none"/>
        </w:rPr>
      </w:pPr>
    </w:p>
    <w:p>
      <w:pPr>
        <w:pStyle w:val="18"/>
        <w:rPr>
          <w:rFonts w:hint="eastAsia"/>
          <w:highlight w:val="none"/>
        </w:rPr>
      </w:pPr>
    </w:p>
    <w:p>
      <w:pPr>
        <w:rPr>
          <w:rFonts w:hint="eastAsia"/>
          <w:highlight w:val="none"/>
        </w:rPr>
      </w:pPr>
    </w:p>
    <w:p>
      <w:pPr>
        <w:pStyle w:val="18"/>
        <w:rPr>
          <w:rFonts w:hint="eastAsia"/>
          <w:highlight w:val="none"/>
        </w:rPr>
      </w:pPr>
    </w:p>
    <w:p>
      <w:pPr>
        <w:rPr>
          <w:rFonts w:hint="eastAsia"/>
          <w:highlight w:val="none"/>
        </w:rPr>
      </w:pPr>
    </w:p>
    <w:p>
      <w:pPr>
        <w:pStyle w:val="18"/>
        <w:rPr>
          <w:rFonts w:hint="eastAsia"/>
          <w:highlight w:val="none"/>
        </w:rPr>
      </w:pPr>
    </w:p>
    <w:p>
      <w:pPr>
        <w:rPr>
          <w:rFonts w:hint="eastAsia"/>
          <w:highlight w:val="none"/>
        </w:rPr>
      </w:pPr>
    </w:p>
    <w:p>
      <w:pPr>
        <w:pStyle w:val="18"/>
        <w:rPr>
          <w:rFonts w:hint="eastAsia"/>
          <w:highlight w:val="none"/>
        </w:rPr>
      </w:pPr>
    </w:p>
    <w:p>
      <w:pPr>
        <w:rPr>
          <w:rFonts w:hint="eastAsia"/>
          <w:highlight w:val="none"/>
        </w:rPr>
      </w:pPr>
    </w:p>
    <w:p>
      <w:pPr>
        <w:pStyle w:val="2"/>
        <w:rPr>
          <w:rFonts w:hint="eastAsia"/>
          <w:highlight w:val="none"/>
        </w:rPr>
      </w:pPr>
    </w:p>
    <w:p>
      <w:pPr>
        <w:pStyle w:val="30"/>
        <w:rPr>
          <w:rFonts w:hint="eastAsia"/>
          <w:highlight w:val="none"/>
        </w:rPr>
      </w:pPr>
    </w:p>
    <w:p>
      <w:pPr>
        <w:pStyle w:val="30"/>
        <w:rPr>
          <w:rFonts w:hint="eastAsia"/>
          <w:highlight w:val="none"/>
        </w:rPr>
      </w:pPr>
    </w:p>
    <w:p>
      <w:pPr>
        <w:pStyle w:val="30"/>
        <w:rPr>
          <w:rFonts w:hint="eastAsia"/>
          <w:highlight w:val="none"/>
        </w:rPr>
      </w:pPr>
    </w:p>
    <w:p>
      <w:pPr>
        <w:pStyle w:val="30"/>
        <w:rPr>
          <w:rFonts w:hint="eastAsia"/>
          <w:highlight w:val="none"/>
        </w:rPr>
      </w:pPr>
    </w:p>
    <w:p>
      <w:pPr>
        <w:pStyle w:val="30"/>
        <w:rPr>
          <w:rFonts w:hint="eastAsia"/>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、其</w:t>
      </w:r>
      <w:bookmarkEnd w:id="145"/>
      <w:r>
        <w:rPr>
          <w:rFonts w:hint="eastAsia" w:ascii="Times New Roman" w:hAnsi="Times New Roman" w:eastAsia="黑体" w:cs="Times New Roman"/>
          <w:sz w:val="28"/>
          <w:szCs w:val="28"/>
          <w:highlight w:val="none"/>
          <w:lang w:val="en-US" w:eastAsia="zh-CN"/>
        </w:rPr>
        <w:t>他</w:t>
      </w:r>
      <w:r>
        <w:rPr>
          <w:rFonts w:ascii="Times New Roman" w:hAnsi="Times New Roman" w:eastAsia="黑体" w:cs="Times New Roman"/>
          <w:sz w:val="28"/>
          <w:szCs w:val="28"/>
          <w:highlight w:val="none"/>
        </w:rPr>
        <w:t>材料</w:t>
      </w:r>
      <w:bookmarkEnd w:id="146"/>
      <w:bookmarkEnd w:id="147"/>
      <w:bookmarkEnd w:id="148"/>
      <w:bookmarkEnd w:id="149"/>
      <w:bookmarkEnd w:id="150"/>
    </w:p>
    <w:p>
      <w:pPr>
        <w:pStyle w:val="30"/>
        <w:rPr>
          <w:rFonts w:hint="default" w:ascii="Times New Roman" w:hAnsi="Times New Roman"/>
          <w:color w:val="auto"/>
          <w:szCs w:val="28"/>
          <w:highlight w:val="none"/>
        </w:rPr>
      </w:pPr>
    </w:p>
    <w:p>
      <w:pPr>
        <w:pStyle w:val="30"/>
        <w:numPr>
          <w:ilvl w:val="0"/>
          <w:numId w:val="0"/>
        </w:numP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响应保证金的银行凭证（电汇回单）复印件等。</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pPr>
        <w:pStyle w:val="18"/>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r>
        <w:rPr>
          <w:rFonts w:ascii="Times New Roman" w:hAnsi="Times New Roman" w:eastAsia="黑体" w:cs="Times New Roman"/>
          <w:sz w:val="28"/>
          <w:szCs w:val="28"/>
          <w:highlight w:val="none"/>
        </w:rPr>
        <w:t>目     录</w:t>
      </w:r>
    </w:p>
    <w:p>
      <w:pPr>
        <w:spacing w:line="440" w:lineRule="exact"/>
        <w:rPr>
          <w:rFonts w:ascii="Times New Roman" w:hAnsi="Times New Roman" w:eastAsia="黑体" w:cs="Times New Roman"/>
          <w:sz w:val="20"/>
          <w:szCs w:val="20"/>
          <w:highlight w:val="none"/>
        </w:rPr>
      </w:pP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一、报价函</w:t>
      </w: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二、已标价</w:t>
      </w:r>
      <w:r>
        <w:rPr>
          <w:rFonts w:hint="eastAsia" w:ascii="Times New Roman" w:hAnsi="Times New Roman" w:eastAsia="黑体" w:cs="Times New Roman"/>
          <w:sz w:val="24"/>
          <w:szCs w:val="24"/>
          <w:highlight w:val="none"/>
        </w:rPr>
        <w:t>的工程量</w:t>
      </w:r>
      <w:r>
        <w:rPr>
          <w:rFonts w:ascii="Times New Roman" w:hAnsi="Times New Roman" w:eastAsia="黑体" w:cs="Times New Roman"/>
          <w:sz w:val="24"/>
          <w:szCs w:val="24"/>
          <w:highlight w:val="none"/>
        </w:rPr>
        <w:t>清单</w:t>
      </w: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18"/>
        <w:rPr>
          <w:highlight w:val="none"/>
        </w:rPr>
      </w:pPr>
    </w:p>
    <w:p>
      <w:pPr>
        <w:rPr>
          <w:highlight w:val="none"/>
        </w:rPr>
      </w:pPr>
    </w:p>
    <w:p>
      <w:pPr>
        <w:rPr>
          <w:highlight w:val="none"/>
        </w:rPr>
      </w:pPr>
    </w:p>
    <w:p>
      <w:pPr>
        <w:numPr>
          <w:ilvl w:val="0"/>
          <w:numId w:val="0"/>
        </w:numPr>
        <w:spacing w:line="440" w:lineRule="exact"/>
        <w:jc w:val="center"/>
        <w:rPr>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报价函</w:t>
      </w:r>
    </w:p>
    <w:p>
      <w:pPr>
        <w:pStyle w:val="18"/>
        <w:rPr>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(项目名称)</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lang w:val="en-US" w:eastAsia="zh-CN"/>
        </w:rPr>
        <w:t>包</w:t>
      </w:r>
      <w:r>
        <w:rPr>
          <w:rFonts w:ascii="Times New Roman" w:hAnsi="Times New Roman" w:cs="Times New Roman"/>
          <w:sz w:val="24"/>
          <w:highlight w:val="none"/>
        </w:rPr>
        <w:t>询比文件的全部内容(含补遗书第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号至第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号)，愿意以人民币(大写)</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(小写：¥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)的总报价</w:t>
      </w:r>
      <w:r>
        <w:rPr>
          <w:rFonts w:hint="eastAsia" w:ascii="Times New Roman" w:hAnsi="Times New Roman" w:cs="Times New Roman"/>
          <w:sz w:val="24"/>
          <w:highlight w:val="none"/>
          <w:lang w:val="en-US" w:eastAsia="zh-CN"/>
        </w:rPr>
        <w:t>提供采购文件要求的货物、技术服务和质保售后服务，并按合同约定履行义务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ascii="Times New Roman" w:hAnsi="Times New Roman" w:cs="Times New Roman"/>
          <w:sz w:val="24"/>
          <w:highlight w:val="none"/>
        </w:rPr>
        <w:t>．</w:t>
      </w:r>
      <w:r>
        <w:rPr>
          <w:rFonts w:hint="eastAsia" w:ascii="Times New Roman" w:hAnsi="Times New Roman" w:cs="Times New Roman"/>
          <w:sz w:val="24"/>
          <w:highlight w:val="none"/>
        </w:rPr>
        <w:t>我方已按</w:t>
      </w:r>
      <w:r>
        <w:rPr>
          <w:rFonts w:hint="eastAsia" w:ascii="Times New Roman" w:hAnsi="Times New Roman" w:cs="Times New Roman"/>
          <w:sz w:val="24"/>
          <w:highlight w:val="none"/>
          <w:lang w:eastAsia="zh-CN"/>
        </w:rPr>
        <w:t>采购文件</w:t>
      </w:r>
      <w:r>
        <w:rPr>
          <w:rFonts w:hint="eastAsia" w:ascii="Times New Roman" w:hAnsi="Times New Roman" w:cs="Times New Roman"/>
          <w:sz w:val="24"/>
          <w:highlight w:val="none"/>
        </w:rPr>
        <w:t>要求详细审核并确认全部</w:t>
      </w:r>
      <w:r>
        <w:rPr>
          <w:rFonts w:hint="eastAsia" w:ascii="Times New Roman" w:hAnsi="Times New Roman" w:cs="Times New Roman"/>
          <w:sz w:val="24"/>
          <w:highlight w:val="none"/>
          <w:lang w:eastAsia="zh-CN"/>
        </w:rPr>
        <w:t>采购文件</w:t>
      </w:r>
      <w:r>
        <w:rPr>
          <w:rFonts w:hint="eastAsia" w:ascii="Times New Roman" w:hAnsi="Times New Roman" w:cs="Times New Roman"/>
          <w:sz w:val="24"/>
          <w:highlight w:val="none"/>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．除非另外达成协议并生效，你方的中标通知书和本投标文件以及</w:t>
      </w:r>
      <w:r>
        <w:rPr>
          <w:rFonts w:hint="eastAsia" w:ascii="Times New Roman" w:hAnsi="Times New Roman" w:cs="Times New Roman"/>
          <w:sz w:val="24"/>
          <w:highlight w:val="none"/>
          <w:lang w:eastAsia="zh-CN"/>
        </w:rPr>
        <w:t>采购文件</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采购文件</w:t>
      </w:r>
      <w:r>
        <w:rPr>
          <w:rFonts w:hint="eastAsia" w:ascii="Times New Roman" w:hAnsi="Times New Roman" w:cs="Times New Roman"/>
          <w:sz w:val="24"/>
          <w:highlight w:val="none"/>
        </w:rPr>
        <w:t>澄清、修改、补充文件将成为约束双方的合同文件的组成部分。</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6.其他补充说明：</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宋体" w:hAnsi="宋体" w:eastAsia="宋体" w:cs="宋体"/>
          <w:sz w:val="24"/>
          <w:highlight w:val="none"/>
        </w:rPr>
        <w:t>(盖单位章)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rPr>
          <w:rFonts w:ascii="Times New Roman" w:hAnsi="Times New Roman" w:cs="Times New Roman"/>
          <w:sz w:val="24"/>
          <w:highlight w:val="none"/>
        </w:rPr>
      </w:pPr>
      <w:r>
        <w:rPr>
          <w:rFonts w:ascii="Times New Roman" w:hAnsi="Times New Roman" w:cs="Times New Roman"/>
          <w:sz w:val="24"/>
          <w:highlight w:val="none"/>
        </w:rPr>
        <w:br w:type="page"/>
      </w:r>
    </w:p>
    <w:p>
      <w:pPr>
        <w:numPr>
          <w:ilvl w:val="0"/>
          <w:numId w:val="0"/>
        </w:numPr>
        <w:spacing w:line="440" w:lineRule="exact"/>
        <w:jc w:val="center"/>
        <w:rPr>
          <w:rFonts w:hint="eastAsia" w:ascii="Times New Roman" w:hAnsi="Times New Roman" w:eastAsia="黑体" w:cs="Times New Roman"/>
          <w:sz w:val="28"/>
          <w:szCs w:val="28"/>
          <w:highlight w:val="none"/>
          <w:lang w:val="en-US" w:eastAsia="zh-CN"/>
        </w:rPr>
      </w:pPr>
      <w:bookmarkStart w:id="151" w:name="_Toc272486050"/>
      <w:bookmarkStart w:id="152" w:name="_Toc153421230"/>
      <w:bookmarkStart w:id="153" w:name="_Toc162490440"/>
      <w:r>
        <w:rPr>
          <w:rFonts w:hint="eastAsia" w:ascii="Times New Roman" w:hAnsi="Times New Roman" w:eastAsia="黑体" w:cs="Times New Roman"/>
          <w:sz w:val="28"/>
          <w:szCs w:val="28"/>
          <w:highlight w:val="none"/>
          <w:lang w:val="en-US" w:eastAsia="zh-CN"/>
        </w:rPr>
        <w:t>二、</w:t>
      </w:r>
      <w:bookmarkEnd w:id="151"/>
      <w:bookmarkEnd w:id="152"/>
      <w:bookmarkEnd w:id="153"/>
      <w:r>
        <w:rPr>
          <w:rFonts w:hint="eastAsia" w:ascii="Times New Roman" w:hAnsi="Times New Roman" w:eastAsia="黑体" w:cs="Times New Roman"/>
          <w:sz w:val="28"/>
          <w:szCs w:val="28"/>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highlight w:val="none"/>
          <w:lang w:val="en-US" w:eastAsia="zh-CN"/>
        </w:rPr>
      </w:pPr>
    </w:p>
    <w:p>
      <w:pPr>
        <w:pStyle w:val="17"/>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val="0"/>
          <w:bCs/>
          <w:sz w:val="28"/>
          <w:szCs w:val="24"/>
          <w:highlight w:val="none"/>
        </w:rPr>
        <w:t xml:space="preserve">B.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提供的“工程量清单”的要求逐项填报工程量清单，包括但不限于工程量清单说明、投标报价说明及工程量清单各项表格。</w:t>
      </w:r>
    </w:p>
    <w:p>
      <w:pPr>
        <w:pStyle w:val="17"/>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17"/>
        <w:rPr>
          <w:rFonts w:hint="default"/>
          <w:highlight w:val="none"/>
          <w:lang w:val="en-US" w:eastAsia="zh-CN"/>
        </w:rPr>
      </w:pPr>
      <w:r>
        <w:rPr>
          <w:rFonts w:hint="eastAsia"/>
          <w:highlight w:val="none"/>
          <w:lang w:val="en-US" w:eastAsia="zh-CN"/>
        </w:rPr>
        <w:t>（后附工程量报价清单）</w:t>
      </w: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17"/>
        <w:rPr>
          <w:rFonts w:hint="eastAsia"/>
          <w:highlight w:val="none"/>
          <w:lang w:val="en-US" w:eastAsia="zh-CN"/>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pStyle w:val="9"/>
        <w:adjustRightInd w:val="0"/>
        <w:snapToGrid w:val="0"/>
        <w:jc w:val="center"/>
        <w:rPr>
          <w:rFonts w:ascii="Times New Roman" w:hAnsi="Times New Roman" w:cs="Times New Roman"/>
          <w:highlight w:val="none"/>
        </w:rPr>
      </w:pPr>
    </w:p>
    <w:p>
      <w:pPr>
        <w:rPr>
          <w:highlight w:val="none"/>
        </w:rPr>
      </w:pP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5A517A-7F98-4AC6-9A17-249D865A60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A6EFA4-9878-4674-B7FB-C76498CE37A6}"/>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DBEFE04A-1090-4E63-8B6F-71DB326C77C1}"/>
  </w:font>
  <w:font w:name="华文楷体">
    <w:panose1 w:val="02010600040101010101"/>
    <w:charset w:val="86"/>
    <w:family w:val="auto"/>
    <w:pitch w:val="default"/>
    <w:sig w:usb0="00000287" w:usb1="080F0000" w:usb2="00000000" w:usb3="00000000" w:csb0="0004009F" w:csb1="DFD70000"/>
    <w:embedRegular r:id="rId4" w:fontKey="{ABC17F0B-977C-4B91-92BA-D1C010F5E918}"/>
  </w:font>
  <w:font w:name="仿宋_GB2312">
    <w:panose1 w:val="02010609030101010101"/>
    <w:charset w:val="86"/>
    <w:family w:val="modern"/>
    <w:pitch w:val="default"/>
    <w:sig w:usb0="00000001" w:usb1="080E0000" w:usb2="00000000" w:usb3="00000000" w:csb0="00040000" w:csb1="00000000"/>
    <w:embedRegular r:id="rId5" w:fontKey="{4A09BF67-803B-41BA-84B9-DEE79E6710BE}"/>
  </w:font>
  <w:font w:name="楷体">
    <w:panose1 w:val="02010609060101010101"/>
    <w:charset w:val="86"/>
    <w:family w:val="auto"/>
    <w:pitch w:val="default"/>
    <w:sig w:usb0="800002BF" w:usb1="38CF7CFA" w:usb2="00000016" w:usb3="00000000" w:csb0="00040001" w:csb1="00000000"/>
    <w:embedRegular r:id="rId6" w:fontKey="{1AEAE88B-6766-4D92-B003-CE532EE7CD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6F4D02A4"/>
    <w:rsid w:val="0022317B"/>
    <w:rsid w:val="00302DB5"/>
    <w:rsid w:val="00302F3A"/>
    <w:rsid w:val="005607D6"/>
    <w:rsid w:val="00653222"/>
    <w:rsid w:val="00691F7C"/>
    <w:rsid w:val="00724BD4"/>
    <w:rsid w:val="007C6E94"/>
    <w:rsid w:val="00E8570D"/>
    <w:rsid w:val="021138F7"/>
    <w:rsid w:val="023E3C6A"/>
    <w:rsid w:val="0278442B"/>
    <w:rsid w:val="028D5673"/>
    <w:rsid w:val="02D346A3"/>
    <w:rsid w:val="038863C7"/>
    <w:rsid w:val="03A9557F"/>
    <w:rsid w:val="043E163C"/>
    <w:rsid w:val="04701D1E"/>
    <w:rsid w:val="04E034BC"/>
    <w:rsid w:val="05F94BA8"/>
    <w:rsid w:val="06341F34"/>
    <w:rsid w:val="06670E60"/>
    <w:rsid w:val="068727A0"/>
    <w:rsid w:val="07063EDC"/>
    <w:rsid w:val="073835B2"/>
    <w:rsid w:val="076958CF"/>
    <w:rsid w:val="09210464"/>
    <w:rsid w:val="0A1B1122"/>
    <w:rsid w:val="0A2E7496"/>
    <w:rsid w:val="0A466107"/>
    <w:rsid w:val="0A941F2B"/>
    <w:rsid w:val="0AAD73BC"/>
    <w:rsid w:val="0BA10DDD"/>
    <w:rsid w:val="0BDD422F"/>
    <w:rsid w:val="0C425774"/>
    <w:rsid w:val="0DBD0BDC"/>
    <w:rsid w:val="0DE02F17"/>
    <w:rsid w:val="0EBA46A3"/>
    <w:rsid w:val="0EBB2DAD"/>
    <w:rsid w:val="0F531ACB"/>
    <w:rsid w:val="0F6F4854"/>
    <w:rsid w:val="0F9F0794"/>
    <w:rsid w:val="0FBE1FCA"/>
    <w:rsid w:val="103E486A"/>
    <w:rsid w:val="106D5B52"/>
    <w:rsid w:val="1090350E"/>
    <w:rsid w:val="10944070"/>
    <w:rsid w:val="10A6372F"/>
    <w:rsid w:val="10DA535D"/>
    <w:rsid w:val="110D2AFF"/>
    <w:rsid w:val="11DF30C9"/>
    <w:rsid w:val="11F117DD"/>
    <w:rsid w:val="129325F3"/>
    <w:rsid w:val="12FA3B2F"/>
    <w:rsid w:val="132C74B1"/>
    <w:rsid w:val="13431F92"/>
    <w:rsid w:val="136E2BA5"/>
    <w:rsid w:val="13E11194"/>
    <w:rsid w:val="144A391D"/>
    <w:rsid w:val="149434CF"/>
    <w:rsid w:val="150E5893"/>
    <w:rsid w:val="15133F2C"/>
    <w:rsid w:val="15C3657D"/>
    <w:rsid w:val="163D1F3A"/>
    <w:rsid w:val="16414AC9"/>
    <w:rsid w:val="188C4113"/>
    <w:rsid w:val="191A46EE"/>
    <w:rsid w:val="19647370"/>
    <w:rsid w:val="19DE1C05"/>
    <w:rsid w:val="1A185E2C"/>
    <w:rsid w:val="1A3C6E09"/>
    <w:rsid w:val="1A657CD8"/>
    <w:rsid w:val="1AA97D25"/>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20220D88"/>
    <w:rsid w:val="202D724A"/>
    <w:rsid w:val="20432E03"/>
    <w:rsid w:val="20CE712B"/>
    <w:rsid w:val="20E701EC"/>
    <w:rsid w:val="2211172D"/>
    <w:rsid w:val="22456F98"/>
    <w:rsid w:val="22A243CB"/>
    <w:rsid w:val="23610B8C"/>
    <w:rsid w:val="241D716E"/>
    <w:rsid w:val="25262F8B"/>
    <w:rsid w:val="25CC7C14"/>
    <w:rsid w:val="2613091A"/>
    <w:rsid w:val="265909F3"/>
    <w:rsid w:val="26E81DCB"/>
    <w:rsid w:val="27621A0B"/>
    <w:rsid w:val="279E7B84"/>
    <w:rsid w:val="27B103DE"/>
    <w:rsid w:val="285445B2"/>
    <w:rsid w:val="28D24D9C"/>
    <w:rsid w:val="28FE7045"/>
    <w:rsid w:val="2941798C"/>
    <w:rsid w:val="294C5129"/>
    <w:rsid w:val="295C70D0"/>
    <w:rsid w:val="2A7F386F"/>
    <w:rsid w:val="2A8F70B0"/>
    <w:rsid w:val="2AE43776"/>
    <w:rsid w:val="2B1D5459"/>
    <w:rsid w:val="2D141CF6"/>
    <w:rsid w:val="2D984126"/>
    <w:rsid w:val="2E0A4375"/>
    <w:rsid w:val="2E6740D2"/>
    <w:rsid w:val="2ED8288A"/>
    <w:rsid w:val="300246FB"/>
    <w:rsid w:val="304C62DA"/>
    <w:rsid w:val="30793AE8"/>
    <w:rsid w:val="30C628C5"/>
    <w:rsid w:val="319B3695"/>
    <w:rsid w:val="32332253"/>
    <w:rsid w:val="324271A8"/>
    <w:rsid w:val="32B15339"/>
    <w:rsid w:val="333F226C"/>
    <w:rsid w:val="33C26030"/>
    <w:rsid w:val="35201A23"/>
    <w:rsid w:val="35843E04"/>
    <w:rsid w:val="35B540D6"/>
    <w:rsid w:val="35EF65E1"/>
    <w:rsid w:val="361938E0"/>
    <w:rsid w:val="36C144C3"/>
    <w:rsid w:val="388C7CC2"/>
    <w:rsid w:val="38B92676"/>
    <w:rsid w:val="39B20761"/>
    <w:rsid w:val="39F257E0"/>
    <w:rsid w:val="3A1F1997"/>
    <w:rsid w:val="3B096510"/>
    <w:rsid w:val="3B414529"/>
    <w:rsid w:val="3B47240E"/>
    <w:rsid w:val="3B7C2F21"/>
    <w:rsid w:val="3B8A41D3"/>
    <w:rsid w:val="3BC00DC4"/>
    <w:rsid w:val="3C651D50"/>
    <w:rsid w:val="3CF7310E"/>
    <w:rsid w:val="3E103B9E"/>
    <w:rsid w:val="3E2829E9"/>
    <w:rsid w:val="3E5113D8"/>
    <w:rsid w:val="3FB452E6"/>
    <w:rsid w:val="3FF744E4"/>
    <w:rsid w:val="403D54CD"/>
    <w:rsid w:val="408028ED"/>
    <w:rsid w:val="41212AAF"/>
    <w:rsid w:val="4178455B"/>
    <w:rsid w:val="419F354F"/>
    <w:rsid w:val="41B873F1"/>
    <w:rsid w:val="41BB6E00"/>
    <w:rsid w:val="41CF3C5E"/>
    <w:rsid w:val="41FB71FC"/>
    <w:rsid w:val="426A68F1"/>
    <w:rsid w:val="426B29F2"/>
    <w:rsid w:val="42754E3B"/>
    <w:rsid w:val="42ED38B0"/>
    <w:rsid w:val="442716E3"/>
    <w:rsid w:val="44623B29"/>
    <w:rsid w:val="448B1C16"/>
    <w:rsid w:val="44CB7E92"/>
    <w:rsid w:val="44D53D34"/>
    <w:rsid w:val="4551727C"/>
    <w:rsid w:val="45E82159"/>
    <w:rsid w:val="460C19D8"/>
    <w:rsid w:val="46767799"/>
    <w:rsid w:val="475036EC"/>
    <w:rsid w:val="476304E5"/>
    <w:rsid w:val="48407E8B"/>
    <w:rsid w:val="48941C0A"/>
    <w:rsid w:val="48AE683B"/>
    <w:rsid w:val="48F03833"/>
    <w:rsid w:val="4A304D72"/>
    <w:rsid w:val="4ADA08DD"/>
    <w:rsid w:val="4B302190"/>
    <w:rsid w:val="4C0D05F0"/>
    <w:rsid w:val="4C6063F0"/>
    <w:rsid w:val="4D237C5B"/>
    <w:rsid w:val="4DB33731"/>
    <w:rsid w:val="4DB34E9F"/>
    <w:rsid w:val="4E040F77"/>
    <w:rsid w:val="4F0478A8"/>
    <w:rsid w:val="4F570614"/>
    <w:rsid w:val="4F7A3E56"/>
    <w:rsid w:val="5051384E"/>
    <w:rsid w:val="50932863"/>
    <w:rsid w:val="50C64757"/>
    <w:rsid w:val="51801680"/>
    <w:rsid w:val="524B7D2C"/>
    <w:rsid w:val="525E7F64"/>
    <w:rsid w:val="528B597C"/>
    <w:rsid w:val="53C77F81"/>
    <w:rsid w:val="54DC6786"/>
    <w:rsid w:val="55CA45E9"/>
    <w:rsid w:val="55CE5FAF"/>
    <w:rsid w:val="568D4A8B"/>
    <w:rsid w:val="5787376C"/>
    <w:rsid w:val="58340631"/>
    <w:rsid w:val="584307E1"/>
    <w:rsid w:val="588621CE"/>
    <w:rsid w:val="588927B2"/>
    <w:rsid w:val="58AC03AC"/>
    <w:rsid w:val="58B3037A"/>
    <w:rsid w:val="598F3C15"/>
    <w:rsid w:val="5A1256BA"/>
    <w:rsid w:val="5AB51CCA"/>
    <w:rsid w:val="5AB57322"/>
    <w:rsid w:val="5AB86B82"/>
    <w:rsid w:val="5BC0596D"/>
    <w:rsid w:val="5BE5635E"/>
    <w:rsid w:val="5C03587B"/>
    <w:rsid w:val="5C4805D9"/>
    <w:rsid w:val="5DA53F1B"/>
    <w:rsid w:val="5DC63FF9"/>
    <w:rsid w:val="5E2532CC"/>
    <w:rsid w:val="5FC627A0"/>
    <w:rsid w:val="5FD076A0"/>
    <w:rsid w:val="60CC0666"/>
    <w:rsid w:val="61393910"/>
    <w:rsid w:val="61DA4AD9"/>
    <w:rsid w:val="629D4803"/>
    <w:rsid w:val="62AE498D"/>
    <w:rsid w:val="63D57455"/>
    <w:rsid w:val="63FF44D2"/>
    <w:rsid w:val="64AB0CD1"/>
    <w:rsid w:val="64D84E1A"/>
    <w:rsid w:val="65675ED4"/>
    <w:rsid w:val="6683497C"/>
    <w:rsid w:val="676E5CC7"/>
    <w:rsid w:val="67E14BAB"/>
    <w:rsid w:val="67EE0AE5"/>
    <w:rsid w:val="67F00702"/>
    <w:rsid w:val="67F71E56"/>
    <w:rsid w:val="684C44B3"/>
    <w:rsid w:val="68880F3A"/>
    <w:rsid w:val="690F1726"/>
    <w:rsid w:val="6A2D5CB0"/>
    <w:rsid w:val="6BB90159"/>
    <w:rsid w:val="6C111246"/>
    <w:rsid w:val="6C124248"/>
    <w:rsid w:val="6C6B059F"/>
    <w:rsid w:val="6CA00B62"/>
    <w:rsid w:val="6CFE27E3"/>
    <w:rsid w:val="6D274D94"/>
    <w:rsid w:val="6D955447"/>
    <w:rsid w:val="6DD01AB0"/>
    <w:rsid w:val="6DEB139F"/>
    <w:rsid w:val="6E8B3FD1"/>
    <w:rsid w:val="6E9D5013"/>
    <w:rsid w:val="6F4D02A4"/>
    <w:rsid w:val="6FDB7D0C"/>
    <w:rsid w:val="706B3710"/>
    <w:rsid w:val="706B4417"/>
    <w:rsid w:val="70784F6A"/>
    <w:rsid w:val="70B2470E"/>
    <w:rsid w:val="71817101"/>
    <w:rsid w:val="71943263"/>
    <w:rsid w:val="71B80224"/>
    <w:rsid w:val="720B21A0"/>
    <w:rsid w:val="72775B5D"/>
    <w:rsid w:val="72E163D5"/>
    <w:rsid w:val="730651BF"/>
    <w:rsid w:val="73F502A6"/>
    <w:rsid w:val="751540E3"/>
    <w:rsid w:val="757762DF"/>
    <w:rsid w:val="76085468"/>
    <w:rsid w:val="764861AD"/>
    <w:rsid w:val="765A1D4D"/>
    <w:rsid w:val="772B58B2"/>
    <w:rsid w:val="77822AD2"/>
    <w:rsid w:val="7846297D"/>
    <w:rsid w:val="791E0B39"/>
    <w:rsid w:val="79487052"/>
    <w:rsid w:val="79E06FD9"/>
    <w:rsid w:val="7A2B3BCE"/>
    <w:rsid w:val="7AC3206E"/>
    <w:rsid w:val="7AFF6ACD"/>
    <w:rsid w:val="7B436E21"/>
    <w:rsid w:val="7CAA6238"/>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5">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6">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7">
    <w:name w:val="Body Text Indent"/>
    <w:basedOn w:val="1"/>
    <w:next w:val="8"/>
    <w:link w:val="36"/>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Plain Text"/>
    <w:basedOn w:val="1"/>
    <w:link w:val="37"/>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2"/>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19721</Words>
  <Characters>20662</Characters>
  <Lines>180</Lines>
  <Paragraphs>50</Paragraphs>
  <TotalTime>5</TotalTime>
  <ScaleCrop>false</ScaleCrop>
  <LinksUpToDate>false</LinksUpToDate>
  <CharactersWithSpaces>28010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2023-10-11T07:52:00Z</cp:lastPrinted>
  <dcterms:modified xsi:type="dcterms:W3CDTF">2024-03-05T08:05:29Z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C80F5943599046A6BD3E0143036AC288_13</vt:lpwstr>
  </property>
</Properties>
</file>