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方正小标宋_GBK" w:hAnsi="方正小标宋_GBK" w:eastAsia="方正小标宋_GBK" w:cs="方正小标宋_GBK"/>
          <w:sz w:val="36"/>
          <w:szCs w:val="36"/>
          <w:highlight w:val="none"/>
          <w:lang w:eastAsia="zh-CN"/>
        </w:rPr>
      </w:pPr>
    </w:p>
    <w:p>
      <w:pPr>
        <w:rPr>
          <w:rFonts w:hint="eastAsia"/>
          <w:lang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阜阳紫阳华苑项目供配电施工图设计服务</w:t>
      </w:r>
    </w:p>
    <w:p>
      <w:pPr>
        <w:jc w:val="center"/>
        <w:rPr>
          <w:rFonts w:hint="eastAsia" w:ascii="方正小标宋_GBK" w:hAnsi="方正小标宋_GBK" w:eastAsia="方正小标宋_GBK" w:cs="方正小标宋_GBK"/>
          <w:sz w:val="56"/>
          <w:szCs w:val="56"/>
          <w:lang w:val="en-US" w:eastAsia="zh-CN"/>
        </w:rPr>
      </w:pPr>
    </w:p>
    <w:p>
      <w:pPr>
        <w:pStyle w:val="12"/>
        <w:rPr>
          <w:rFonts w:hint="eastAsia" w:ascii="方正小标宋_GBK" w:hAnsi="方正小标宋_GBK" w:eastAsia="方正小标宋_GBK" w:cs="方正小标宋_GBK"/>
          <w:sz w:val="56"/>
          <w:szCs w:val="56"/>
          <w:lang w:val="en-US" w:eastAsia="zh-CN"/>
        </w:rPr>
      </w:pPr>
    </w:p>
    <w:p>
      <w:pPr>
        <w:rPr>
          <w:rFonts w:hint="eastAsia"/>
          <w:lang w:val="en-US" w:eastAsia="zh-CN"/>
        </w:rPr>
      </w:pPr>
    </w:p>
    <w:p>
      <w:pPr>
        <w:jc w:val="center"/>
        <w:rPr>
          <w:rFonts w:hint="eastAsia" w:ascii="方正小标宋_GBK" w:hAnsi="方正小标宋_GBK" w:eastAsia="方正小标宋_GBK" w:cs="方正小标宋_GBK"/>
          <w:sz w:val="56"/>
          <w:szCs w:val="56"/>
          <w:lang w:val="en-US" w:eastAsia="zh-CN"/>
        </w:rPr>
      </w:pPr>
      <w:r>
        <w:rPr>
          <w:rFonts w:hint="eastAsia" w:ascii="方正小标宋_GBK" w:hAnsi="方正小标宋_GBK" w:eastAsia="方正小标宋_GBK" w:cs="方正小标宋_GBK"/>
          <w:sz w:val="56"/>
          <w:szCs w:val="56"/>
          <w:lang w:val="en-US" w:eastAsia="zh-CN"/>
        </w:rPr>
        <w:t>采 购 文 件</w:t>
      </w:r>
    </w:p>
    <w:p>
      <w:pPr>
        <w:pStyle w:val="12"/>
        <w:rPr>
          <w:rFonts w:hint="eastAsia" w:ascii="方正小标宋_GBK" w:hAnsi="方正小标宋_GBK" w:eastAsia="方正小标宋_GBK" w:cs="方正小标宋_GBK"/>
          <w:sz w:val="56"/>
          <w:szCs w:val="56"/>
          <w:lang w:val="en-US" w:eastAsia="zh-CN"/>
        </w:rPr>
      </w:pPr>
    </w:p>
    <w:p>
      <w:pPr>
        <w:rPr>
          <w:rFonts w:hint="eastAsia" w:ascii="方正小标宋_GBK" w:hAnsi="方正小标宋_GBK" w:eastAsia="方正小标宋_GBK" w:cs="方正小标宋_GBK"/>
          <w:sz w:val="56"/>
          <w:szCs w:val="56"/>
          <w:lang w:val="en-US" w:eastAsia="zh-CN"/>
        </w:rPr>
      </w:pPr>
    </w:p>
    <w:p>
      <w:pPr>
        <w:rPr>
          <w:rFonts w:hint="eastAsia" w:ascii="方正小标宋_GBK" w:hAnsi="方正小标宋_GBK" w:eastAsia="方正小标宋_GBK" w:cs="方正小标宋_GBK"/>
          <w:sz w:val="36"/>
          <w:szCs w:val="36"/>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jc w:val="center"/>
        <w:rPr>
          <w:rFonts w:hint="eastAsia" w:ascii="方正小标宋_GBK" w:hAnsi="方正小标宋_GBK" w:eastAsia="方正小标宋_GBK" w:cs="方正小标宋_GBK"/>
          <w:kern w:val="2"/>
          <w:sz w:val="32"/>
          <w:szCs w:val="32"/>
          <w:highlight w:val="none"/>
          <w:lang w:val="en-US" w:eastAsia="zh-CN" w:bidi="ar-SA"/>
        </w:rPr>
      </w:pPr>
    </w:p>
    <w:p>
      <w:pPr>
        <w:jc w:val="center"/>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比选人：</w:t>
      </w:r>
      <w:r>
        <w:rPr>
          <w:rFonts w:hint="eastAsia" w:ascii="宋体" w:hAnsi="宋体" w:cs="宋体"/>
          <w:kern w:val="2"/>
          <w:sz w:val="32"/>
          <w:szCs w:val="32"/>
          <w:highlight w:val="none"/>
          <w:lang w:val="en-US" w:eastAsia="zh-CN" w:bidi="ar-SA"/>
        </w:rPr>
        <w:t>阜阳徽道置业</w:t>
      </w:r>
      <w:r>
        <w:rPr>
          <w:rFonts w:hint="eastAsia" w:ascii="宋体" w:hAnsi="宋体" w:eastAsia="宋体" w:cs="宋体"/>
          <w:kern w:val="2"/>
          <w:sz w:val="32"/>
          <w:szCs w:val="32"/>
          <w:highlight w:val="none"/>
          <w:lang w:val="en-US" w:eastAsia="zh-CN" w:bidi="ar-SA"/>
        </w:rPr>
        <w:t>有限公司</w:t>
      </w:r>
    </w:p>
    <w:p>
      <w:pPr>
        <w:pStyle w:val="12"/>
        <w:jc w:val="center"/>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日  期：202</w:t>
      </w:r>
      <w:r>
        <w:rPr>
          <w:rFonts w:hint="eastAsia" w:ascii="宋体" w:hAnsi="宋体" w:cs="宋体"/>
          <w:kern w:val="2"/>
          <w:sz w:val="32"/>
          <w:szCs w:val="32"/>
          <w:highlight w:val="none"/>
          <w:lang w:val="en-US" w:eastAsia="zh-CN" w:bidi="ar-SA"/>
        </w:rPr>
        <w:t>4</w:t>
      </w:r>
      <w:r>
        <w:rPr>
          <w:rFonts w:hint="eastAsia" w:ascii="宋体" w:hAnsi="宋体" w:eastAsia="宋体" w:cs="宋体"/>
          <w:kern w:val="2"/>
          <w:sz w:val="32"/>
          <w:szCs w:val="32"/>
          <w:highlight w:val="none"/>
          <w:lang w:val="en-US" w:eastAsia="zh-CN" w:bidi="ar-SA"/>
        </w:rPr>
        <w:t>年</w:t>
      </w:r>
      <w:r>
        <w:rPr>
          <w:rFonts w:hint="eastAsia" w:ascii="宋体" w:hAnsi="宋体" w:cs="宋体"/>
          <w:kern w:val="2"/>
          <w:sz w:val="32"/>
          <w:szCs w:val="32"/>
          <w:highlight w:val="none"/>
          <w:lang w:val="en-US" w:eastAsia="zh-CN" w:bidi="ar-SA"/>
        </w:rPr>
        <w:t>5</w:t>
      </w:r>
      <w:r>
        <w:rPr>
          <w:rFonts w:hint="eastAsia" w:ascii="宋体" w:hAnsi="宋体" w:eastAsia="宋体" w:cs="宋体"/>
          <w:kern w:val="2"/>
          <w:sz w:val="32"/>
          <w:szCs w:val="32"/>
          <w:highlight w:val="none"/>
          <w:lang w:val="en-US" w:eastAsia="zh-CN" w:bidi="ar-SA"/>
        </w:rPr>
        <w:t>月</w:t>
      </w:r>
    </w:p>
    <w:p>
      <w:pPr>
        <w:rPr>
          <w:rFonts w:hint="eastAsia" w:ascii="方正小标宋_GBK" w:hAnsi="方正小标宋_GBK" w:eastAsia="方正小标宋_GBK" w:cs="方正小标宋_GBK"/>
          <w:kern w:val="2"/>
          <w:sz w:val="32"/>
          <w:szCs w:val="32"/>
          <w:highlight w:val="none"/>
          <w:lang w:val="en-US" w:eastAsia="zh-CN" w:bidi="ar-SA"/>
        </w:rPr>
      </w:pPr>
    </w:p>
    <w:sdt>
      <w:sdtPr>
        <w:rPr>
          <w:rFonts w:ascii="宋体" w:hAnsi="宋体" w:eastAsia="宋体" w:cs="Times New Roman"/>
          <w:kern w:val="2"/>
          <w:sz w:val="21"/>
          <w:szCs w:val="24"/>
          <w:lang w:val="en-US" w:eastAsia="zh-CN" w:bidi="ar-SA"/>
        </w:rPr>
        <w:id w:val="147462137"/>
        <w15:color w:val="DBDBDB"/>
        <w:docPartObj>
          <w:docPartGallery w:val="Table of Contents"/>
          <w:docPartUnique/>
        </w:docPartObj>
      </w:sdtPr>
      <w:sdtEndPr>
        <w:rPr>
          <w:rFonts w:hint="eastAsia" w:ascii="方正小标宋_GBK" w:hAnsi="方正小标宋_GBK" w:eastAsia="方正小标宋_GBK" w:cs="方正小标宋_GBK"/>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both"/>
            <w:rPr>
              <w:rFonts w:hint="eastAsia" w:ascii="方正小标宋_GBK" w:hAnsi="方正小标宋_GBK" w:eastAsia="方正小标宋_GBK" w:cs="方正小标宋_GBK"/>
              <w:sz w:val="36"/>
              <w:szCs w:val="36"/>
            </w:rPr>
            <w:sectPr>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目</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录</w:t>
          </w:r>
        </w:p>
        <w:p>
          <w:pPr>
            <w:pStyle w:val="12"/>
            <w:rPr>
              <w:rFonts w:hint="eastAsia"/>
            </w:rPr>
          </w:pP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2"/>
              <w:sz w:val="28"/>
              <w:szCs w:val="28"/>
              <w:highlight w:val="none"/>
              <w:lang w:val="en-US" w:eastAsia="zh-CN" w:bidi="ar-SA"/>
            </w:rPr>
            <w:fldChar w:fldCharType="begin"/>
          </w:r>
          <w:r>
            <w:rPr>
              <w:rFonts w:hint="eastAsia" w:ascii="仿宋_GB2312" w:hAnsi="仿宋_GB2312" w:eastAsia="仿宋_GB2312" w:cs="仿宋_GB2312"/>
              <w:kern w:val="2"/>
              <w:sz w:val="28"/>
              <w:szCs w:val="28"/>
              <w:highlight w:val="none"/>
              <w:lang w:val="en-US" w:eastAsia="zh-CN" w:bidi="ar-SA"/>
            </w:rPr>
            <w:instrText xml:space="preserve">TOC \o "1-1" \h \u </w:instrText>
          </w:r>
          <w:r>
            <w:rPr>
              <w:rFonts w:hint="eastAsia" w:ascii="仿宋_GB2312" w:hAnsi="仿宋_GB2312" w:eastAsia="仿宋_GB2312" w:cs="仿宋_GB2312"/>
              <w:kern w:val="2"/>
              <w:sz w:val="28"/>
              <w:szCs w:val="28"/>
              <w:highlight w:val="none"/>
              <w:lang w:val="en-US" w:eastAsia="zh-CN" w:bidi="ar-SA"/>
            </w:rPr>
            <w:fldChar w:fldCharType="separate"/>
          </w: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_Toc28703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lang w:val="en-US" w:eastAsia="zh-CN"/>
            </w:rPr>
            <w:t>第一章 采购公告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_Toc28703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_Toc17085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lang w:val="en-US" w:eastAsia="zh-CN"/>
            </w:rPr>
            <w:t>第二章 供应商须知</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_Toc17085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_Toc22706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lang w:val="en-US" w:eastAsia="zh-CN"/>
            </w:rPr>
            <w:t>第三章 评审办法（综合评分法）</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_Toc22706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_Toc10962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lang w:val="en-US" w:eastAsia="zh-CN"/>
            </w:rPr>
            <w:t>第四章 合同条款及格式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kern w:val="2"/>
              <w:sz w:val="32"/>
              <w:szCs w:val="32"/>
              <w:highlight w:val="none"/>
              <w:lang w:val="en-US" w:eastAsia="zh-CN" w:bidi="ar-SA"/>
            </w:rPr>
            <w:fldChar w:fldCharType="end"/>
          </w:r>
          <w:r>
            <w:rPr>
              <w:rFonts w:hint="eastAsia" w:ascii="仿宋_GB2312" w:hAnsi="仿宋_GB2312" w:eastAsia="仿宋_GB2312" w:cs="仿宋_GB2312"/>
              <w:b/>
              <w:bCs/>
              <w:kern w:val="2"/>
              <w:sz w:val="32"/>
              <w:szCs w:val="32"/>
              <w:highlight w:val="none"/>
              <w:lang w:val="en-US" w:eastAsia="zh-CN" w:bidi="ar-SA"/>
            </w:rPr>
            <w:t>1</w:t>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_Toc39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kern w:val="44"/>
              <w:sz w:val="32"/>
              <w:szCs w:val="32"/>
              <w:lang w:val="en-US" w:eastAsia="zh-CN" w:bidi="ar-SA"/>
            </w:rPr>
            <w:t>第五章 报价清单</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kern w:val="2"/>
              <w:sz w:val="32"/>
              <w:szCs w:val="32"/>
              <w:highlight w:val="none"/>
              <w:lang w:val="en-US" w:eastAsia="zh-CN" w:bidi="ar-SA"/>
            </w:rPr>
            <w:fldChar w:fldCharType="end"/>
          </w:r>
          <w:r>
            <w:rPr>
              <w:rFonts w:hint="eastAsia" w:ascii="仿宋_GB2312" w:hAnsi="仿宋_GB2312" w:eastAsia="仿宋_GB2312" w:cs="仿宋_GB2312"/>
              <w:b/>
              <w:bCs/>
              <w:kern w:val="2"/>
              <w:sz w:val="32"/>
              <w:szCs w:val="32"/>
              <w:highlight w:val="none"/>
              <w:lang w:val="en-US" w:eastAsia="zh-CN" w:bidi="ar-SA"/>
            </w:rPr>
            <w:t>3</w:t>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_Toc17911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kern w:val="44"/>
              <w:sz w:val="32"/>
              <w:szCs w:val="32"/>
              <w:lang w:val="en-US" w:eastAsia="zh-CN" w:bidi="ar-SA"/>
            </w:rPr>
            <w:t xml:space="preserve">第六章 </w:t>
          </w:r>
          <w:r>
            <w:rPr>
              <w:rFonts w:hint="eastAsia" w:ascii="仿宋_GB2312" w:hAnsi="仿宋_GB2312" w:eastAsia="仿宋_GB2312" w:cs="仿宋_GB2312"/>
              <w:b/>
              <w:bCs/>
              <w:sz w:val="32"/>
              <w:szCs w:val="32"/>
              <w:lang w:val="en-US" w:eastAsia="zh-CN"/>
            </w:rPr>
            <w:t>技术标准和要求</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kern w:val="2"/>
              <w:sz w:val="32"/>
              <w:szCs w:val="32"/>
              <w:highlight w:val="none"/>
              <w:lang w:val="en-US" w:eastAsia="zh-CN" w:bidi="ar-SA"/>
            </w:rPr>
            <w:fldChar w:fldCharType="end"/>
          </w:r>
          <w:r>
            <w:rPr>
              <w:rFonts w:hint="eastAsia" w:ascii="仿宋_GB2312" w:hAnsi="仿宋_GB2312" w:eastAsia="仿宋_GB2312" w:cs="仿宋_GB2312"/>
              <w:b/>
              <w:bCs/>
              <w:kern w:val="2"/>
              <w:sz w:val="32"/>
              <w:szCs w:val="32"/>
              <w:highlight w:val="none"/>
              <w:lang w:val="en-US" w:eastAsia="zh-CN" w:bidi="ar-SA"/>
            </w:rPr>
            <w:t>24</w:t>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_Toc5760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lang w:val="en-US" w:eastAsia="zh-CN"/>
            </w:rPr>
            <w:t>第七章 响应文件格式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_Toc5760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28</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pPr>
            <w:pStyle w:val="22"/>
            <w:keepNext w:val="0"/>
            <w:keepLines w:val="0"/>
            <w:pageBreakBefore w:val="0"/>
            <w:tabs>
              <w:tab w:val="right" w:pos="2400"/>
              <w:tab w:val="right" w:leader="dot" w:pos="8312"/>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highlight w:val="none"/>
              <w:lang w:val="en-US" w:eastAsia="zh-CN" w:bidi="ar-SA"/>
            </w:rPr>
            <w:fldChar w:fldCharType="begin"/>
          </w:r>
          <w:r>
            <w:rPr>
              <w:rFonts w:hint="eastAsia" w:ascii="仿宋_GB2312" w:hAnsi="仿宋_GB2312" w:eastAsia="仿宋_GB2312" w:cs="仿宋_GB2312"/>
              <w:kern w:val="2"/>
              <w:sz w:val="28"/>
              <w:szCs w:val="28"/>
              <w:highlight w:val="none"/>
              <w:lang w:val="en-US" w:eastAsia="zh-CN" w:bidi="ar-SA"/>
            </w:rPr>
            <w:instrText xml:space="preserve"> HYPERLINK \l _Toc15111 </w:instrText>
          </w:r>
          <w:r>
            <w:rPr>
              <w:rFonts w:hint="eastAsia" w:ascii="仿宋_GB2312" w:hAnsi="仿宋_GB2312" w:eastAsia="仿宋_GB2312" w:cs="仿宋_GB2312"/>
              <w:kern w:val="2"/>
              <w:sz w:val="28"/>
              <w:szCs w:val="28"/>
              <w:highlight w:val="none"/>
              <w:lang w:val="en-US" w:eastAsia="zh-CN" w:bidi="ar-SA"/>
            </w:rPr>
            <w:fldChar w:fldCharType="separate"/>
          </w:r>
          <w:r>
            <w:rPr>
              <w:rFonts w:hint="eastAsia" w:ascii="仿宋_GB2312" w:hAnsi="仿宋_GB2312" w:eastAsia="仿宋_GB2312" w:cs="仿宋_GB2312"/>
              <w:sz w:val="28"/>
              <w:szCs w:val="28"/>
            </w:rPr>
            <w:tab/>
          </w:r>
          <w:r>
            <w:rPr>
              <w:rFonts w:hint="eastAsia" w:ascii="仿宋_GB2312" w:hAnsi="仿宋_GB2312" w:eastAsia="仿宋_GB2312" w:cs="仿宋_GB2312"/>
              <w:kern w:val="2"/>
              <w:sz w:val="28"/>
              <w:szCs w:val="28"/>
              <w:highlight w:val="none"/>
              <w:lang w:val="en-US" w:eastAsia="zh-CN" w:bidi="ar-SA"/>
            </w:rPr>
            <w:fldChar w:fldCharType="end"/>
          </w:r>
        </w:p>
        <w:p>
          <w:pPr>
            <w:pStyle w:val="12"/>
            <w:keepNext w:val="0"/>
            <w:keepLines w:val="0"/>
            <w:pageBreakBefore w:val="0"/>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fldChar w:fldCharType="end"/>
          </w:r>
        </w:p>
        <w:p>
          <w:pPr>
            <w:pStyle w:val="12"/>
            <w:rPr>
              <w:rFonts w:hint="eastAsia" w:ascii="仿宋_GB2312" w:hAnsi="仿宋_GB2312" w:eastAsia="仿宋_GB2312" w:cs="仿宋_GB2312"/>
              <w:kern w:val="2"/>
              <w:sz w:val="28"/>
              <w:szCs w:val="28"/>
              <w:highlight w:val="none"/>
              <w:lang w:val="en-US" w:eastAsia="zh-CN" w:bidi="ar-SA"/>
            </w:rPr>
          </w:pPr>
        </w:p>
        <w:p>
          <w:pPr>
            <w:pStyle w:val="12"/>
            <w:rPr>
              <w:rFonts w:hint="eastAsia" w:ascii="仿宋_GB2312" w:hAnsi="仿宋_GB2312" w:eastAsia="仿宋_GB2312" w:cs="仿宋_GB2312"/>
              <w:kern w:val="2"/>
              <w:sz w:val="28"/>
              <w:szCs w:val="28"/>
              <w:highlight w:val="none"/>
              <w:lang w:val="en-US" w:eastAsia="zh-CN" w:bidi="ar-SA"/>
            </w:rPr>
          </w:pPr>
        </w:p>
        <w:p>
          <w:pPr>
            <w:pStyle w:val="12"/>
            <w:rPr>
              <w:rFonts w:hint="eastAsia" w:ascii="仿宋_GB2312" w:hAnsi="仿宋_GB2312" w:eastAsia="仿宋_GB2312" w:cs="仿宋_GB2312"/>
              <w:kern w:val="2"/>
              <w:sz w:val="28"/>
              <w:szCs w:val="28"/>
              <w:highlight w:val="none"/>
              <w:lang w:val="en-US" w:eastAsia="zh-CN" w:bidi="ar-SA"/>
            </w:rPr>
          </w:pPr>
        </w:p>
        <w:p>
          <w:pPr>
            <w:pStyle w:val="12"/>
            <w:rPr>
              <w:rFonts w:hint="eastAsia" w:ascii="仿宋_GB2312" w:hAnsi="仿宋_GB2312" w:eastAsia="仿宋_GB2312" w:cs="仿宋_GB2312"/>
              <w:kern w:val="2"/>
              <w:sz w:val="28"/>
              <w:szCs w:val="28"/>
              <w:highlight w:val="none"/>
              <w:lang w:val="en-US" w:eastAsia="zh-CN" w:bidi="ar-SA"/>
            </w:rPr>
          </w:pPr>
        </w:p>
        <w:p>
          <w:pPr>
            <w:pStyle w:val="12"/>
            <w:jc w:val="both"/>
          </w:pPr>
          <w:bookmarkStart w:id="0" w:name="_Toc28703"/>
        </w:p>
      </w:sdtContent>
    </w:sdt>
    <w:p>
      <w:pPr>
        <w:pStyle w:val="5"/>
        <w:numPr>
          <w:ilvl w:val="0"/>
          <w:numId w:val="1"/>
        </w:numPr>
        <w:bidi w:val="0"/>
        <w:rPr>
          <w:rFonts w:hint="eastAsia"/>
          <w:lang w:val="en-US" w:eastAsia="zh-CN"/>
        </w:rPr>
        <w:sectPr>
          <w:footerReference r:id="rId3"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5"/>
        <w:pageBreakBefore w:val="0"/>
        <w:widowControl w:val="0"/>
        <w:numPr>
          <w:ilvl w:val="0"/>
          <w:numId w:val="0"/>
        </w:numPr>
        <w:kinsoku/>
        <w:wordWrap/>
        <w:overflowPunct/>
        <w:topLinePunct w:val="0"/>
        <w:autoSpaceDE/>
        <w:autoSpaceDN/>
        <w:bidi w:val="0"/>
        <w:adjustRightInd/>
        <w:spacing w:line="460" w:lineRule="exact"/>
        <w:textAlignment w:val="auto"/>
        <w:rPr>
          <w:rFonts w:hint="eastAsia" w:ascii="方正小标宋简体" w:hAnsi="方正小标宋简体" w:eastAsia="方正小标宋简体" w:cs="方正小标宋简体"/>
          <w:b w:val="0"/>
          <w:bCs/>
          <w:color w:val="000000"/>
          <w:kern w:val="0"/>
          <w:sz w:val="32"/>
          <w:szCs w:val="32"/>
          <w:highlight w:val="none"/>
        </w:rPr>
      </w:pPr>
      <w:r>
        <w:rPr>
          <w:rFonts w:hint="eastAsia" w:ascii="方正小标宋简体" w:hAnsi="方正小标宋简体" w:eastAsia="方正小标宋简体" w:cs="方正小标宋简体"/>
          <w:b w:val="0"/>
          <w:bCs/>
          <w:color w:val="000000"/>
          <w:kern w:val="0"/>
          <w:sz w:val="36"/>
          <w:szCs w:val="36"/>
          <w:lang w:val="en-US" w:eastAsia="zh-CN" w:bidi="ar-SA"/>
        </w:rPr>
        <w:t>第一章</w:t>
      </w:r>
      <w:r>
        <w:rPr>
          <w:rFonts w:hint="eastAsia" w:ascii="方正小标宋简体" w:hAnsi="方正小标宋简体" w:eastAsia="方正小标宋简体" w:cs="方正小标宋简体"/>
          <w:b w:val="0"/>
          <w:bCs/>
          <w:lang w:val="en-US" w:eastAsia="zh-CN"/>
        </w:rPr>
        <w:t xml:space="preserve"> 采购公告</w:t>
      </w:r>
      <w:bookmarkEnd w:id="0"/>
    </w:p>
    <w:p>
      <w:pPr>
        <w:pStyle w:val="7"/>
        <w:keepNext/>
        <w:keepLines/>
        <w:pageBreakBefore w:val="0"/>
        <w:widowControl w:val="0"/>
        <w:kinsoku/>
        <w:wordWrap/>
        <w:overflowPunct/>
        <w:topLinePunct w:val="0"/>
        <w:autoSpaceDE/>
        <w:autoSpaceDN/>
        <w:bidi w:val="0"/>
        <w:adjustRightInd/>
        <w:snapToGrid/>
        <w:spacing w:before="0" w:after="0" w:line="460" w:lineRule="exact"/>
        <w:textAlignment w:val="auto"/>
        <w:rPr>
          <w:color w:val="auto"/>
          <w:highlight w:val="none"/>
        </w:rPr>
      </w:pPr>
      <w:r>
        <w:rPr>
          <w:rFonts w:hint="eastAsia"/>
          <w:color w:val="auto"/>
          <w:highlight w:val="none"/>
        </w:rPr>
        <w:t>1.项目简介</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eastAsia" w:ascii="仿宋_GB2312" w:hAnsi="仿宋_GB2312" w:eastAsia="仿宋_GB2312" w:cs="仿宋_GB2312"/>
          <w:b w:val="0"/>
          <w:bCs w:val="0"/>
          <w:color w:val="auto"/>
          <w:kern w:val="0"/>
          <w:sz w:val="28"/>
          <w:szCs w:val="28"/>
          <w:highlight w:val="none"/>
          <w:u w:val="single"/>
          <w:lang w:eastAsia="zh-CN"/>
        </w:rPr>
      </w:pPr>
      <w:r>
        <w:rPr>
          <w:rFonts w:hint="eastAsia" w:ascii="仿宋_GB2312" w:hAnsi="仿宋_GB2312" w:eastAsia="仿宋_GB2312" w:cs="仿宋_GB2312"/>
          <w:bCs/>
          <w:color w:val="auto"/>
          <w:kern w:val="0"/>
          <w:sz w:val="28"/>
          <w:szCs w:val="28"/>
          <w:highlight w:val="none"/>
        </w:rPr>
        <w:t>1.1项目名称</w:t>
      </w:r>
      <w:r>
        <w:rPr>
          <w:rFonts w:hint="eastAsia" w:ascii="仿宋_GB2312" w:hAnsi="仿宋_GB2312" w:eastAsia="仿宋_GB2312" w:cs="仿宋_GB2312"/>
          <w:b/>
          <w:bCs/>
          <w:color w:val="auto"/>
          <w:kern w:val="0"/>
          <w:sz w:val="28"/>
          <w:szCs w:val="28"/>
          <w:highlight w:val="none"/>
        </w:rPr>
        <w:t>：</w:t>
      </w:r>
      <w:r>
        <w:rPr>
          <w:rFonts w:hint="eastAsia" w:ascii="仿宋_GB2312" w:hAnsi="仿宋_GB2312" w:eastAsia="仿宋_GB2312" w:cs="仿宋_GB2312"/>
          <w:b w:val="0"/>
          <w:bCs w:val="0"/>
          <w:color w:val="auto"/>
          <w:kern w:val="0"/>
          <w:sz w:val="28"/>
          <w:szCs w:val="28"/>
          <w:highlight w:val="none"/>
          <w:u w:val="single"/>
        </w:rPr>
        <w:t>阜阳紫阳华苑项目供配电施工图设计服务</w:t>
      </w:r>
      <w:r>
        <w:rPr>
          <w:rFonts w:hint="eastAsia" w:ascii="仿宋_GB2312" w:hAnsi="仿宋_GB2312" w:eastAsia="仿宋_GB2312" w:cs="仿宋_GB2312"/>
          <w:b w:val="0"/>
          <w:bCs w:val="0"/>
          <w:color w:val="auto"/>
          <w:kern w:val="0"/>
          <w:sz w:val="28"/>
          <w:szCs w:val="28"/>
          <w:highlight w:val="none"/>
          <w:u w:val="single"/>
          <w:lang w:eastAsia="zh-CN"/>
        </w:rPr>
        <w:t>采购</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default" w:ascii="仿宋_GB2312" w:hAnsi="仿宋_GB2312" w:eastAsia="仿宋_GB2312" w:cs="仿宋_GB2312"/>
          <w:bCs/>
          <w:color w:val="auto"/>
          <w:kern w:val="0"/>
          <w:sz w:val="28"/>
          <w:szCs w:val="28"/>
          <w:highlight w:val="none"/>
          <w:lang w:val="en-US"/>
        </w:rPr>
      </w:pPr>
      <w:r>
        <w:rPr>
          <w:rFonts w:hint="eastAsia" w:ascii="仿宋_GB2312" w:hAnsi="仿宋_GB2312" w:eastAsia="仿宋_GB2312" w:cs="仿宋_GB2312"/>
          <w:bCs/>
          <w:color w:val="auto"/>
          <w:kern w:val="0"/>
          <w:sz w:val="28"/>
          <w:szCs w:val="28"/>
          <w:highlight w:val="none"/>
        </w:rPr>
        <w:t>1.2采 购 人：</w:t>
      </w:r>
      <w:r>
        <w:rPr>
          <w:rFonts w:hint="eastAsia" w:ascii="仿宋_GB2312" w:hAnsi="仿宋_GB2312" w:eastAsia="仿宋_GB2312" w:cs="仿宋_GB2312"/>
          <w:bCs/>
          <w:color w:val="auto"/>
          <w:kern w:val="0"/>
          <w:sz w:val="28"/>
          <w:szCs w:val="28"/>
          <w:highlight w:val="none"/>
          <w:u w:val="single"/>
          <w:lang w:val="en-US" w:eastAsia="zh-CN"/>
        </w:rPr>
        <w:t xml:space="preserve">阜阳徽道置业有限公司 </w:t>
      </w:r>
    </w:p>
    <w:p>
      <w:pPr>
        <w:pageBreakBefore w:val="0"/>
        <w:widowControl w:val="0"/>
        <w:kinsoku/>
        <w:wordWrap/>
        <w:overflowPunct/>
        <w:topLinePunct w:val="0"/>
        <w:autoSpaceDE/>
        <w:autoSpaceDN/>
        <w:bidi w:val="0"/>
        <w:adjustRightInd/>
        <w:spacing w:line="460" w:lineRule="exact"/>
        <w:ind w:firstLine="280" w:firstLineChars="100"/>
        <w:jc w:val="left"/>
        <w:textAlignment w:val="auto"/>
        <w:rPr>
          <w:rFonts w:hint="eastAsia"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bCs/>
          <w:color w:val="auto"/>
          <w:kern w:val="0"/>
          <w:sz w:val="28"/>
          <w:szCs w:val="28"/>
          <w:highlight w:val="none"/>
        </w:rPr>
        <w:t>1.3项目概况：</w:t>
      </w:r>
      <w:r>
        <w:rPr>
          <w:rFonts w:hint="eastAsia" w:ascii="仿宋_GB2312" w:hAnsi="仿宋_GB2312" w:eastAsia="仿宋_GB2312" w:cs="仿宋_GB2312"/>
          <w:bCs/>
          <w:color w:val="auto"/>
          <w:kern w:val="0"/>
          <w:sz w:val="28"/>
          <w:szCs w:val="28"/>
          <w:highlight w:val="none"/>
          <w:u w:val="single"/>
          <w:lang w:val="en-US" w:eastAsia="zh-CN"/>
        </w:rPr>
        <w:t>阜阳紫阳华苑项目供配电施工图设计服务采购</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default" w:ascii="仿宋_GB2312" w:hAnsi="仿宋_GB2312" w:eastAsia="仿宋_GB2312" w:cs="仿宋_GB2312"/>
          <w:bCs/>
          <w:color w:val="auto"/>
          <w:kern w:val="0"/>
          <w:sz w:val="28"/>
          <w:szCs w:val="28"/>
          <w:highlight w:val="none"/>
          <w:u w:val="single"/>
          <w:lang w:val="en-US" w:eastAsia="zh-CN"/>
        </w:rPr>
      </w:pPr>
      <w:r>
        <w:rPr>
          <w:rFonts w:hint="eastAsia" w:ascii="仿宋_GB2312" w:hAnsi="仿宋_GB2312" w:eastAsia="仿宋_GB2312" w:cs="仿宋_GB2312"/>
          <w:b w:val="0"/>
          <w:bCs w:val="0"/>
          <w:color w:val="auto"/>
          <w:kern w:val="0"/>
          <w:sz w:val="28"/>
          <w:szCs w:val="28"/>
          <w:highlight w:val="none"/>
          <w:u w:val="none"/>
          <w:lang w:val="en-US" w:eastAsia="zh-CN"/>
        </w:rPr>
        <w:t>1.4项目地点：</w:t>
      </w:r>
      <w:r>
        <w:rPr>
          <w:rFonts w:hint="eastAsia" w:ascii="仿宋_GB2312" w:hAnsi="仿宋_GB2312" w:eastAsia="仿宋_GB2312" w:cs="仿宋_GB2312"/>
          <w:bCs/>
          <w:color w:val="auto"/>
          <w:kern w:val="0"/>
          <w:sz w:val="28"/>
          <w:szCs w:val="28"/>
          <w:highlight w:val="none"/>
          <w:u w:val="single"/>
          <w:lang w:val="en-US" w:eastAsia="zh-CN"/>
        </w:rPr>
        <w:t>安徽省阜阳市</w:t>
      </w:r>
    </w:p>
    <w:p>
      <w:pPr>
        <w:pageBreakBefore w:val="0"/>
        <w:widowControl w:val="0"/>
        <w:kinsoku/>
        <w:wordWrap/>
        <w:overflowPunct/>
        <w:topLinePunct w:val="0"/>
        <w:autoSpaceDE/>
        <w:autoSpaceDN/>
        <w:bidi w:val="0"/>
        <w:adjustRightInd/>
        <w:spacing w:line="460" w:lineRule="exact"/>
        <w:textAlignment w:val="auto"/>
        <w:outlineLvl w:val="1"/>
        <w:rPr>
          <w:rFonts w:ascii="黑体" w:hAnsi="黑体" w:eastAsia="黑体" w:cs="黑体"/>
          <w:b/>
          <w:bCs/>
          <w:color w:val="auto"/>
          <w:kern w:val="0"/>
          <w:sz w:val="28"/>
          <w:szCs w:val="28"/>
          <w:highlight w:val="none"/>
        </w:rPr>
      </w:pPr>
      <w:r>
        <w:rPr>
          <w:rFonts w:hint="eastAsia" w:ascii="黑体" w:hAnsi="黑体" w:eastAsia="黑体" w:cs="黑体"/>
          <w:b/>
          <w:bCs/>
          <w:color w:val="auto"/>
          <w:kern w:val="0"/>
          <w:sz w:val="28"/>
          <w:szCs w:val="28"/>
          <w:highlight w:val="none"/>
        </w:rPr>
        <w:t>2.采购说明</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default"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rPr>
        <w:t>2.1</w:t>
      </w:r>
      <w:r>
        <w:rPr>
          <w:rFonts w:hint="eastAsia" w:ascii="仿宋_GB2312" w:hAnsi="仿宋_GB2312" w:eastAsia="仿宋_GB2312" w:cs="仿宋_GB2312"/>
          <w:color w:val="auto"/>
          <w:kern w:val="0"/>
          <w:sz w:val="28"/>
          <w:szCs w:val="28"/>
          <w:highlight w:val="none"/>
          <w:lang w:val="en-US" w:eastAsia="zh-CN"/>
        </w:rPr>
        <w:t>采购方式：</w:t>
      </w:r>
      <w:r>
        <w:rPr>
          <w:rFonts w:hint="eastAsia" w:ascii="仿宋_GB2312" w:hAnsi="仿宋_GB2312" w:eastAsia="仿宋_GB2312" w:cs="仿宋_GB2312"/>
          <w:color w:val="auto"/>
          <w:kern w:val="0"/>
          <w:sz w:val="28"/>
          <w:szCs w:val="28"/>
          <w:highlight w:val="none"/>
          <w:u w:val="single"/>
          <w:lang w:val="en-US" w:eastAsia="zh-CN"/>
        </w:rPr>
        <w:t>询比采购</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eastAsia" w:ascii="仿宋_GB2312" w:hAnsi="仿宋_GB2312" w:eastAsia="仿宋_GB2312" w:cs="仿宋_GB2312"/>
          <w:color w:val="auto"/>
          <w:kern w:val="0"/>
          <w:sz w:val="28"/>
          <w:szCs w:val="28"/>
          <w:highlight w:val="none"/>
          <w:u w:val="single"/>
          <w:lang w:eastAsia="zh-CN"/>
        </w:rPr>
      </w:pPr>
      <w:r>
        <w:rPr>
          <w:rFonts w:hint="eastAsia" w:ascii="仿宋_GB2312" w:hAnsi="仿宋_GB2312" w:eastAsia="仿宋_GB2312" w:cs="仿宋_GB2312"/>
          <w:color w:val="auto"/>
          <w:kern w:val="0"/>
          <w:sz w:val="28"/>
          <w:szCs w:val="28"/>
          <w:highlight w:val="none"/>
          <w:lang w:val="en-US" w:eastAsia="zh-CN"/>
        </w:rPr>
        <w:t>2.2</w:t>
      </w:r>
      <w:r>
        <w:rPr>
          <w:rFonts w:hint="eastAsia" w:ascii="仿宋_GB2312" w:hAnsi="仿宋_GB2312" w:eastAsia="仿宋_GB2312" w:cs="仿宋_GB2312"/>
          <w:color w:val="auto"/>
          <w:kern w:val="0"/>
          <w:sz w:val="28"/>
          <w:szCs w:val="28"/>
          <w:highlight w:val="none"/>
        </w:rPr>
        <w:t>资金来源：</w:t>
      </w:r>
      <w:r>
        <w:rPr>
          <w:rFonts w:hint="eastAsia" w:ascii="仿宋_GB2312" w:hAnsi="仿宋_GB2312" w:eastAsia="仿宋_GB2312" w:cs="仿宋_GB2312"/>
          <w:color w:val="auto"/>
          <w:kern w:val="0"/>
          <w:sz w:val="28"/>
          <w:szCs w:val="28"/>
          <w:highlight w:val="none"/>
          <w:u w:val="single"/>
          <w:lang w:val="en-US" w:eastAsia="zh-CN"/>
        </w:rPr>
        <w:t>/</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eastAsia" w:ascii="仿宋_GB2312" w:hAnsi="仿宋_GB2312" w:eastAsia="仿宋_GB2312" w:cs="仿宋_GB2312"/>
          <w:bCs/>
          <w:color w:val="auto"/>
          <w:kern w:val="0"/>
          <w:sz w:val="28"/>
          <w:szCs w:val="28"/>
          <w:highlight w:val="none"/>
          <w:u w:val="words"/>
          <w:lang w:val="en-US" w:eastAsia="zh-CN"/>
        </w:rPr>
      </w:pPr>
      <w:r>
        <w:rPr>
          <w:rFonts w:hint="eastAsia" w:ascii="仿宋_GB2312" w:hAnsi="仿宋_GB2312" w:eastAsia="仿宋_GB2312" w:cs="仿宋_GB2312"/>
          <w:color w:val="auto"/>
          <w:kern w:val="0"/>
          <w:sz w:val="28"/>
          <w:szCs w:val="28"/>
          <w:highlight w:val="none"/>
          <w:u w:val="none"/>
          <w:lang w:val="en-US" w:eastAsia="zh-CN"/>
        </w:rPr>
        <w:t>2.3采购范围：</w:t>
      </w:r>
      <w:r>
        <w:rPr>
          <w:rFonts w:hint="eastAsia" w:ascii="仿宋_GB2312" w:hAnsi="仿宋_GB2312" w:eastAsia="仿宋_GB2312" w:cs="仿宋_GB2312"/>
          <w:color w:val="auto"/>
          <w:kern w:val="0"/>
          <w:sz w:val="28"/>
          <w:szCs w:val="28"/>
          <w:highlight w:val="none"/>
          <w:u w:val="single"/>
          <w:lang w:val="en-US" w:eastAsia="zh-CN"/>
        </w:rPr>
        <w:t>根据国网阜阳市城郊供电公司设计的紫阳华苑项目居民区高压供电方案进行项目供电工程施工图设计，包含但不限于方案中涉及公变、专变及小区充电桩内容的施工图设计，直至满足供电公司方案要求并通过图审</w:t>
      </w:r>
      <w:r>
        <w:rPr>
          <w:rFonts w:hint="eastAsia" w:ascii="仿宋_GB2312" w:hAnsi="仿宋_GB2312" w:eastAsia="仿宋_GB2312" w:cs="仿宋_GB2312"/>
          <w:bCs/>
          <w:color w:val="auto"/>
          <w:kern w:val="0"/>
          <w:sz w:val="28"/>
          <w:szCs w:val="28"/>
          <w:highlight w:val="none"/>
          <w:u w:val="single"/>
          <w:lang w:val="en-US" w:eastAsia="zh-CN"/>
        </w:rPr>
        <w:t>。</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eastAsia"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val="en-US" w:eastAsia="zh-CN"/>
        </w:rPr>
        <w:t>4合同包划分</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u w:val="single"/>
          <w:lang w:val="en-US" w:eastAsia="zh-CN"/>
        </w:rPr>
        <w:t>本次采购分一个合同包。</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eastAsia"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val="en-US" w:eastAsia="zh-CN"/>
        </w:rPr>
        <w:t>5最高限价</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u w:val="single"/>
          <w:lang w:val="en-US" w:eastAsia="zh-CN"/>
        </w:rPr>
        <w:t xml:space="preserve"> 最高限价31.36万元。</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default"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val="en-US" w:eastAsia="zh-CN"/>
        </w:rPr>
        <w:t>6</w:t>
      </w:r>
      <w:r>
        <w:rPr>
          <w:rFonts w:hint="eastAsia" w:ascii="仿宋_GB2312" w:hAnsi="仿宋_GB2312" w:eastAsia="仿宋_GB2312" w:cs="仿宋_GB2312"/>
          <w:color w:val="auto"/>
          <w:kern w:val="0"/>
          <w:sz w:val="28"/>
          <w:szCs w:val="28"/>
          <w:highlight w:val="none"/>
        </w:rPr>
        <w:t>计划</w:t>
      </w:r>
      <w:r>
        <w:rPr>
          <w:rFonts w:hint="eastAsia" w:ascii="仿宋_GB2312" w:hAnsi="仿宋_GB2312" w:eastAsia="仿宋_GB2312" w:cs="仿宋_GB2312"/>
          <w:color w:val="auto"/>
          <w:kern w:val="0"/>
          <w:sz w:val="28"/>
          <w:szCs w:val="28"/>
          <w:highlight w:val="none"/>
          <w:lang w:val="en-US" w:eastAsia="zh-CN"/>
        </w:rPr>
        <w:t>服务周</w:t>
      </w:r>
      <w:r>
        <w:rPr>
          <w:rFonts w:hint="eastAsia" w:ascii="仿宋_GB2312" w:hAnsi="仿宋_GB2312" w:eastAsia="仿宋_GB2312" w:cs="仿宋_GB2312"/>
          <w:color w:val="auto"/>
          <w:kern w:val="0"/>
          <w:sz w:val="28"/>
          <w:szCs w:val="28"/>
          <w:highlight w:val="none"/>
        </w:rPr>
        <w:t>期：</w:t>
      </w:r>
      <w:r>
        <w:rPr>
          <w:rFonts w:hint="eastAsia" w:ascii="仿宋_GB2312" w:hAnsi="仿宋_GB2312" w:eastAsia="仿宋_GB2312" w:cs="仿宋_GB2312"/>
          <w:color w:val="auto"/>
          <w:kern w:val="0"/>
          <w:sz w:val="28"/>
          <w:szCs w:val="28"/>
          <w:highlight w:val="none"/>
          <w:u w:val="single"/>
          <w:lang w:val="en-US" w:eastAsia="zh-CN"/>
        </w:rPr>
        <w:t>自比选人移交项目资料（含电子档）当日起，30个日历天内按比选人要求完成。</w:t>
      </w:r>
    </w:p>
    <w:p>
      <w:pPr>
        <w:pageBreakBefore w:val="0"/>
        <w:widowControl w:val="0"/>
        <w:numPr>
          <w:ilvl w:val="0"/>
          <w:numId w:val="2"/>
        </w:numPr>
        <w:kinsoku/>
        <w:wordWrap/>
        <w:overflowPunct/>
        <w:topLinePunct w:val="0"/>
        <w:autoSpaceDE/>
        <w:autoSpaceDN/>
        <w:bidi w:val="0"/>
        <w:adjustRightInd/>
        <w:spacing w:line="460" w:lineRule="exact"/>
        <w:textAlignment w:val="auto"/>
        <w:outlineLvl w:val="1"/>
        <w:rPr>
          <w:rFonts w:ascii="黑体" w:hAnsi="黑体" w:eastAsia="黑体" w:cs="黑体"/>
          <w:b/>
          <w:bCs/>
          <w:color w:val="auto"/>
          <w:kern w:val="0"/>
          <w:sz w:val="28"/>
          <w:szCs w:val="28"/>
          <w:highlight w:val="none"/>
        </w:rPr>
      </w:pPr>
      <w:bookmarkStart w:id="1" w:name="_Toc525632587"/>
      <w:bookmarkStart w:id="2" w:name="_Toc1622_WPSOffice_Level2"/>
      <w:bookmarkStart w:id="3" w:name="_Toc22379_WPSOffice_Level2"/>
      <w:bookmarkStart w:id="4" w:name="_Toc6388"/>
      <w:bookmarkStart w:id="5" w:name="_Toc3714"/>
      <w:bookmarkStart w:id="6" w:name="_Toc31673_WPSOffice_Level2"/>
      <w:bookmarkStart w:id="7" w:name="_Toc29516_WPSOffice_Level2"/>
      <w:r>
        <w:rPr>
          <w:rFonts w:ascii="黑体" w:hAnsi="黑体" w:eastAsia="黑体" w:cs="黑体"/>
          <w:b/>
          <w:bCs/>
          <w:color w:val="auto"/>
          <w:kern w:val="0"/>
          <w:sz w:val="28"/>
          <w:szCs w:val="28"/>
          <w:highlight w:val="none"/>
        </w:rPr>
        <w:t>供应商资格条件</w:t>
      </w:r>
      <w:bookmarkEnd w:id="1"/>
      <w:bookmarkEnd w:id="2"/>
      <w:bookmarkEnd w:id="3"/>
      <w:bookmarkEnd w:id="4"/>
      <w:bookmarkEnd w:id="5"/>
      <w:bookmarkEnd w:id="6"/>
      <w:bookmarkEnd w:id="7"/>
    </w:p>
    <w:p>
      <w:pPr>
        <w:pageBreakBefore w:val="0"/>
        <w:widowControl w:val="0"/>
        <w:numPr>
          <w:ilvl w:val="0"/>
          <w:numId w:val="0"/>
        </w:numPr>
        <w:kinsoku/>
        <w:wordWrap/>
        <w:overflowPunct/>
        <w:topLinePunct w:val="0"/>
        <w:autoSpaceDE/>
        <w:autoSpaceDN/>
        <w:bidi w:val="0"/>
        <w:adjustRightInd/>
        <w:spacing w:line="460" w:lineRule="exact"/>
        <w:ind w:firstLine="560" w:firstLineChars="200"/>
        <w:textAlignment w:val="auto"/>
        <w:outlineLvl w:val="1"/>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3.1供应商</w:t>
      </w:r>
      <w:r>
        <w:rPr>
          <w:rFonts w:ascii="仿宋_GB2312" w:hAnsi="仿宋_GB2312" w:eastAsia="仿宋_GB2312" w:cs="仿宋_GB2312"/>
          <w:color w:val="auto"/>
          <w:kern w:val="0"/>
          <w:sz w:val="28"/>
          <w:szCs w:val="28"/>
          <w:highlight w:val="none"/>
        </w:rPr>
        <w:t>资质要求：</w:t>
      </w:r>
    </w:p>
    <w:p>
      <w:pPr>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供应商需</w:t>
      </w:r>
      <w:r>
        <w:rPr>
          <w:rFonts w:ascii="仿宋_GB2312" w:hAnsi="仿宋_GB2312" w:eastAsia="仿宋_GB2312" w:cs="仿宋_GB2312"/>
          <w:color w:val="auto"/>
          <w:kern w:val="0"/>
          <w:sz w:val="28"/>
          <w:szCs w:val="28"/>
          <w:highlight w:val="none"/>
        </w:rPr>
        <w:t>具备持有有效的营业执照</w:t>
      </w:r>
      <w:r>
        <w:rPr>
          <w:rFonts w:hint="eastAsia" w:ascii="仿宋_GB2312" w:hAnsi="仿宋_GB2312" w:eastAsia="仿宋_GB2312" w:cs="仿宋_GB2312"/>
          <w:color w:val="auto"/>
          <w:kern w:val="0"/>
          <w:sz w:val="28"/>
          <w:szCs w:val="28"/>
          <w:highlight w:val="none"/>
        </w:rPr>
        <w:t>，持有电力行业送变电</w:t>
      </w:r>
      <w:r>
        <w:rPr>
          <w:rFonts w:hint="eastAsia" w:ascii="仿宋_GB2312" w:hAnsi="仿宋_GB2312" w:eastAsia="仿宋_GB2312" w:cs="仿宋_GB2312"/>
          <w:color w:val="auto"/>
          <w:kern w:val="0"/>
          <w:sz w:val="28"/>
          <w:szCs w:val="28"/>
          <w:highlight w:val="none"/>
          <w:lang w:eastAsia="zh-CN"/>
        </w:rPr>
        <w:t>工程</w:t>
      </w:r>
      <w:r>
        <w:rPr>
          <w:rFonts w:hint="eastAsia" w:ascii="仿宋_GB2312" w:hAnsi="仿宋_GB2312" w:eastAsia="仿宋_GB2312" w:cs="仿宋_GB2312"/>
          <w:color w:val="auto"/>
          <w:kern w:val="0"/>
          <w:sz w:val="28"/>
          <w:szCs w:val="28"/>
          <w:highlight w:val="none"/>
        </w:rPr>
        <w:t>设计资质丙级及以上资质，有相应的设计服务能力并提供业绩证明资料</w:t>
      </w:r>
      <w:r>
        <w:rPr>
          <w:rFonts w:hint="eastAsia" w:ascii="仿宋_GB2312" w:hAnsi="仿宋_GB2312" w:eastAsia="仿宋_GB2312" w:cs="仿宋_GB2312"/>
          <w:color w:val="auto"/>
          <w:kern w:val="0"/>
          <w:sz w:val="28"/>
          <w:szCs w:val="28"/>
          <w:highlight w:val="none"/>
          <w:lang w:val="en-US" w:eastAsia="zh-CN"/>
        </w:rPr>
        <w:t>。</w:t>
      </w:r>
    </w:p>
    <w:p>
      <w:pPr>
        <w:pageBreakBefore w:val="0"/>
        <w:widowControl w:val="0"/>
        <w:numPr>
          <w:ilvl w:val="0"/>
          <w:numId w:val="0"/>
        </w:numPr>
        <w:kinsoku/>
        <w:wordWrap/>
        <w:overflowPunct/>
        <w:topLinePunct w:val="0"/>
        <w:autoSpaceDE/>
        <w:autoSpaceDN/>
        <w:bidi w:val="0"/>
        <w:adjustRightInd/>
        <w:spacing w:line="460" w:lineRule="exact"/>
        <w:ind w:firstLine="560" w:firstLineChars="200"/>
        <w:textAlignment w:val="auto"/>
        <w:outlineLvl w:val="1"/>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3.2信誉要求最低要求：</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color w:val="auto"/>
          <w:kern w:val="0"/>
          <w:sz w:val="28"/>
          <w:szCs w:val="28"/>
          <w:highlight w:val="none"/>
        </w:rPr>
        <w:t>未被责令停业，暂扣或吊销执照，或吊销资质证书；</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③</w:t>
      </w:r>
      <w:r>
        <w:rPr>
          <w:rFonts w:ascii="仿宋_GB2312" w:hAnsi="仿宋_GB2312" w:eastAsia="仿宋_GB2312" w:cs="仿宋_GB2312"/>
          <w:color w:val="auto"/>
          <w:kern w:val="0"/>
          <w:sz w:val="28"/>
          <w:szCs w:val="28"/>
          <w:highlight w:val="none"/>
        </w:rPr>
        <w:t>在国家企业信用信息公示系统（http://www.gsxt.gov.cn）中</w:t>
      </w:r>
      <w:r>
        <w:rPr>
          <w:rFonts w:hint="eastAsia" w:ascii="仿宋_GB2312" w:hAnsi="仿宋_GB2312" w:eastAsia="仿宋_GB2312" w:cs="仿宋_GB2312"/>
          <w:color w:val="auto"/>
          <w:kern w:val="0"/>
          <w:sz w:val="28"/>
          <w:szCs w:val="28"/>
          <w:highlight w:val="none"/>
        </w:rPr>
        <w:t>未</w:t>
      </w:r>
      <w:r>
        <w:rPr>
          <w:rFonts w:ascii="仿宋_GB2312" w:hAnsi="仿宋_GB2312" w:eastAsia="仿宋_GB2312" w:cs="仿宋_GB2312"/>
          <w:color w:val="auto"/>
          <w:kern w:val="0"/>
          <w:sz w:val="28"/>
          <w:szCs w:val="28"/>
          <w:highlight w:val="none"/>
        </w:rPr>
        <w:t>被列入严重违法失信企业名单；</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④</w:t>
      </w:r>
      <w:r>
        <w:rPr>
          <w:rFonts w:ascii="仿宋_GB2312" w:hAnsi="仿宋_GB2312" w:eastAsia="仿宋_GB2312" w:cs="仿宋_GB2312"/>
          <w:color w:val="auto"/>
          <w:kern w:val="0"/>
          <w:sz w:val="28"/>
          <w:szCs w:val="28"/>
          <w:highlight w:val="none"/>
        </w:rPr>
        <w:t>在“信用中国”网站（http://www.creditchina.gov.cn）中</w:t>
      </w:r>
      <w:r>
        <w:rPr>
          <w:rFonts w:hint="eastAsia" w:ascii="仿宋_GB2312" w:hAnsi="仿宋_GB2312" w:eastAsia="仿宋_GB2312" w:cs="仿宋_GB2312"/>
          <w:color w:val="auto"/>
          <w:kern w:val="0"/>
          <w:sz w:val="28"/>
          <w:szCs w:val="28"/>
          <w:highlight w:val="none"/>
        </w:rPr>
        <w:t>未</w:t>
      </w:r>
      <w:r>
        <w:rPr>
          <w:rFonts w:ascii="仿宋_GB2312" w:hAnsi="仿宋_GB2312" w:eastAsia="仿宋_GB2312" w:cs="仿宋_GB2312"/>
          <w:color w:val="auto"/>
          <w:kern w:val="0"/>
          <w:sz w:val="28"/>
          <w:szCs w:val="28"/>
          <w:highlight w:val="none"/>
        </w:rPr>
        <w:t>被列入失信被执行人名单；</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⑤</w:t>
      </w:r>
      <w:r>
        <w:rPr>
          <w:rFonts w:ascii="仿宋_GB2312" w:hAnsi="仿宋_GB2312" w:eastAsia="仿宋_GB2312" w:cs="仿宋_GB2312"/>
          <w:color w:val="auto"/>
          <w:kern w:val="0"/>
          <w:sz w:val="28"/>
          <w:szCs w:val="28"/>
          <w:highlight w:val="none"/>
        </w:rPr>
        <w:t>在近三年内（自</w:t>
      </w:r>
      <w:r>
        <w:rPr>
          <w:rFonts w:hint="eastAsia" w:ascii="仿宋_GB2312" w:hAnsi="仿宋_GB2312" w:eastAsia="仿宋_GB2312" w:cs="仿宋_GB2312"/>
          <w:color w:val="auto"/>
          <w:kern w:val="0"/>
          <w:sz w:val="28"/>
          <w:szCs w:val="28"/>
          <w:highlight w:val="none"/>
        </w:rPr>
        <w:t>响应文件递交截止之日</w:t>
      </w:r>
      <w:r>
        <w:rPr>
          <w:rFonts w:ascii="仿宋_GB2312" w:hAnsi="仿宋_GB2312" w:eastAsia="仿宋_GB2312" w:cs="仿宋_GB2312"/>
          <w:color w:val="auto"/>
          <w:kern w:val="0"/>
          <w:sz w:val="28"/>
          <w:szCs w:val="28"/>
          <w:highlight w:val="none"/>
        </w:rPr>
        <w:t>向前追溯3年）供应商或其法定代表人</w:t>
      </w:r>
      <w:r>
        <w:rPr>
          <w:rFonts w:hint="eastAsia" w:ascii="仿宋_GB2312" w:hAnsi="仿宋_GB2312" w:eastAsia="仿宋_GB2312" w:cs="仿宋_GB2312"/>
          <w:color w:val="auto"/>
          <w:kern w:val="0"/>
          <w:sz w:val="28"/>
          <w:szCs w:val="28"/>
          <w:highlight w:val="none"/>
        </w:rPr>
        <w:t>未</w:t>
      </w:r>
      <w:r>
        <w:rPr>
          <w:rFonts w:ascii="仿宋_GB2312" w:hAnsi="仿宋_GB2312" w:eastAsia="仿宋_GB2312" w:cs="仿宋_GB2312"/>
          <w:color w:val="auto"/>
          <w:kern w:val="0"/>
          <w:sz w:val="28"/>
          <w:szCs w:val="28"/>
          <w:highlight w:val="none"/>
        </w:rPr>
        <w:t>有行贿犯罪行为。</w:t>
      </w:r>
    </w:p>
    <w:p>
      <w:pPr>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⑥其他要求：</w:t>
      </w:r>
      <w:r>
        <w:rPr>
          <w:rFonts w:hint="eastAsia" w:ascii="仿宋_GB2312" w:hAnsi="仿宋_GB2312" w:eastAsia="仿宋_GB2312" w:cs="仿宋_GB2312"/>
          <w:color w:val="auto"/>
          <w:kern w:val="0"/>
          <w:sz w:val="28"/>
          <w:szCs w:val="28"/>
          <w:highlight w:val="none"/>
          <w:lang w:val="en-US" w:eastAsia="zh-CN"/>
        </w:rPr>
        <w:t>供应商需提供企业近3年（2021年1月至今）至少一项供电施工图设计业绩合同</w:t>
      </w:r>
      <w:r>
        <w:rPr>
          <w:rFonts w:hint="eastAsia" w:ascii="仿宋_GB2312" w:hAnsi="仿宋_GB2312" w:eastAsia="仿宋_GB2312" w:cs="仿宋_GB2312"/>
          <w:color w:val="auto"/>
          <w:kern w:val="0"/>
          <w:sz w:val="28"/>
          <w:szCs w:val="28"/>
          <w:highlight w:val="none"/>
          <w:lang w:eastAsia="zh-CN"/>
        </w:rPr>
        <w:t>。</w:t>
      </w:r>
    </w:p>
    <w:p>
      <w:pPr>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3.3</w:t>
      </w:r>
      <w:r>
        <w:rPr>
          <w:rFonts w:ascii="仿宋_GB2312" w:hAnsi="仿宋_GB2312" w:eastAsia="仿宋_GB2312" w:cs="仿宋_GB2312"/>
          <w:color w:val="auto"/>
          <w:kern w:val="0"/>
          <w:sz w:val="28"/>
          <w:szCs w:val="28"/>
          <w:highlight w:val="none"/>
        </w:rPr>
        <w:t>单位负责人为同一人或者存在控股、管理关系的不同单位，不得同时参加同一合同包报价，否则相关响应文件均无效。</w:t>
      </w:r>
    </w:p>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ascii="黑体" w:hAnsi="黑体" w:eastAsia="黑体" w:cs="黑体"/>
          <w:color w:val="auto"/>
          <w:kern w:val="0"/>
          <w:szCs w:val="28"/>
          <w:highlight w:val="none"/>
        </w:rPr>
      </w:pPr>
      <w:bookmarkStart w:id="8" w:name="_Toc4109_WPSOffice_Level2"/>
      <w:bookmarkStart w:id="9" w:name="_Toc525632588"/>
      <w:bookmarkStart w:id="10" w:name="_Toc2996_WPSOffice_Level2"/>
      <w:bookmarkStart w:id="11" w:name="_Toc25666_WPSOffice_Level2"/>
      <w:bookmarkStart w:id="12" w:name="_Toc1994"/>
      <w:bookmarkStart w:id="13" w:name="_Toc29452_WPSOffice_Level2"/>
      <w:bookmarkStart w:id="14" w:name="_Toc4751"/>
      <w:r>
        <w:rPr>
          <w:rFonts w:hint="eastAsia" w:ascii="黑体" w:hAnsi="黑体" w:eastAsia="黑体" w:cs="黑体"/>
          <w:b/>
          <w:bCs/>
          <w:color w:val="auto"/>
          <w:kern w:val="0"/>
          <w:sz w:val="28"/>
          <w:szCs w:val="28"/>
          <w:highlight w:val="none"/>
          <w:lang w:val="en-US" w:eastAsia="zh-CN" w:bidi="ar-SA"/>
        </w:rPr>
        <w:t>4.采购文件</w:t>
      </w:r>
      <w:r>
        <w:rPr>
          <w:rFonts w:ascii="黑体" w:hAnsi="黑体" w:eastAsia="黑体" w:cs="黑体"/>
          <w:b/>
          <w:bCs/>
          <w:color w:val="auto"/>
          <w:kern w:val="0"/>
          <w:sz w:val="28"/>
          <w:szCs w:val="28"/>
          <w:highlight w:val="none"/>
          <w:lang w:val="en-US" w:eastAsia="zh-CN" w:bidi="ar-SA"/>
        </w:rPr>
        <w:t>的获取</w:t>
      </w:r>
      <w:bookmarkEnd w:id="8"/>
      <w:bookmarkEnd w:id="9"/>
      <w:bookmarkEnd w:id="10"/>
      <w:bookmarkEnd w:id="11"/>
      <w:bookmarkEnd w:id="12"/>
      <w:bookmarkEnd w:id="13"/>
      <w:bookmarkEnd w:id="14"/>
    </w:p>
    <w:p>
      <w:pPr>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bookmarkStart w:id="15" w:name="_Toc726"/>
      <w:bookmarkStart w:id="16" w:name="_Toc525632589"/>
      <w:r>
        <w:rPr>
          <w:rFonts w:ascii="仿宋_GB2312" w:hAnsi="仿宋_GB2312" w:eastAsia="仿宋_GB2312" w:cs="仿宋_GB2312"/>
          <w:color w:val="auto"/>
          <w:kern w:val="0"/>
          <w:sz w:val="28"/>
          <w:szCs w:val="28"/>
          <w:highlight w:val="none"/>
        </w:rPr>
        <w:t>供应商应在递交响应文件的截止时间前登录</w:t>
      </w:r>
      <w:r>
        <w:rPr>
          <w:rFonts w:hint="eastAsia" w:ascii="仿宋_GB2312" w:hAnsi="仿宋_GB2312" w:eastAsia="仿宋_GB2312" w:cs="仿宋_GB2312"/>
          <w:color w:val="auto"/>
          <w:kern w:val="0"/>
          <w:sz w:val="28"/>
          <w:szCs w:val="28"/>
          <w:highlight w:val="none"/>
          <w:lang w:val="en-US" w:eastAsia="zh-CN"/>
        </w:rPr>
        <w:t>安徽交控建设工程集团有限公司网站（http://www.ahjggroup.com/）</w:t>
      </w:r>
      <w:r>
        <w:rPr>
          <w:rFonts w:ascii="仿宋_GB2312" w:hAnsi="仿宋_GB2312" w:eastAsia="仿宋_GB2312" w:cs="仿宋_GB2312"/>
          <w:color w:val="auto"/>
          <w:kern w:val="0"/>
          <w:sz w:val="28"/>
          <w:szCs w:val="28"/>
          <w:highlight w:val="none"/>
        </w:rPr>
        <w:t>，选择所参加的</w:t>
      </w:r>
      <w:r>
        <w:rPr>
          <w:rFonts w:hint="eastAsia" w:ascii="仿宋_GB2312" w:hAnsi="仿宋_GB2312" w:eastAsia="仿宋_GB2312" w:cs="仿宋_GB2312"/>
          <w:color w:val="auto"/>
          <w:kern w:val="0"/>
          <w:sz w:val="28"/>
          <w:szCs w:val="28"/>
          <w:highlight w:val="none"/>
          <w:lang w:val="en-US" w:eastAsia="zh-CN"/>
        </w:rPr>
        <w:t>项目</w:t>
      </w:r>
      <w:r>
        <w:rPr>
          <w:rFonts w:ascii="仿宋_GB2312" w:hAnsi="仿宋_GB2312" w:eastAsia="仿宋_GB2312" w:cs="仿宋_GB2312"/>
          <w:color w:val="auto"/>
          <w:kern w:val="0"/>
          <w:sz w:val="28"/>
          <w:szCs w:val="28"/>
          <w:highlight w:val="none"/>
        </w:rPr>
        <w:t>，自行下载</w:t>
      </w:r>
      <w:r>
        <w:rPr>
          <w:rFonts w:hint="eastAsia" w:ascii="仿宋_GB2312" w:hAnsi="仿宋_GB2312" w:eastAsia="仿宋_GB2312" w:cs="仿宋_GB2312"/>
          <w:color w:val="auto"/>
          <w:kern w:val="0"/>
          <w:sz w:val="28"/>
          <w:szCs w:val="28"/>
          <w:highlight w:val="none"/>
          <w:lang w:val="en-US" w:eastAsia="zh-CN"/>
        </w:rPr>
        <w:t>招标</w:t>
      </w:r>
      <w:r>
        <w:rPr>
          <w:rFonts w:hint="eastAsia" w:ascii="仿宋_GB2312" w:hAnsi="仿宋_GB2312" w:eastAsia="仿宋_GB2312" w:cs="仿宋_GB2312"/>
          <w:color w:val="auto"/>
          <w:kern w:val="0"/>
          <w:sz w:val="28"/>
          <w:szCs w:val="28"/>
          <w:highlight w:val="none"/>
        </w:rPr>
        <w:t>文件</w:t>
      </w:r>
      <w:r>
        <w:rPr>
          <w:rFonts w:ascii="仿宋_GB2312" w:hAnsi="仿宋_GB2312" w:eastAsia="仿宋_GB2312" w:cs="仿宋_GB2312"/>
          <w:color w:val="auto"/>
          <w:kern w:val="0"/>
          <w:sz w:val="28"/>
          <w:szCs w:val="28"/>
          <w:highlight w:val="none"/>
        </w:rPr>
        <w:t>及相关资料</w:t>
      </w:r>
      <w:r>
        <w:rPr>
          <w:rFonts w:hint="eastAsia" w:ascii="仿宋_GB2312" w:hAnsi="仿宋_GB2312" w:eastAsia="仿宋_GB2312" w:cs="仿宋_GB2312"/>
          <w:color w:val="auto"/>
          <w:kern w:val="0"/>
          <w:sz w:val="28"/>
          <w:szCs w:val="28"/>
          <w:highlight w:val="none"/>
          <w:lang w:val="en-US" w:eastAsia="zh-CN"/>
        </w:rPr>
        <w:t>，</w:t>
      </w:r>
      <w:r>
        <w:rPr>
          <w:rFonts w:ascii="仿宋_GB2312" w:hAnsi="仿宋_GB2312" w:eastAsia="仿宋_GB2312" w:cs="仿宋_GB2312"/>
          <w:color w:val="auto"/>
          <w:kern w:val="0"/>
          <w:sz w:val="28"/>
          <w:szCs w:val="28"/>
          <w:highlight w:val="none"/>
        </w:rPr>
        <w:t>未按规定下载</w:t>
      </w:r>
      <w:r>
        <w:rPr>
          <w:rFonts w:hint="eastAsia" w:ascii="仿宋_GB2312" w:hAnsi="仿宋_GB2312" w:eastAsia="仿宋_GB2312" w:cs="仿宋_GB2312"/>
          <w:color w:val="auto"/>
          <w:kern w:val="0"/>
          <w:sz w:val="28"/>
          <w:szCs w:val="28"/>
          <w:highlight w:val="none"/>
          <w:lang w:val="en-US" w:eastAsia="zh-CN"/>
        </w:rPr>
        <w:t>招标</w:t>
      </w:r>
      <w:r>
        <w:rPr>
          <w:rFonts w:hint="eastAsia" w:ascii="仿宋_GB2312" w:hAnsi="仿宋_GB2312" w:eastAsia="仿宋_GB2312" w:cs="仿宋_GB2312"/>
          <w:color w:val="auto"/>
          <w:kern w:val="0"/>
          <w:sz w:val="28"/>
          <w:szCs w:val="28"/>
          <w:highlight w:val="none"/>
        </w:rPr>
        <w:t>文件</w:t>
      </w:r>
      <w:r>
        <w:rPr>
          <w:rFonts w:ascii="仿宋_GB2312" w:hAnsi="仿宋_GB2312" w:eastAsia="仿宋_GB2312" w:cs="仿宋_GB2312"/>
          <w:color w:val="auto"/>
          <w:kern w:val="0"/>
          <w:sz w:val="28"/>
          <w:szCs w:val="28"/>
          <w:highlight w:val="none"/>
        </w:rPr>
        <w:t>的，后续将不予接受其响应文件。</w:t>
      </w:r>
    </w:p>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ascii="黑体" w:hAnsi="黑体" w:eastAsia="黑体" w:cs="黑体"/>
          <w:b/>
          <w:bCs/>
          <w:color w:val="auto"/>
          <w:kern w:val="0"/>
          <w:sz w:val="28"/>
          <w:szCs w:val="28"/>
          <w:highlight w:val="none"/>
          <w:lang w:val="en-US" w:eastAsia="zh-CN" w:bidi="ar-SA"/>
        </w:rPr>
      </w:pPr>
      <w:r>
        <w:rPr>
          <w:rFonts w:hint="eastAsia" w:ascii="黑体" w:hAnsi="黑体" w:eastAsia="黑体" w:cs="黑体"/>
          <w:b/>
          <w:bCs/>
          <w:color w:val="auto"/>
          <w:kern w:val="0"/>
          <w:sz w:val="28"/>
          <w:szCs w:val="28"/>
          <w:highlight w:val="none"/>
          <w:lang w:val="en-US" w:eastAsia="zh-CN" w:bidi="ar-SA"/>
        </w:rPr>
        <w:t>5.</w:t>
      </w:r>
      <w:r>
        <w:rPr>
          <w:rFonts w:ascii="黑体" w:hAnsi="黑体" w:eastAsia="黑体" w:cs="黑体"/>
          <w:b/>
          <w:bCs/>
          <w:color w:val="auto"/>
          <w:kern w:val="0"/>
          <w:sz w:val="28"/>
          <w:szCs w:val="28"/>
          <w:highlight w:val="none"/>
          <w:lang w:val="en-US" w:eastAsia="zh-CN" w:bidi="ar-SA"/>
        </w:rPr>
        <w:t>响应文件的递交</w:t>
      </w:r>
      <w:bookmarkEnd w:id="15"/>
      <w:bookmarkEnd w:id="1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响应文件递交的截止时间为</w:t>
      </w:r>
      <w:r>
        <w:rPr>
          <w:rFonts w:hint="eastAsia" w:ascii="仿宋_GB2312" w:hAnsi="仿宋_GB2312" w:eastAsia="仿宋_GB2312" w:cs="仿宋_GB2312"/>
          <w:color w:val="auto"/>
          <w:kern w:val="0"/>
          <w:sz w:val="28"/>
          <w:szCs w:val="28"/>
          <w:highlight w:val="none"/>
          <w:lang w:val="en-US" w:eastAsia="zh-CN"/>
        </w:rPr>
        <w:t>2024</w:t>
      </w:r>
      <w:r>
        <w:rPr>
          <w:rFonts w:hint="default"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5</w:t>
      </w:r>
      <w:r>
        <w:rPr>
          <w:rFonts w:hint="default"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6</w:t>
      </w:r>
      <w:r>
        <w:rPr>
          <w:rFonts w:hint="default"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15</w:t>
      </w:r>
      <w:r>
        <w:rPr>
          <w:rFonts w:hint="default"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default" w:ascii="仿宋_GB2312" w:hAnsi="仿宋_GB2312" w:eastAsia="仿宋_GB2312" w:cs="仿宋_GB2312"/>
          <w:color w:val="auto"/>
          <w:kern w:val="0"/>
          <w:sz w:val="28"/>
          <w:szCs w:val="28"/>
          <w:highlight w:val="none"/>
        </w:rPr>
        <w:t>分，供应商的法定代表人或其授权代理人应于递交的截止时间前将响应文件</w:t>
      </w:r>
      <w:r>
        <w:rPr>
          <w:rFonts w:hint="eastAsia" w:ascii="仿宋_GB2312" w:hAnsi="仿宋_GB2312" w:eastAsia="仿宋_GB2312" w:cs="仿宋_GB2312"/>
          <w:color w:val="auto"/>
          <w:kern w:val="0"/>
          <w:sz w:val="28"/>
          <w:szCs w:val="28"/>
          <w:highlight w:val="none"/>
        </w:rPr>
        <w:t>递交至</w:t>
      </w:r>
      <w:r>
        <w:rPr>
          <w:rFonts w:hint="eastAsia" w:ascii="仿宋_GB2312" w:hAnsi="仿宋_GB2312" w:eastAsia="仿宋_GB2312" w:cs="仿宋_GB2312"/>
          <w:color w:val="auto"/>
          <w:kern w:val="0"/>
          <w:sz w:val="28"/>
          <w:szCs w:val="28"/>
          <w:highlight w:val="none"/>
          <w:lang w:eastAsia="zh-CN"/>
        </w:rPr>
        <w:t>安徽交控建设工程集团有限公司</w:t>
      </w:r>
      <w:r>
        <w:rPr>
          <w:rFonts w:hint="eastAsia" w:ascii="仿宋_GB2312" w:hAnsi="仿宋_GB2312" w:eastAsia="仿宋_GB2312" w:cs="仿宋_GB2312"/>
          <w:color w:val="auto"/>
          <w:kern w:val="0"/>
          <w:sz w:val="28"/>
          <w:szCs w:val="28"/>
          <w:highlight w:val="none"/>
          <w:lang w:val="en-US" w:eastAsia="zh-CN"/>
        </w:rPr>
        <w:t>10</w:t>
      </w:r>
      <w:r>
        <w:rPr>
          <w:rFonts w:hint="eastAsia" w:ascii="仿宋_GB2312" w:hAnsi="仿宋_GB2312" w:eastAsia="仿宋_GB2312" w:cs="仿宋_GB2312"/>
          <w:color w:val="auto"/>
          <w:kern w:val="0"/>
          <w:sz w:val="28"/>
          <w:szCs w:val="28"/>
          <w:highlight w:val="none"/>
        </w:rPr>
        <w:t>楼会议室（</w:t>
      </w:r>
      <w:r>
        <w:rPr>
          <w:rFonts w:hint="eastAsia" w:ascii="仿宋_GB2312" w:hAnsi="仿宋_GB2312" w:eastAsia="仿宋_GB2312" w:cs="仿宋_GB2312"/>
          <w:color w:val="auto"/>
          <w:kern w:val="0"/>
          <w:sz w:val="28"/>
          <w:szCs w:val="28"/>
          <w:highlight w:val="none"/>
          <w:lang w:val="en-US" w:eastAsia="zh-CN"/>
        </w:rPr>
        <w:t>1012室</w:t>
      </w:r>
      <w:r>
        <w:rPr>
          <w:rFonts w:hint="default"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rPr>
        <w:t>。</w:t>
      </w:r>
    </w:p>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ascii="黑体" w:hAnsi="黑体" w:eastAsia="黑体" w:cs="黑体"/>
          <w:b/>
          <w:bCs/>
          <w:color w:val="auto"/>
          <w:kern w:val="0"/>
          <w:sz w:val="28"/>
          <w:szCs w:val="28"/>
          <w:highlight w:val="none"/>
          <w:lang w:val="en-US" w:eastAsia="zh-CN" w:bidi="ar-SA"/>
        </w:rPr>
      </w:pPr>
      <w:r>
        <w:rPr>
          <w:rFonts w:hint="eastAsia" w:ascii="黑体" w:hAnsi="黑体" w:eastAsia="黑体" w:cs="黑体"/>
          <w:b/>
          <w:bCs/>
          <w:color w:val="auto"/>
          <w:kern w:val="0"/>
          <w:sz w:val="28"/>
          <w:szCs w:val="28"/>
          <w:highlight w:val="none"/>
          <w:lang w:val="en-US" w:eastAsia="zh-CN" w:bidi="ar-SA"/>
        </w:rPr>
        <w:t>6.</w:t>
      </w:r>
      <w:r>
        <w:rPr>
          <w:rFonts w:ascii="黑体" w:hAnsi="黑体" w:eastAsia="黑体" w:cs="黑体"/>
          <w:b/>
          <w:bCs/>
          <w:color w:val="auto"/>
          <w:kern w:val="0"/>
          <w:sz w:val="28"/>
          <w:szCs w:val="28"/>
          <w:highlight w:val="none"/>
          <w:lang w:val="en-US" w:eastAsia="zh-CN" w:bidi="ar-SA"/>
        </w:rPr>
        <w:t>响应文件启封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响应文件的递交截止时间到后，</w:t>
      </w:r>
      <w:r>
        <w:rPr>
          <w:rFonts w:hint="eastAsia" w:ascii="仿宋_GB2312" w:hAnsi="仿宋_GB2312" w:eastAsia="仿宋_GB2312" w:cs="仿宋_GB2312"/>
          <w:color w:val="auto"/>
          <w:kern w:val="0"/>
          <w:sz w:val="28"/>
          <w:szCs w:val="28"/>
          <w:highlight w:val="none"/>
          <w:lang w:eastAsia="zh-CN"/>
        </w:rPr>
        <w:t>比选人</w:t>
      </w:r>
      <w:r>
        <w:rPr>
          <w:rFonts w:ascii="仿宋_GB2312" w:hAnsi="仿宋_GB2312" w:eastAsia="仿宋_GB2312" w:cs="仿宋_GB2312"/>
          <w:color w:val="auto"/>
          <w:kern w:val="0"/>
          <w:sz w:val="28"/>
          <w:szCs w:val="28"/>
          <w:highlight w:val="none"/>
        </w:rPr>
        <w:t>将于</w:t>
      </w:r>
      <w:r>
        <w:rPr>
          <w:rFonts w:hint="eastAsia" w:ascii="仿宋_GB2312" w:hAnsi="仿宋_GB2312" w:eastAsia="仿宋_GB2312" w:cs="仿宋_GB2312"/>
          <w:color w:val="auto"/>
          <w:kern w:val="0"/>
          <w:sz w:val="28"/>
          <w:szCs w:val="28"/>
          <w:highlight w:val="none"/>
          <w:u w:val="single"/>
          <w:lang w:val="en-US" w:eastAsia="zh-CN"/>
        </w:rPr>
        <w:t>安徽交控建设工程集团有限公司</w:t>
      </w:r>
      <w:r>
        <w:rPr>
          <w:rFonts w:ascii="仿宋_GB2312" w:hAnsi="仿宋_GB2312" w:eastAsia="仿宋_GB2312" w:cs="仿宋_GB2312"/>
          <w:color w:val="auto"/>
          <w:kern w:val="0"/>
          <w:sz w:val="28"/>
          <w:szCs w:val="28"/>
          <w:highlight w:val="none"/>
        </w:rPr>
        <w:t>组织进行响应文件的启封。供应商的法定代表人或授权代理人应携带本人身份证</w:t>
      </w:r>
      <w:r>
        <w:rPr>
          <w:rFonts w:hint="eastAsia" w:ascii="仿宋_GB2312" w:hAnsi="仿宋_GB2312" w:eastAsia="仿宋_GB2312" w:cs="仿宋_GB2312"/>
          <w:color w:val="auto"/>
          <w:kern w:val="0"/>
          <w:sz w:val="28"/>
          <w:szCs w:val="28"/>
          <w:highlight w:val="none"/>
        </w:rPr>
        <w:t>、授权代理人应携带授权委托书</w:t>
      </w:r>
      <w:r>
        <w:rPr>
          <w:rFonts w:ascii="仿宋_GB2312" w:hAnsi="仿宋_GB2312" w:eastAsia="仿宋_GB2312" w:cs="仿宋_GB2312"/>
          <w:color w:val="auto"/>
          <w:kern w:val="0"/>
          <w:sz w:val="28"/>
          <w:szCs w:val="28"/>
          <w:highlight w:val="none"/>
        </w:rPr>
        <w:t>准时参加启封会议。</w:t>
      </w:r>
    </w:p>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ascii="黑体" w:hAnsi="黑体" w:eastAsia="黑体" w:cs="黑体"/>
          <w:b/>
          <w:bCs/>
          <w:color w:val="auto"/>
          <w:kern w:val="0"/>
          <w:sz w:val="28"/>
          <w:szCs w:val="28"/>
          <w:highlight w:val="none"/>
          <w:lang w:val="en-US" w:eastAsia="zh-CN" w:bidi="ar-SA"/>
        </w:rPr>
      </w:pPr>
      <w:r>
        <w:rPr>
          <w:rFonts w:hint="eastAsia" w:ascii="黑体" w:hAnsi="黑体" w:eastAsia="黑体" w:cs="黑体"/>
          <w:b/>
          <w:bCs/>
          <w:color w:val="auto"/>
          <w:kern w:val="0"/>
          <w:sz w:val="28"/>
          <w:szCs w:val="28"/>
          <w:highlight w:val="none"/>
          <w:lang w:val="en-US" w:eastAsia="zh-CN" w:bidi="ar-SA"/>
        </w:rPr>
        <w:t>7.响应保证金</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rPr>
        <w:t>响应保证金的金额：</w:t>
      </w:r>
      <w:r>
        <w:rPr>
          <w:rFonts w:hint="eastAsia" w:ascii="仿宋_GB2312" w:hAnsi="仿宋_GB2312" w:eastAsia="仿宋_GB2312" w:cs="仿宋_GB2312"/>
          <w:color w:val="auto"/>
          <w:kern w:val="0"/>
          <w:sz w:val="28"/>
          <w:szCs w:val="28"/>
          <w:highlight w:val="none"/>
          <w:u w:val="single"/>
          <w:lang w:val="en-US" w:eastAsia="zh-CN"/>
        </w:rPr>
        <w:t>/元整（本次采购询价无须递交）</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响应保证金的递交形式：</w:t>
      </w:r>
      <w:r>
        <w:rPr>
          <w:rFonts w:hint="eastAsia" w:ascii="仿宋_GB2312" w:hAnsi="仿宋_GB2312" w:eastAsia="仿宋_GB2312" w:cs="仿宋_GB2312"/>
          <w:color w:val="auto"/>
          <w:kern w:val="0"/>
          <w:sz w:val="28"/>
          <w:szCs w:val="28"/>
          <w:highlight w:val="none"/>
          <w:lang w:val="en-US" w:eastAsia="zh-CN"/>
        </w:rPr>
        <w:t>银行</w:t>
      </w:r>
      <w:r>
        <w:rPr>
          <w:rFonts w:hint="eastAsia" w:ascii="仿宋_GB2312" w:hAnsi="仿宋_GB2312" w:eastAsia="仿宋_GB2312" w:cs="仿宋_GB2312"/>
          <w:color w:val="auto"/>
          <w:kern w:val="0"/>
          <w:sz w:val="28"/>
          <w:szCs w:val="28"/>
          <w:highlight w:val="none"/>
        </w:rPr>
        <w:t>转账</w:t>
      </w:r>
      <w:r>
        <w:rPr>
          <w:rFonts w:hint="eastAsia" w:ascii="仿宋_GB2312" w:hAnsi="仿宋_GB2312" w:eastAsia="仿宋_GB2312" w:cs="仿宋_GB2312"/>
          <w:color w:val="auto"/>
          <w:kern w:val="0"/>
          <w:sz w:val="28"/>
          <w:szCs w:val="28"/>
          <w:highlight w:val="none"/>
          <w:lang w:val="en-US" w:eastAsia="zh-CN"/>
        </w:rPr>
        <w:t>或</w:t>
      </w:r>
      <w:r>
        <w:rPr>
          <w:rFonts w:hint="eastAsia" w:ascii="仿宋_GB2312" w:hAnsi="仿宋_GB2312" w:eastAsia="仿宋_GB2312" w:cs="仿宋_GB2312"/>
          <w:color w:val="auto"/>
          <w:kern w:val="0"/>
          <w:sz w:val="28"/>
          <w:szCs w:val="28"/>
          <w:highlight w:val="none"/>
          <w:lang w:eastAsia="zh-CN"/>
        </w:rPr>
        <w:t xml:space="preserve">银行电汇 </w:t>
      </w:r>
    </w:p>
    <w:p>
      <w:pPr>
        <w:pageBreakBefore w:val="0"/>
        <w:widowControl w:val="0"/>
        <w:kinsoku/>
        <w:wordWrap/>
        <w:overflowPunct/>
        <w:topLinePunct w:val="0"/>
        <w:autoSpaceDE/>
        <w:autoSpaceDN/>
        <w:bidi w:val="0"/>
        <w:adjustRightInd/>
        <w:snapToGrid w:val="0"/>
        <w:spacing w:line="460" w:lineRule="exact"/>
        <w:ind w:firstLine="562" w:firstLineChars="200"/>
        <w:textAlignment w:val="auto"/>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名    称：安徽</w:t>
      </w:r>
      <w:r>
        <w:rPr>
          <w:rFonts w:hint="eastAsia" w:ascii="仿宋_GB2312" w:hAnsi="仿宋_GB2312" w:eastAsia="仿宋_GB2312" w:cs="仿宋_GB2312"/>
          <w:b/>
          <w:bCs/>
          <w:color w:val="auto"/>
          <w:kern w:val="0"/>
          <w:sz w:val="28"/>
          <w:szCs w:val="28"/>
          <w:highlight w:val="none"/>
          <w:lang w:eastAsia="zh-CN"/>
        </w:rPr>
        <w:t>交控</w:t>
      </w:r>
      <w:r>
        <w:rPr>
          <w:rFonts w:hint="eastAsia" w:ascii="仿宋_GB2312" w:hAnsi="仿宋_GB2312" w:eastAsia="仿宋_GB2312" w:cs="仿宋_GB2312"/>
          <w:b/>
          <w:bCs/>
          <w:color w:val="auto"/>
          <w:kern w:val="0"/>
          <w:sz w:val="28"/>
          <w:szCs w:val="28"/>
          <w:highlight w:val="none"/>
        </w:rPr>
        <w:t>建设</w:t>
      </w:r>
      <w:r>
        <w:rPr>
          <w:rFonts w:hint="eastAsia" w:ascii="仿宋_GB2312" w:hAnsi="仿宋_GB2312" w:eastAsia="仿宋_GB2312" w:cs="仿宋_GB2312"/>
          <w:b/>
          <w:bCs/>
          <w:color w:val="auto"/>
          <w:kern w:val="0"/>
          <w:sz w:val="28"/>
          <w:szCs w:val="28"/>
          <w:highlight w:val="none"/>
          <w:lang w:eastAsia="zh-CN"/>
        </w:rPr>
        <w:t>工程</w:t>
      </w:r>
      <w:r>
        <w:rPr>
          <w:rFonts w:hint="eastAsia" w:ascii="仿宋_GB2312" w:hAnsi="仿宋_GB2312" w:eastAsia="仿宋_GB2312" w:cs="仿宋_GB2312"/>
          <w:b/>
          <w:bCs/>
          <w:color w:val="auto"/>
          <w:kern w:val="0"/>
          <w:sz w:val="28"/>
          <w:szCs w:val="28"/>
          <w:highlight w:val="none"/>
        </w:rPr>
        <w:t>集团有限公司</w:t>
      </w:r>
    </w:p>
    <w:p>
      <w:pPr>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_GB2312" w:hAnsi="仿宋_GB2312" w:eastAsia="仿宋_GB2312" w:cs="仿宋_GB2312"/>
          <w:b/>
          <w:bCs/>
          <w:color w:val="auto"/>
          <w:kern w:val="0"/>
          <w:sz w:val="28"/>
          <w:szCs w:val="28"/>
          <w:highlight w:val="none"/>
          <w:lang w:eastAsia="zh-CN"/>
        </w:rPr>
      </w:pPr>
      <w:r>
        <w:rPr>
          <w:rFonts w:hint="eastAsia" w:ascii="仿宋_GB2312" w:hAnsi="仿宋_GB2312" w:eastAsia="仿宋_GB2312" w:cs="仿宋_GB2312"/>
          <w:b/>
          <w:bCs/>
          <w:color w:val="auto"/>
          <w:kern w:val="0"/>
          <w:sz w:val="28"/>
          <w:szCs w:val="28"/>
          <w:highlight w:val="none"/>
        </w:rPr>
        <w:t>开户银行：工行合肥</w:t>
      </w:r>
      <w:r>
        <w:rPr>
          <w:rFonts w:hint="eastAsia" w:ascii="仿宋_GB2312" w:hAnsi="仿宋_GB2312" w:eastAsia="仿宋_GB2312" w:cs="仿宋_GB2312"/>
          <w:b/>
          <w:bCs/>
          <w:color w:val="auto"/>
          <w:kern w:val="0"/>
          <w:sz w:val="28"/>
          <w:szCs w:val="28"/>
          <w:highlight w:val="none"/>
          <w:lang w:eastAsia="zh-CN"/>
        </w:rPr>
        <w:t>蜀山支行</w:t>
      </w:r>
    </w:p>
    <w:p>
      <w:pPr>
        <w:pageBreakBefore w:val="0"/>
        <w:widowControl w:val="0"/>
        <w:kinsoku/>
        <w:wordWrap/>
        <w:overflowPunct/>
        <w:topLinePunct w:val="0"/>
        <w:autoSpaceDE/>
        <w:autoSpaceDN/>
        <w:bidi w:val="0"/>
        <w:adjustRightInd/>
        <w:snapToGrid w:val="0"/>
        <w:spacing w:line="460" w:lineRule="exact"/>
        <w:ind w:firstLine="562" w:firstLineChars="200"/>
        <w:textAlignment w:val="auto"/>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账    号：1302012109026700213</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递交截止时间：</w:t>
      </w:r>
      <w:r>
        <w:rPr>
          <w:rFonts w:hint="eastAsia" w:ascii="仿宋_GB2312" w:hAnsi="仿宋_GB2312" w:eastAsia="仿宋_GB2312" w:cs="仿宋_GB2312"/>
          <w:color w:val="auto"/>
          <w:kern w:val="0"/>
          <w:sz w:val="28"/>
          <w:szCs w:val="28"/>
          <w:highlight w:val="none"/>
          <w:u w:val="single"/>
        </w:rPr>
        <w:t>响应截止日期前</w:t>
      </w:r>
    </w:p>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hint="eastAsia" w:ascii="黑体" w:hAnsi="黑体" w:eastAsia="黑体" w:cs="黑体"/>
          <w:b/>
          <w:bCs/>
          <w:color w:val="auto"/>
          <w:kern w:val="0"/>
          <w:sz w:val="28"/>
          <w:szCs w:val="28"/>
          <w:highlight w:val="none"/>
          <w:lang w:val="en-US" w:eastAsia="zh-CN" w:bidi="ar-SA"/>
        </w:rPr>
      </w:pPr>
      <w:r>
        <w:rPr>
          <w:rFonts w:hint="eastAsia" w:ascii="黑体" w:hAnsi="黑体" w:eastAsia="黑体" w:cs="黑体"/>
          <w:b/>
          <w:bCs/>
          <w:color w:val="auto"/>
          <w:kern w:val="0"/>
          <w:sz w:val="28"/>
          <w:szCs w:val="28"/>
          <w:highlight w:val="none"/>
          <w:lang w:val="en-US" w:eastAsia="zh-CN" w:bidi="ar-SA"/>
        </w:rPr>
        <w:t>8.发布公告的媒介</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bookmarkStart w:id="17" w:name="_Toc26829"/>
      <w:bookmarkStart w:id="18" w:name="_Toc525632592"/>
      <w:bookmarkStart w:id="19" w:name="_Toc321_WPSOffice_Level2"/>
      <w:bookmarkStart w:id="20" w:name="_Toc20572_WPSOffice_Level2"/>
      <w:bookmarkStart w:id="21" w:name="_Toc8501"/>
      <w:bookmarkStart w:id="22" w:name="_Toc28571_WPSOffice_Level2"/>
      <w:bookmarkStart w:id="23" w:name="_Toc14943_WPSOffice_Level2"/>
      <w:r>
        <w:rPr>
          <w:rFonts w:hint="eastAsia" w:ascii="仿宋_GB2312" w:hAnsi="仿宋_GB2312" w:eastAsia="仿宋_GB2312" w:cs="仿宋_GB2312"/>
          <w:color w:val="auto"/>
          <w:kern w:val="0"/>
          <w:sz w:val="28"/>
          <w:szCs w:val="28"/>
          <w:highlight w:val="none"/>
        </w:rPr>
        <w:t>本次</w:t>
      </w:r>
      <w:r>
        <w:rPr>
          <w:rFonts w:hint="eastAsia" w:ascii="仿宋_GB2312" w:hAnsi="仿宋_GB2312" w:eastAsia="仿宋_GB2312" w:cs="仿宋_GB2312"/>
          <w:color w:val="auto"/>
          <w:kern w:val="0"/>
          <w:sz w:val="28"/>
          <w:szCs w:val="28"/>
          <w:highlight w:val="none"/>
          <w:lang w:eastAsia="zh-CN"/>
        </w:rPr>
        <w:t>比选</w:t>
      </w:r>
      <w:r>
        <w:rPr>
          <w:rFonts w:hint="eastAsia" w:ascii="仿宋_GB2312" w:hAnsi="仿宋_GB2312" w:eastAsia="仿宋_GB2312" w:cs="仿宋_GB2312"/>
          <w:color w:val="auto"/>
          <w:kern w:val="0"/>
          <w:sz w:val="28"/>
          <w:szCs w:val="28"/>
          <w:highlight w:val="none"/>
        </w:rPr>
        <w:t>公告同时在安徽</w:t>
      </w:r>
      <w:r>
        <w:rPr>
          <w:rFonts w:hint="eastAsia" w:ascii="仿宋_GB2312" w:hAnsi="仿宋_GB2312" w:eastAsia="仿宋_GB2312" w:cs="仿宋_GB2312"/>
          <w:color w:val="auto"/>
          <w:kern w:val="0"/>
          <w:sz w:val="28"/>
          <w:szCs w:val="28"/>
          <w:highlight w:val="none"/>
          <w:lang w:eastAsia="zh-CN"/>
        </w:rPr>
        <w:t>交控</w:t>
      </w:r>
      <w:r>
        <w:rPr>
          <w:rFonts w:hint="eastAsia" w:ascii="仿宋_GB2312" w:hAnsi="仿宋_GB2312" w:eastAsia="仿宋_GB2312" w:cs="仿宋_GB2312"/>
          <w:color w:val="auto"/>
          <w:kern w:val="0"/>
          <w:sz w:val="28"/>
          <w:szCs w:val="28"/>
          <w:highlight w:val="none"/>
        </w:rPr>
        <w:t>建设</w:t>
      </w:r>
      <w:r>
        <w:rPr>
          <w:rFonts w:hint="eastAsia" w:ascii="仿宋_GB2312" w:hAnsi="仿宋_GB2312" w:eastAsia="仿宋_GB2312" w:cs="仿宋_GB2312"/>
          <w:color w:val="auto"/>
          <w:kern w:val="0"/>
          <w:sz w:val="28"/>
          <w:szCs w:val="28"/>
          <w:highlight w:val="none"/>
          <w:lang w:eastAsia="zh-CN"/>
        </w:rPr>
        <w:t>工程</w:t>
      </w:r>
      <w:r>
        <w:rPr>
          <w:rFonts w:hint="eastAsia" w:ascii="仿宋_GB2312" w:hAnsi="仿宋_GB2312" w:eastAsia="仿宋_GB2312" w:cs="仿宋_GB2312"/>
          <w:color w:val="auto"/>
          <w:kern w:val="0"/>
          <w:sz w:val="28"/>
          <w:szCs w:val="28"/>
          <w:highlight w:val="none"/>
        </w:rPr>
        <w:t>集团有限公司网站（http://www.ahjggroup.com/）上发布，对于因其他网站转载并发布的非完整版或修改版公告，而导致误报名或无效报名的情形，</w:t>
      </w:r>
      <w:r>
        <w:rPr>
          <w:rFonts w:hint="eastAsia" w:ascii="仿宋_GB2312" w:hAnsi="仿宋_GB2312" w:eastAsia="仿宋_GB2312" w:cs="仿宋_GB2312"/>
          <w:color w:val="auto"/>
          <w:kern w:val="0"/>
          <w:sz w:val="28"/>
          <w:szCs w:val="28"/>
          <w:highlight w:val="none"/>
          <w:lang w:eastAsia="zh-CN"/>
        </w:rPr>
        <w:t>比选</w:t>
      </w:r>
      <w:r>
        <w:rPr>
          <w:rFonts w:hint="eastAsia" w:ascii="仿宋_GB2312" w:hAnsi="仿宋_GB2312" w:eastAsia="仿宋_GB2312" w:cs="仿宋_GB2312"/>
          <w:color w:val="auto"/>
          <w:kern w:val="0"/>
          <w:sz w:val="28"/>
          <w:szCs w:val="28"/>
          <w:highlight w:val="none"/>
        </w:rPr>
        <w:t>人不予承担责任。</w:t>
      </w:r>
    </w:p>
    <w:bookmarkEnd w:id="17"/>
    <w:bookmarkEnd w:id="18"/>
    <w:bookmarkEnd w:id="19"/>
    <w:bookmarkEnd w:id="20"/>
    <w:bookmarkEnd w:id="21"/>
    <w:bookmarkEnd w:id="22"/>
    <w:bookmarkEnd w:id="23"/>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hint="eastAsia" w:ascii="黑体" w:hAnsi="黑体" w:eastAsia="黑体" w:cs="黑体"/>
          <w:b/>
          <w:bCs/>
          <w:color w:val="auto"/>
          <w:kern w:val="0"/>
          <w:sz w:val="28"/>
          <w:szCs w:val="28"/>
          <w:highlight w:val="none"/>
          <w:lang w:val="en-US" w:eastAsia="zh-CN" w:bidi="ar-SA"/>
        </w:rPr>
      </w:pPr>
      <w:r>
        <w:rPr>
          <w:rFonts w:hint="eastAsia" w:ascii="黑体" w:hAnsi="黑体" w:eastAsia="黑体" w:cs="黑体"/>
          <w:b/>
          <w:bCs/>
          <w:color w:val="auto"/>
          <w:kern w:val="0"/>
          <w:sz w:val="28"/>
          <w:szCs w:val="28"/>
          <w:highlight w:val="none"/>
          <w:lang w:val="en-US" w:eastAsia="zh-CN" w:bidi="ar-SA"/>
        </w:rPr>
        <w:t>9.比选人联系方式</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采 购 人：</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eastAsia="zh-CN"/>
        </w:rPr>
        <w:t>阜阳徽道置业</w:t>
      </w:r>
      <w:r>
        <w:rPr>
          <w:rFonts w:hint="eastAsia" w:ascii="仿宋_GB2312" w:hAnsi="仿宋_GB2312" w:eastAsia="仿宋_GB2312" w:cs="仿宋_GB2312"/>
          <w:color w:val="auto"/>
          <w:kern w:val="0"/>
          <w:sz w:val="28"/>
          <w:szCs w:val="28"/>
          <w:highlight w:val="none"/>
          <w:u w:val="single"/>
        </w:rPr>
        <w:t>有限公司</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地    址：</w:t>
      </w:r>
      <w:r>
        <w:rPr>
          <w:rFonts w:hint="eastAsia" w:ascii="仿宋_GB2312" w:hAnsi="仿宋_GB2312" w:eastAsia="仿宋_GB2312" w:cs="仿宋_GB2312"/>
          <w:color w:val="auto"/>
          <w:kern w:val="0"/>
          <w:sz w:val="28"/>
          <w:szCs w:val="28"/>
          <w:highlight w:val="none"/>
          <w:u w:val="single"/>
        </w:rPr>
        <w:t xml:space="preserve"> 安徽省合肥市滨湖高速时代广场C1号楼10</w:t>
      </w:r>
      <w:r>
        <w:rPr>
          <w:rFonts w:hint="eastAsia" w:ascii="仿宋_GB2312" w:hAnsi="仿宋_GB2312" w:eastAsia="仿宋_GB2312" w:cs="仿宋_GB2312"/>
          <w:color w:val="auto"/>
          <w:kern w:val="0"/>
          <w:sz w:val="28"/>
          <w:szCs w:val="28"/>
          <w:highlight w:val="none"/>
          <w:u w:val="single"/>
          <w:lang w:val="en-US" w:eastAsia="zh-CN"/>
        </w:rPr>
        <w:t>12</w:t>
      </w:r>
      <w:r>
        <w:rPr>
          <w:rFonts w:hint="eastAsia" w:ascii="仿宋_GB2312" w:hAnsi="仿宋_GB2312" w:eastAsia="仿宋_GB2312" w:cs="仿宋_GB2312"/>
          <w:color w:val="auto"/>
          <w:kern w:val="0"/>
          <w:sz w:val="28"/>
          <w:szCs w:val="28"/>
          <w:highlight w:val="none"/>
          <w:u w:val="single"/>
        </w:rPr>
        <w:t>室</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联 系 人：</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val="en-US" w:eastAsia="zh-CN"/>
        </w:rPr>
        <w:t>李工</w:t>
      </w:r>
      <w:r>
        <w:rPr>
          <w:rFonts w:hint="eastAsia" w:ascii="仿宋_GB2312" w:hAnsi="仿宋_GB2312" w:eastAsia="仿宋_GB2312" w:cs="仿宋_GB2312"/>
          <w:color w:val="auto"/>
          <w:kern w:val="0"/>
          <w:sz w:val="28"/>
          <w:szCs w:val="28"/>
          <w:highlight w:val="none"/>
          <w:u w:val="single"/>
        </w:rPr>
        <w:t xml:space="preserve">             </w:t>
      </w:r>
      <w:r>
        <w:rPr>
          <w:rFonts w:ascii="仿宋_GB2312" w:hAnsi="仿宋_GB2312" w:eastAsia="仿宋_GB2312" w:cs="仿宋_GB2312"/>
          <w:color w:val="auto"/>
          <w:kern w:val="0"/>
          <w:sz w:val="28"/>
          <w:szCs w:val="28"/>
          <w:highlight w:val="none"/>
        </w:rPr>
        <w:t xml:space="preserve">                    </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电    话：</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val="en-US" w:eastAsia="zh-CN"/>
        </w:rPr>
        <w:t>13966985389</w:t>
      </w:r>
      <w:r>
        <w:rPr>
          <w:rFonts w:hint="eastAsia" w:ascii="仿宋_GB2312" w:hAnsi="仿宋_GB2312" w:eastAsia="仿宋_GB2312" w:cs="仿宋_GB2312"/>
          <w:color w:val="auto"/>
          <w:kern w:val="0"/>
          <w:sz w:val="28"/>
          <w:szCs w:val="28"/>
          <w:highlight w:val="none"/>
          <w:u w:val="single"/>
        </w:rPr>
        <w:t xml:space="preserve">     </w:t>
      </w:r>
      <w:r>
        <w:rPr>
          <w:rFonts w:ascii="仿宋_GB2312" w:hAnsi="仿宋_GB2312" w:eastAsia="仿宋_GB2312" w:cs="仿宋_GB2312"/>
          <w:color w:val="auto"/>
          <w:kern w:val="0"/>
          <w:sz w:val="28"/>
          <w:szCs w:val="28"/>
          <w:highlight w:val="none"/>
        </w:rPr>
        <w:t xml:space="preserve">          </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电子邮箱：</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val="en-US" w:eastAsia="zh-CN"/>
        </w:rPr>
        <w:t xml:space="preserve"> 1359710069</w:t>
      </w:r>
      <w:r>
        <w:rPr>
          <w:rFonts w:hint="eastAsia" w:ascii="仿宋_GB2312" w:hAnsi="仿宋_GB2312" w:eastAsia="仿宋_GB2312" w:cs="仿宋_GB2312"/>
          <w:color w:val="auto"/>
          <w:kern w:val="0"/>
          <w:sz w:val="28"/>
          <w:szCs w:val="28"/>
          <w:highlight w:val="none"/>
          <w:u w:val="single"/>
        </w:rPr>
        <w:t xml:space="preserve">@qq.com  </w:t>
      </w:r>
      <w:r>
        <w:rPr>
          <w:rFonts w:ascii="仿宋_GB2312" w:hAnsi="仿宋_GB2312" w:eastAsia="仿宋_GB2312" w:cs="仿宋_GB2312"/>
          <w:color w:val="auto"/>
          <w:kern w:val="0"/>
          <w:sz w:val="28"/>
          <w:szCs w:val="28"/>
          <w:highlight w:val="none"/>
        </w:rPr>
        <w:t xml:space="preserve">    </w:t>
      </w:r>
    </w:p>
    <w:p>
      <w:pPr>
        <w:jc w:val="right"/>
        <w:rPr>
          <w:rFonts w:hint="eastAsia" w:asciiTheme="minorEastAsia" w:hAnsiTheme="minorEastAsia" w:eastAsiaTheme="minorEastAsia" w:cstheme="minorEastAsia"/>
          <w:highlight w:val="none"/>
          <w:lang w:val="en-US" w:eastAsia="zh-CN"/>
        </w:rPr>
      </w:pPr>
      <w:r>
        <w:rPr>
          <w:rFonts w:hint="eastAsia" w:ascii="仿宋_GB2312" w:hAnsi="仿宋_GB2312" w:eastAsia="仿宋_GB2312" w:cs="仿宋_GB2312"/>
          <w:color w:val="auto"/>
          <w:sz w:val="28"/>
          <w:szCs w:val="28"/>
          <w:highlight w:val="none"/>
          <w:u w:val="single"/>
          <w:lang w:val="en-US" w:eastAsia="zh-CN"/>
        </w:rPr>
        <w:t>2024</w:t>
      </w:r>
      <w:r>
        <w:rPr>
          <w:rFonts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5</w:t>
      </w:r>
      <w:r>
        <w:rPr>
          <w:rFonts w:hint="default"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3</w:t>
      </w:r>
      <w:r>
        <w:rPr>
          <w:rFonts w:hint="default" w:ascii="仿宋_GB2312" w:hAnsi="仿宋_GB2312" w:eastAsia="仿宋_GB2312" w:cs="仿宋_GB2312"/>
          <w:color w:val="auto"/>
          <w:sz w:val="28"/>
          <w:szCs w:val="28"/>
          <w:highlight w:val="none"/>
        </w:rPr>
        <w:t>日</w:t>
      </w:r>
      <w:bookmarkStart w:id="24" w:name="_Toc17085"/>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方正小标宋_GBK" w:hAnsi="方正小标宋_GBK" w:eastAsia="方正小标宋_GBK" w:cs="方正小标宋_GBK"/>
          <w:b/>
          <w:kern w:val="44"/>
          <w:sz w:val="36"/>
          <w:szCs w:val="36"/>
          <w:lang w:val="en-US" w:eastAsia="zh-CN" w:bidi="ar-SA"/>
        </w:rPr>
      </w:pPr>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方正小标宋_GBK" w:hAnsi="方正小标宋_GBK" w:eastAsia="方正小标宋_GBK" w:cs="方正小标宋_GBK"/>
          <w:b/>
          <w:kern w:val="44"/>
          <w:sz w:val="36"/>
          <w:szCs w:val="36"/>
          <w:lang w:val="en-US" w:eastAsia="zh-CN" w:bidi="ar-SA"/>
        </w:rPr>
      </w:pPr>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方正小标宋_GBK" w:hAnsi="方正小标宋_GBK" w:eastAsia="方正小标宋_GBK" w:cs="方正小标宋_GBK"/>
          <w:b/>
          <w:kern w:val="44"/>
          <w:sz w:val="36"/>
          <w:szCs w:val="36"/>
          <w:lang w:val="en-US" w:eastAsia="zh-CN" w:bidi="ar-SA"/>
        </w:rPr>
      </w:pPr>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小标宋_GBK" w:hAnsi="方正小标宋_GBK" w:eastAsia="方正小标宋_GBK" w:cs="方正小标宋_GBK"/>
          <w:b/>
          <w:kern w:val="44"/>
          <w:sz w:val="36"/>
          <w:szCs w:val="36"/>
          <w:lang w:val="en-US" w:eastAsia="zh-CN" w:bidi="ar-SA"/>
        </w:rPr>
      </w:pPr>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小标宋_GBK" w:hAnsi="方正小标宋_GBK" w:eastAsia="方正小标宋_GBK" w:cs="方正小标宋_GBK"/>
          <w:b/>
          <w:kern w:val="44"/>
          <w:sz w:val="36"/>
          <w:szCs w:val="36"/>
          <w:lang w:val="en-US" w:eastAsia="zh-CN" w:bidi="ar-SA"/>
        </w:rPr>
      </w:pPr>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小标宋_GBK" w:hAnsi="方正小标宋_GBK" w:eastAsia="方正小标宋_GBK" w:cs="方正小标宋_GBK"/>
          <w:b/>
          <w:kern w:val="44"/>
          <w:sz w:val="36"/>
          <w:szCs w:val="36"/>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第二章 供应商须知</w:t>
      </w:r>
      <w:bookmarkEnd w:id="24"/>
    </w:p>
    <w:p>
      <w:pPr>
        <w:spacing w:line="440" w:lineRule="exact"/>
        <w:jc w:val="both"/>
        <w:outlineLvl w:val="1"/>
        <w:rPr>
          <w:rFonts w:ascii="Times New Roman" w:hAnsi="Times New Roman" w:eastAsia="黑体" w:cs="Times New Roman"/>
          <w:sz w:val="24"/>
          <w:szCs w:val="24"/>
        </w:rPr>
      </w:pPr>
      <w:bookmarkStart w:id="25" w:name="_Toc26656928"/>
      <w:bookmarkStart w:id="26" w:name="_Toc16069"/>
      <w:bookmarkStart w:id="27" w:name="_Toc19501"/>
      <w:bookmarkStart w:id="28" w:name="_Toc29381_WPSOffice_Level2"/>
      <w:bookmarkStart w:id="29" w:name="_Toc55466811"/>
      <w:r>
        <w:rPr>
          <w:rFonts w:ascii="Times New Roman" w:hAnsi="Times New Roman" w:eastAsia="黑体" w:cs="Times New Roman"/>
          <w:sz w:val="24"/>
          <w:szCs w:val="24"/>
        </w:rPr>
        <w:t>供应商须知前附表</w:t>
      </w:r>
      <w:bookmarkEnd w:id="25"/>
      <w:bookmarkEnd w:id="26"/>
      <w:bookmarkEnd w:id="27"/>
      <w:bookmarkEnd w:id="28"/>
      <w:bookmarkEnd w:id="29"/>
    </w:p>
    <w:tbl>
      <w:tblPr>
        <w:tblStyle w:val="15"/>
        <w:tblW w:w="9058" w:type="dxa"/>
        <w:tblInd w:w="-232" w:type="dxa"/>
        <w:tblLayout w:type="fixed"/>
        <w:tblCellMar>
          <w:top w:w="0" w:type="dxa"/>
          <w:left w:w="108" w:type="dxa"/>
          <w:bottom w:w="0" w:type="dxa"/>
          <w:right w:w="108" w:type="dxa"/>
        </w:tblCellMar>
      </w:tblPr>
      <w:tblGrid>
        <w:gridCol w:w="1056"/>
        <w:gridCol w:w="1971"/>
        <w:gridCol w:w="6031"/>
      </w:tblGrid>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48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条款号</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48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条款名称</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48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编  列  内  容</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比选人</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见采购公告</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见采购公告</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项目建设地点</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见采购公告</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资金来源及比例</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见采购公告</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资金落实情况</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已落实</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采购范围</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见采购公告</w:t>
            </w:r>
          </w:p>
        </w:tc>
      </w:tr>
      <w:tr>
        <w:tblPrEx>
          <w:tblCellMar>
            <w:top w:w="0" w:type="dxa"/>
            <w:left w:w="108" w:type="dxa"/>
            <w:bottom w:w="0" w:type="dxa"/>
            <w:right w:w="108" w:type="dxa"/>
          </w:tblCellMar>
        </w:tblPrEx>
        <w:trPr>
          <w:trHeight w:val="1505"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计划工期</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auto"/>
                <w:kern w:val="0"/>
                <w:sz w:val="24"/>
                <w:szCs w:val="24"/>
                <w:highlight w:val="none"/>
                <w:lang w:val="en-US" w:eastAsia="zh-CN"/>
              </w:rPr>
              <w:t>从接比选人通知当日起，按比选人要求完成相关设计服务内容并递交相关纸质及电子资料。情况特殊的紧急任务，有可能3-5日历天提交成果文件。整体服务时间也有可能延续到30日历天，具体以满足业主要求为准。</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质量要求</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highlight w:val="none"/>
                <w:lang w:val="en-US" w:eastAsia="zh-CN"/>
              </w:rPr>
              <w:t>质量标准：合格</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9</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答疑会</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pStyle w:val="11"/>
              <w:topLinePunct/>
              <w:spacing w:line="240" w:lineRule="auto"/>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eastAsia="zh-CN"/>
              </w:rPr>
              <w:sym w:font="Wingdings 2" w:char="00A3"/>
            </w:r>
            <w:r>
              <w:rPr>
                <w:rFonts w:hint="eastAsia" w:ascii="仿宋_GB2312" w:hAnsi="仿宋_GB2312" w:eastAsia="仿宋_GB2312" w:cs="仿宋_GB2312"/>
                <w:b/>
                <w:bCs/>
                <w:kern w:val="0"/>
                <w:sz w:val="24"/>
                <w:szCs w:val="24"/>
              </w:rPr>
              <w:t xml:space="preserve">组织： </w:t>
            </w:r>
            <w:r>
              <w:rPr>
                <w:rFonts w:hint="eastAsia" w:ascii="仿宋_GB2312" w:hAnsi="仿宋_GB2312" w:eastAsia="仿宋_GB2312" w:cs="仿宋_GB2312"/>
                <w:b/>
                <w:bCs/>
                <w:kern w:val="0"/>
                <w:sz w:val="24"/>
                <w:szCs w:val="24"/>
                <w:lang w:val="en-US" w:eastAsia="zh-CN"/>
              </w:rPr>
              <w:t xml:space="preserve"> </w:t>
            </w:r>
          </w:p>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lang w:eastAsia="zh-CN"/>
              </w:rPr>
              <w:sym w:font="Wingdings 2" w:char="0052"/>
            </w:r>
            <w:r>
              <w:rPr>
                <w:rFonts w:hint="eastAsia" w:ascii="仿宋_GB2312" w:hAnsi="仿宋_GB2312" w:eastAsia="仿宋_GB2312" w:cs="仿宋_GB2312"/>
                <w:kern w:val="0"/>
                <w:sz w:val="24"/>
                <w:szCs w:val="24"/>
              </w:rPr>
              <w:t>不组织：请</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自行踏勘现场，所产生的费用由</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自理，并对其安全自行承担责任。凡参加响应，无论</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是否踏勘现场，均视同其已踏勘。</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10</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增值税税金的计算方法</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仿宋_GB2312" w:hAnsi="仿宋_GB2312" w:eastAsia="仿宋_GB2312" w:cs="仿宋_GB2312"/>
                <w:kern w:val="0"/>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报价为含税价，税率按税法规定的建筑业一般纳税人计算，并执行国家最新税率标准，成交人应承担相应的税额。 （一般纳税人服务类税率为6%）</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11</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最高响应限价 </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both"/>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最高限价31.36万元。</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12</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响应报价的其他要求 </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供应商报价文件响应函填写的响应报价费率精确小数点后两位，第三位四舍五入。</w:t>
            </w:r>
          </w:p>
        </w:tc>
      </w:tr>
      <w:tr>
        <w:tblPrEx>
          <w:tblCellMar>
            <w:top w:w="0" w:type="dxa"/>
            <w:left w:w="108" w:type="dxa"/>
            <w:bottom w:w="0" w:type="dxa"/>
            <w:right w:w="108" w:type="dxa"/>
          </w:tblCellMar>
        </w:tblPrEx>
        <w:trPr>
          <w:trHeight w:val="421"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13</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报价方式</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kern w:val="0"/>
                <w:sz w:val="24"/>
                <w:szCs w:val="24"/>
                <w:lang w:val="en-US" w:eastAsia="zh-CN"/>
              </w:rPr>
              <w:sym w:font="Wingdings" w:char="00A8"/>
            </w:r>
            <w:r>
              <w:rPr>
                <w:rFonts w:hint="eastAsia" w:ascii="仿宋_GB2312" w:hAnsi="仿宋_GB2312" w:eastAsia="仿宋_GB2312" w:cs="仿宋_GB2312"/>
                <w:kern w:val="0"/>
                <w:sz w:val="24"/>
                <w:szCs w:val="24"/>
                <w:lang w:val="en-US" w:eastAsia="zh-CN"/>
              </w:rPr>
              <w:t xml:space="preserve">单价 </w:t>
            </w:r>
            <w:r>
              <w:rPr>
                <w:rFonts w:hint="eastAsia" w:ascii="仿宋_GB2312" w:hAnsi="仿宋_GB2312" w:eastAsia="仿宋_GB2312" w:cs="仿宋_GB2312"/>
                <w:kern w:val="0"/>
                <w:sz w:val="24"/>
                <w:szCs w:val="24"/>
                <w:lang w:val="en-US" w:eastAsia="zh-CN"/>
              </w:rPr>
              <w:sym w:font="Wingdings" w:char="00FE"/>
            </w:r>
            <w:r>
              <w:rPr>
                <w:rFonts w:hint="eastAsia" w:ascii="仿宋_GB2312" w:hAnsi="仿宋_GB2312" w:eastAsia="仿宋_GB2312" w:cs="仿宋_GB2312"/>
                <w:kern w:val="0"/>
                <w:sz w:val="24"/>
                <w:szCs w:val="24"/>
                <w:lang w:val="en-US" w:eastAsia="zh-CN"/>
              </w:rPr>
              <w:t>总价</w:t>
            </w:r>
            <w:r>
              <w:rPr>
                <w:rFonts w:hint="eastAsia" w:ascii="仿宋_GB2312" w:hAnsi="仿宋_GB2312" w:eastAsia="仿宋_GB2312" w:cs="仿宋_GB2312"/>
                <w:kern w:val="0"/>
                <w:sz w:val="24"/>
                <w:szCs w:val="24"/>
                <w:lang w:val="en-US" w:eastAsia="zh-CN"/>
              </w:rPr>
              <w:sym w:font="Wingdings" w:char="00A8"/>
            </w:r>
            <w:r>
              <w:rPr>
                <w:rFonts w:hint="eastAsia" w:ascii="仿宋_GB2312" w:hAnsi="仿宋_GB2312" w:eastAsia="仿宋_GB2312" w:cs="仿宋_GB2312"/>
                <w:kern w:val="0"/>
                <w:sz w:val="24"/>
                <w:szCs w:val="24"/>
                <w:lang w:val="en-US" w:eastAsia="zh-CN"/>
              </w:rPr>
              <w:t>费率</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14</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计价方式</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执行比选人采购文件及合同约定</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15</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响应有效期</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自供应商递交响应文件截止之日起计算 90 日</w:t>
            </w:r>
            <w:r>
              <w:rPr>
                <w:rFonts w:hint="eastAsia" w:ascii="仿宋_GB2312" w:hAnsi="仿宋_GB2312" w:eastAsia="仿宋_GB2312" w:cs="仿宋_GB2312"/>
                <w:color w:val="000000"/>
                <w:kern w:val="0"/>
                <w:sz w:val="24"/>
                <w:szCs w:val="24"/>
                <w:lang w:val="en-US" w:eastAsia="zh-CN" w:bidi="ar"/>
              </w:rPr>
              <w:t xml:space="preserve"> </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16</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响应保证金</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是否要求供应商递交响应保证金： </w:t>
            </w:r>
          </w:p>
          <w:p>
            <w:pPr>
              <w:spacing w:line="24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sym w:font="Wingdings" w:char="00FE"/>
            </w:r>
            <w:r>
              <w:rPr>
                <w:rFonts w:hint="eastAsia" w:ascii="仿宋_GB2312" w:hAnsi="仿宋_GB2312" w:eastAsia="仿宋_GB2312" w:cs="仿宋_GB2312"/>
                <w:kern w:val="0"/>
                <w:sz w:val="24"/>
                <w:szCs w:val="24"/>
                <w:lang w:val="en-US" w:eastAsia="zh-CN"/>
              </w:rPr>
              <w:t xml:space="preserve">要求， </w:t>
            </w:r>
          </w:p>
          <w:p>
            <w:pPr>
              <w:spacing w:line="24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响应保证金的金额：见采购公告 </w:t>
            </w:r>
          </w:p>
          <w:p>
            <w:pPr>
              <w:spacing w:line="24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响应保证金的形式：银行转账或银行保函 </w:t>
            </w:r>
          </w:p>
          <w:p>
            <w:pPr>
              <w:spacing w:line="24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响应保证金账户信息：见采购公告 </w:t>
            </w:r>
          </w:p>
          <w:p>
            <w:pPr>
              <w:spacing w:line="240" w:lineRule="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sym w:font="Wingdings" w:char="00A8"/>
            </w:r>
            <w:r>
              <w:rPr>
                <w:rFonts w:hint="eastAsia" w:ascii="仿宋_GB2312" w:hAnsi="仿宋_GB2312" w:eastAsia="仿宋_GB2312" w:cs="仿宋_GB2312"/>
                <w:kern w:val="0"/>
                <w:sz w:val="24"/>
                <w:szCs w:val="24"/>
                <w:lang w:val="en-US" w:eastAsia="zh-CN"/>
              </w:rPr>
              <w:t>不要求</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17</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不予退还投</w:t>
            </w:r>
          </w:p>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标保证金的情形</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eastAsia="zh-CN"/>
              </w:rPr>
              <w:t>成交</w:t>
            </w:r>
            <w:r>
              <w:rPr>
                <w:rFonts w:hint="eastAsia" w:ascii="仿宋_GB2312" w:hAnsi="仿宋_GB2312" w:eastAsia="仿宋_GB2312" w:cs="仿宋_GB2312"/>
                <w:kern w:val="0"/>
                <w:sz w:val="24"/>
                <w:szCs w:val="24"/>
              </w:rPr>
              <w:t>候选人放弃</w:t>
            </w:r>
            <w:r>
              <w:rPr>
                <w:rFonts w:hint="eastAsia" w:ascii="仿宋_GB2312" w:hAnsi="仿宋_GB2312" w:eastAsia="仿宋_GB2312" w:cs="仿宋_GB2312"/>
                <w:kern w:val="0"/>
                <w:sz w:val="24"/>
                <w:szCs w:val="24"/>
                <w:lang w:eastAsia="zh-CN"/>
              </w:rPr>
              <w:t>成交</w:t>
            </w:r>
            <w:r>
              <w:rPr>
                <w:rFonts w:hint="eastAsia" w:ascii="仿宋_GB2312" w:hAnsi="仿宋_GB2312" w:eastAsia="仿宋_GB2312" w:cs="仿宋_GB2312"/>
                <w:kern w:val="0"/>
                <w:sz w:val="24"/>
                <w:szCs w:val="24"/>
              </w:rPr>
              <w:t>候选人资格；</w:t>
            </w:r>
          </w:p>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在响应过程中存在弄虚作假、与</w:t>
            </w: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或者其他</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串通响应、以行贿谋取</w:t>
            </w:r>
            <w:r>
              <w:rPr>
                <w:rFonts w:hint="eastAsia" w:ascii="仿宋_GB2312" w:hAnsi="仿宋_GB2312" w:eastAsia="仿宋_GB2312" w:cs="仿宋_GB2312"/>
                <w:kern w:val="0"/>
                <w:sz w:val="24"/>
                <w:szCs w:val="24"/>
                <w:lang w:eastAsia="zh-CN"/>
              </w:rPr>
              <w:t>成交</w:t>
            </w:r>
            <w:r>
              <w:rPr>
                <w:rFonts w:hint="eastAsia" w:ascii="仿宋_GB2312" w:hAnsi="仿宋_GB2312" w:eastAsia="仿宋_GB2312" w:cs="仿宋_GB2312"/>
                <w:kern w:val="0"/>
                <w:sz w:val="24"/>
                <w:szCs w:val="24"/>
              </w:rPr>
              <w:t>、无正当理由放弃</w:t>
            </w:r>
            <w:r>
              <w:rPr>
                <w:rFonts w:hint="eastAsia" w:ascii="仿宋_GB2312" w:hAnsi="仿宋_GB2312" w:eastAsia="仿宋_GB2312" w:cs="仿宋_GB2312"/>
                <w:kern w:val="0"/>
                <w:sz w:val="24"/>
                <w:szCs w:val="24"/>
                <w:lang w:eastAsia="zh-CN"/>
              </w:rPr>
              <w:t>成交</w:t>
            </w:r>
            <w:r>
              <w:rPr>
                <w:rFonts w:hint="eastAsia" w:ascii="仿宋_GB2312" w:hAnsi="仿宋_GB2312" w:eastAsia="仿宋_GB2312" w:cs="仿宋_GB2312"/>
                <w:kern w:val="0"/>
                <w:sz w:val="24"/>
                <w:szCs w:val="24"/>
              </w:rPr>
              <w:t>以及进行恶意投诉等响应不良行为的。</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18</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施工组织设计编制的特殊要求</w:t>
            </w:r>
          </w:p>
          <w:p>
            <w:pPr>
              <w:spacing w:line="240" w:lineRule="auto"/>
              <w:jc w:val="center"/>
              <w:rPr>
                <w:rFonts w:hint="eastAsia" w:ascii="仿宋_GB2312" w:hAnsi="仿宋_GB2312" w:eastAsia="仿宋_GB2312" w:cs="仿宋_GB2312"/>
                <w:sz w:val="24"/>
                <w:szCs w:val="24"/>
              </w:rPr>
            </w:pP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（1）本采购项目重点难点：供应商根据图纸及现场情况自行考虑。 </w:t>
            </w:r>
          </w:p>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（2）本采购项目危险性较大的分部分项工程清单：供应商根据图纸及现场情况自行考虑。</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19</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提出问题的截止时间</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40" w:firstLineChars="1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highlight w:val="none"/>
                <w:lang w:val="en-US" w:eastAsia="zh-CN"/>
              </w:rPr>
              <w:t>2024</w:t>
            </w:r>
            <w:r>
              <w:rPr>
                <w:rFonts w:hint="eastAsia" w:ascii="仿宋_GB2312" w:hAnsi="仿宋_GB2312" w:eastAsia="仿宋_GB2312" w:cs="仿宋_GB2312"/>
                <w:kern w:val="0"/>
                <w:sz w:val="24"/>
                <w:szCs w:val="24"/>
                <w:highlight w:val="none"/>
              </w:rPr>
              <w:t>年</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月</w:t>
            </w: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highlight w:val="none"/>
              </w:rPr>
              <w:t>日</w:t>
            </w:r>
            <w:r>
              <w:rPr>
                <w:rFonts w:hint="eastAsia" w:ascii="仿宋_GB2312" w:hAnsi="仿宋_GB2312" w:eastAsia="仿宋_GB2312" w:cs="仿宋_GB2312"/>
                <w:kern w:val="0"/>
                <w:sz w:val="24"/>
                <w:szCs w:val="24"/>
                <w:highlight w:val="none"/>
                <w:lang w:val="en-US" w:eastAsia="zh-CN"/>
              </w:rPr>
              <w:t xml:space="preserve">17 </w:t>
            </w:r>
            <w:r>
              <w:rPr>
                <w:rFonts w:hint="eastAsia" w:ascii="仿宋_GB2312" w:hAnsi="仿宋_GB2312" w:eastAsia="仿宋_GB2312" w:cs="仿宋_GB2312"/>
                <w:kern w:val="0"/>
                <w:sz w:val="24"/>
                <w:szCs w:val="24"/>
                <w:highlight w:val="none"/>
              </w:rPr>
              <w:t>时</w:t>
            </w:r>
            <w:r>
              <w:rPr>
                <w:rFonts w:hint="eastAsia" w:ascii="仿宋_GB2312" w:hAnsi="仿宋_GB2312" w:eastAsia="仿宋_GB2312" w:cs="仿宋_GB2312"/>
                <w:kern w:val="0"/>
                <w:sz w:val="24"/>
                <w:szCs w:val="24"/>
                <w:highlight w:val="none"/>
                <w:lang w:val="en-US" w:eastAsia="zh-CN"/>
              </w:rPr>
              <w:t xml:space="preserve"> 00 </w:t>
            </w:r>
            <w:r>
              <w:rPr>
                <w:rFonts w:hint="eastAsia" w:ascii="仿宋_GB2312" w:hAnsi="仿宋_GB2312" w:eastAsia="仿宋_GB2312" w:cs="仿宋_GB2312"/>
                <w:kern w:val="0"/>
                <w:sz w:val="24"/>
                <w:szCs w:val="24"/>
                <w:highlight w:val="none"/>
              </w:rPr>
              <w:t>分</w:t>
            </w:r>
            <w:r>
              <w:rPr>
                <w:rFonts w:hint="eastAsia" w:ascii="仿宋_GB2312" w:hAnsi="仿宋_GB2312" w:eastAsia="仿宋_GB2312" w:cs="仿宋_GB2312"/>
                <w:kern w:val="0"/>
                <w:sz w:val="24"/>
                <w:szCs w:val="24"/>
                <w:highlight w:val="none"/>
                <w:lang w:eastAsia="zh-CN"/>
              </w:rPr>
              <w:t>前</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eastAsia="zh-CN"/>
              </w:rPr>
              <w:t>供应商</w:t>
            </w:r>
            <w:r>
              <w:rPr>
                <w:rFonts w:hint="eastAsia" w:ascii="仿宋_GB2312" w:hAnsi="仿宋_GB2312" w:eastAsia="仿宋_GB2312" w:cs="仿宋_GB2312"/>
                <w:kern w:val="0"/>
                <w:sz w:val="24"/>
                <w:szCs w:val="24"/>
                <w:highlight w:val="none"/>
              </w:rPr>
              <w:t>未在规定时间内提出需要</w:t>
            </w:r>
            <w:r>
              <w:rPr>
                <w:rFonts w:hint="eastAsia" w:ascii="仿宋_GB2312" w:hAnsi="仿宋_GB2312" w:eastAsia="仿宋_GB2312" w:cs="仿宋_GB2312"/>
                <w:kern w:val="0"/>
                <w:sz w:val="24"/>
                <w:szCs w:val="24"/>
                <w:highlight w:val="none"/>
                <w:lang w:eastAsia="zh-CN"/>
              </w:rPr>
              <w:t>比选人</w:t>
            </w:r>
            <w:r>
              <w:rPr>
                <w:rFonts w:hint="eastAsia" w:ascii="仿宋_GB2312" w:hAnsi="仿宋_GB2312" w:eastAsia="仿宋_GB2312" w:cs="仿宋_GB2312"/>
                <w:kern w:val="0"/>
                <w:sz w:val="24"/>
                <w:szCs w:val="24"/>
                <w:highlight w:val="none"/>
              </w:rPr>
              <w:t>澄清或答疑的，视同对</w:t>
            </w:r>
            <w:r>
              <w:rPr>
                <w:rFonts w:hint="eastAsia" w:ascii="仿宋_GB2312" w:hAnsi="仿宋_GB2312" w:eastAsia="仿宋_GB2312" w:cs="仿宋_GB2312"/>
                <w:kern w:val="0"/>
                <w:sz w:val="24"/>
                <w:szCs w:val="24"/>
                <w:highlight w:val="none"/>
                <w:lang w:eastAsia="zh-CN"/>
              </w:rPr>
              <w:t>采购文件</w:t>
            </w:r>
            <w:r>
              <w:rPr>
                <w:rFonts w:hint="eastAsia" w:ascii="仿宋_GB2312" w:hAnsi="仿宋_GB2312" w:eastAsia="仿宋_GB2312" w:cs="仿宋_GB2312"/>
                <w:kern w:val="0"/>
                <w:sz w:val="24"/>
                <w:szCs w:val="24"/>
                <w:highlight w:val="none"/>
              </w:rPr>
              <w:t>全部内容的知晓、理解和</w:t>
            </w:r>
            <w:r>
              <w:rPr>
                <w:rFonts w:hint="eastAsia" w:ascii="仿宋_GB2312" w:hAnsi="仿宋_GB2312" w:eastAsia="仿宋_GB2312" w:cs="仿宋_GB2312"/>
                <w:kern w:val="0"/>
                <w:sz w:val="24"/>
                <w:szCs w:val="24"/>
                <w:highlight w:val="none"/>
                <w:lang w:eastAsia="zh-CN"/>
              </w:rPr>
              <w:t>接</w:t>
            </w:r>
            <w:r>
              <w:rPr>
                <w:rFonts w:hint="eastAsia" w:ascii="仿宋_GB2312" w:hAnsi="仿宋_GB2312" w:eastAsia="仿宋_GB2312" w:cs="仿宋_GB2312"/>
                <w:kern w:val="0"/>
                <w:sz w:val="24"/>
                <w:szCs w:val="24"/>
                <w:lang w:eastAsia="zh-CN"/>
              </w:rPr>
              <w:t>收</w:t>
            </w:r>
            <w:r>
              <w:rPr>
                <w:rFonts w:hint="eastAsia" w:ascii="仿宋_GB2312" w:hAnsi="仿宋_GB2312" w:eastAsia="仿宋_GB2312" w:cs="仿宋_GB2312"/>
                <w:kern w:val="0"/>
                <w:sz w:val="24"/>
                <w:szCs w:val="24"/>
              </w:rPr>
              <w:t>，开标后不得就</w:t>
            </w:r>
            <w:r>
              <w:rPr>
                <w:rFonts w:hint="eastAsia" w:ascii="仿宋_GB2312" w:hAnsi="仿宋_GB2312" w:eastAsia="仿宋_GB2312" w:cs="仿宋_GB2312"/>
                <w:kern w:val="0"/>
                <w:sz w:val="24"/>
                <w:szCs w:val="24"/>
                <w:lang w:eastAsia="zh-CN"/>
              </w:rPr>
              <w:t>采购文件</w:t>
            </w:r>
            <w:r>
              <w:rPr>
                <w:rFonts w:hint="eastAsia" w:ascii="仿宋_GB2312" w:hAnsi="仿宋_GB2312" w:eastAsia="仿宋_GB2312" w:cs="仿宋_GB2312"/>
                <w:kern w:val="0"/>
                <w:sz w:val="24"/>
                <w:szCs w:val="24"/>
              </w:rPr>
              <w:t>所列内容</w:t>
            </w:r>
            <w:r>
              <w:rPr>
                <w:rFonts w:hint="eastAsia" w:ascii="仿宋_GB2312" w:hAnsi="仿宋_GB2312" w:eastAsia="仿宋_GB2312" w:cs="仿宋_GB2312"/>
                <w:kern w:val="0"/>
                <w:sz w:val="24"/>
                <w:szCs w:val="24"/>
                <w:lang w:eastAsia="zh-CN"/>
              </w:rPr>
              <w:t>质疑</w:t>
            </w:r>
            <w:r>
              <w:rPr>
                <w:rFonts w:hint="eastAsia" w:ascii="仿宋_GB2312" w:hAnsi="仿宋_GB2312" w:eastAsia="仿宋_GB2312" w:cs="仿宋_GB2312"/>
                <w:kern w:val="0"/>
                <w:sz w:val="24"/>
                <w:szCs w:val="24"/>
              </w:rPr>
              <w:t>、投诉等；</w:t>
            </w:r>
            <w:r>
              <w:rPr>
                <w:rFonts w:hint="eastAsia" w:ascii="仿宋_GB2312" w:hAnsi="仿宋_GB2312" w:eastAsia="仿宋_GB2312" w:cs="仿宋_GB2312"/>
                <w:kern w:val="0"/>
                <w:sz w:val="24"/>
                <w:szCs w:val="24"/>
                <w:lang w:eastAsia="zh-CN"/>
              </w:rPr>
              <w:t>成交</w:t>
            </w:r>
            <w:r>
              <w:rPr>
                <w:rFonts w:hint="eastAsia" w:ascii="仿宋_GB2312" w:hAnsi="仿宋_GB2312" w:eastAsia="仿宋_GB2312" w:cs="仿宋_GB2312"/>
                <w:kern w:val="0"/>
                <w:sz w:val="24"/>
                <w:szCs w:val="24"/>
              </w:rPr>
              <w:t>后签订合同时和履约过程中，也不得以未深入研究</w:t>
            </w:r>
            <w:r>
              <w:rPr>
                <w:rFonts w:hint="eastAsia" w:ascii="仿宋_GB2312" w:hAnsi="仿宋_GB2312" w:eastAsia="仿宋_GB2312" w:cs="仿宋_GB2312"/>
                <w:kern w:val="0"/>
                <w:sz w:val="24"/>
                <w:szCs w:val="24"/>
                <w:lang w:eastAsia="zh-CN"/>
              </w:rPr>
              <w:t>采购文件</w:t>
            </w:r>
            <w:r>
              <w:rPr>
                <w:rFonts w:hint="eastAsia" w:ascii="仿宋_GB2312" w:hAnsi="仿宋_GB2312" w:eastAsia="仿宋_GB2312" w:cs="仿宋_GB2312"/>
                <w:kern w:val="0"/>
                <w:sz w:val="24"/>
                <w:szCs w:val="24"/>
              </w:rPr>
              <w:t>为由提出任何形式的增加合同价款或索赔的要求。</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20</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开标时间和地点</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见采购公告</w:t>
            </w:r>
          </w:p>
        </w:tc>
      </w:tr>
      <w:tr>
        <w:tblPrEx>
          <w:tblCellMar>
            <w:top w:w="0" w:type="dxa"/>
            <w:left w:w="108" w:type="dxa"/>
            <w:bottom w:w="0" w:type="dxa"/>
            <w:right w:w="108" w:type="dxa"/>
          </w:tblCellMar>
        </w:tblPrEx>
        <w:trPr>
          <w:trHeight w:val="90"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21</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3"/>
              </w:numPr>
              <w:suppressLineNumbers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形式：</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 银行转账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银行电汇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银行保函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担保机构担保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保证保险 </w:t>
            </w:r>
            <w:r>
              <w:rPr>
                <w:rFonts w:hint="eastAsia" w:ascii="仿宋_GB2312" w:hAnsi="仿宋_GB2312" w:eastAsia="仿宋_GB2312" w:cs="仿宋_GB2312"/>
                <w:sz w:val="24"/>
                <w:szCs w:val="24"/>
                <w:lang w:val="en-US" w:eastAsia="zh-CN"/>
              </w:rPr>
              <w:sym w:font="Wingdings 2" w:char="0052"/>
            </w:r>
            <w:r>
              <w:rPr>
                <w:rFonts w:hint="eastAsia" w:ascii="仿宋_GB2312" w:hAnsi="仿宋_GB2312" w:eastAsia="仿宋_GB2312" w:cs="仿宋_GB2312"/>
                <w:sz w:val="24"/>
                <w:szCs w:val="24"/>
                <w:lang w:val="en-US" w:eastAsia="zh-CN"/>
              </w:rPr>
              <w:t>不采用</w:t>
            </w:r>
          </w:p>
          <w:p>
            <w:pPr>
              <w:keepNext w:val="0"/>
              <w:keepLines w:val="0"/>
              <w:widowControl/>
              <w:numPr>
                <w:ilvl w:val="0"/>
                <w:numId w:val="3"/>
              </w:numPr>
              <w:suppressLineNumbers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金额：</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元整。中选人响应保证金自动转为履约保证金。 </w:t>
            </w:r>
          </w:p>
          <w:p>
            <w:pPr>
              <w:keepNext w:val="0"/>
              <w:keepLines w:val="0"/>
              <w:widowControl/>
              <w:suppressLineNumbers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r>
              <w:rPr>
                <w:rFonts w:hint="eastAsia" w:ascii="仿宋_GB2312" w:hAnsi="仿宋_GB2312" w:eastAsia="仿宋_GB2312" w:cs="仿宋_GB2312"/>
                <w:sz w:val="24"/>
                <w:szCs w:val="24"/>
                <w:lang w:val="en-US" w:eastAsia="zh-CN"/>
              </w:rPr>
              <w:t xml:space="preserve"> </w:t>
            </w:r>
          </w:p>
          <w:p>
            <w:pPr>
              <w:keepNext w:val="0"/>
              <w:keepLines w:val="0"/>
              <w:widowControl/>
              <w:suppressLineNumbers w:val="0"/>
              <w:spacing w:line="240" w:lineRule="auto"/>
              <w:jc w:val="left"/>
              <w:rPr>
                <w:rFonts w:hint="eastAsia"/>
              </w:rPr>
            </w:pPr>
            <w:r>
              <w:rPr>
                <w:rFonts w:hint="eastAsia" w:ascii="仿宋_GB2312" w:hAnsi="仿宋_GB2312" w:eastAsia="仿宋_GB2312" w:cs="仿宋_GB2312"/>
                <w:sz w:val="24"/>
                <w:szCs w:val="24"/>
                <w:lang w:val="en-US" w:eastAsia="zh-CN"/>
              </w:rPr>
              <w:t xml:space="preserve">（4）如采用担保机构出具的保函（担保机构担保），应为经安徽省地方金融监督管理局审查批准，依法取得融资担保业务 经营许可证的融资担保机构出具的无条件保函。 </w:t>
            </w:r>
            <w:r>
              <w:rPr>
                <w:rFonts w:hint="eastAsia" w:ascii="仿宋_GB2312" w:hAnsi="仿宋_GB2312" w:eastAsia="仿宋_GB2312" w:cs="仿宋_GB2312"/>
                <w:color w:val="000000"/>
                <w:kern w:val="0"/>
                <w:sz w:val="24"/>
                <w:szCs w:val="24"/>
                <w:lang w:val="en-US" w:eastAsia="zh-CN" w:bidi="ar"/>
              </w:rPr>
              <w:t xml:space="preserve"> </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22</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响应文件副本份数</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正本壹份，副本壹份（需密封，电子版文件随文件正本提交）。正副本内容不一致时，以正本为准。</w:t>
            </w:r>
          </w:p>
        </w:tc>
      </w:tr>
      <w:tr>
        <w:tblPrEx>
          <w:tblCellMar>
            <w:top w:w="0" w:type="dxa"/>
            <w:left w:w="108" w:type="dxa"/>
            <w:bottom w:w="0" w:type="dxa"/>
            <w:right w:w="108" w:type="dxa"/>
          </w:tblCellMar>
        </w:tblPrEx>
        <w:trPr>
          <w:trHeight w:val="90"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23</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装订包封要求</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highlight w:val="none"/>
                <w:lang w:val="en-US" w:eastAsia="zh-CN" w:bidi="ar"/>
              </w:rPr>
              <w:t>响应文件胶装、密封，正副本密封在同一密封袋，封口处须密封并加盖企业公章及法人章或授权代表签字。</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24</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封套上应载明的信息</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1、项目名称  2、</w:t>
            </w:r>
            <w:r>
              <w:rPr>
                <w:rFonts w:hint="eastAsia" w:ascii="仿宋_GB2312" w:hAnsi="仿宋_GB2312" w:eastAsia="仿宋_GB2312" w:cs="仿宋_GB2312"/>
                <w:sz w:val="24"/>
                <w:szCs w:val="24"/>
                <w:lang w:eastAsia="zh-CN"/>
              </w:rPr>
              <w:t>比选人</w:t>
            </w:r>
            <w:r>
              <w:rPr>
                <w:rFonts w:hint="eastAsia" w:ascii="仿宋_GB2312" w:hAnsi="仿宋_GB2312" w:eastAsia="仿宋_GB2312" w:cs="仿宋_GB2312"/>
                <w:sz w:val="24"/>
                <w:szCs w:val="24"/>
              </w:rPr>
              <w:t>名称3、</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名称。</w:t>
            </w:r>
          </w:p>
          <w:p>
            <w:pPr>
              <w:adjustRightInd w:val="0"/>
              <w:snapToGrid w:val="0"/>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时</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分前不得开启</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25</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开标程序</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密封情况检查：宣布开标后，供应商代表检查各响应文件密封及递交情况，并就检查结果明确意见。开标顺序：以响应签到先后顺序，开启报价文件和商务技术文件，开启报价仅作为唱标记录，不参与具体评审。评审时先评审商务技术文件，商务技术文件评审完成后对通过初步评审供应商的报价文件进行再评审。</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26</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评标办法</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综合评分法</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27</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 xml:space="preserve">评审小组的组建 </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评审小组构成：3人及以上单数； </w:t>
            </w:r>
          </w:p>
          <w:p>
            <w:pPr>
              <w:keepNext w:val="0"/>
              <w:keepLines w:val="0"/>
              <w:widowControl/>
              <w:suppressLineNumbers w:val="0"/>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评审专家确定方式：由比选人确定。</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cs="Times New Roman"/>
                <w:kern w:val="2"/>
                <w:sz w:val="21"/>
                <w:szCs w:val="21"/>
                <w:highlight w:val="cyan"/>
                <w:lang w:val="en-US" w:eastAsia="zh-CN" w:bidi="ar-SA"/>
              </w:rPr>
            </w:pPr>
            <w:r>
              <w:rPr>
                <w:rFonts w:hint="eastAsia" w:ascii="Times New Roman" w:hAnsi="Times New Roman" w:cs="Times New Roman"/>
                <w:szCs w:val="21"/>
                <w:highlight w:val="none"/>
                <w:lang w:val="en-US" w:eastAsia="zh-CN"/>
              </w:rPr>
              <w:t>28</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sz w:val="24"/>
                <w:highlight w:val="none"/>
                <w:lang w:eastAsia="zh-CN"/>
              </w:rPr>
              <w:t>评审小组推荐中标候选人的人数</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 名中标候选人。（实际评审过程中，如评标委员会推荐中标</w:t>
            </w:r>
          </w:p>
          <w:p>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候选人数量不足本条规定时，以实际评审推荐数为准）</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Cs w:val="21"/>
                <w:highlight w:val="none"/>
                <w:lang w:val="en-US" w:eastAsia="zh-CN"/>
              </w:rPr>
              <w:t>29</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报价评审</w:t>
            </w:r>
            <w:r>
              <w:rPr>
                <w:rFonts w:hint="eastAsia" w:ascii="仿宋_GB2312" w:hAnsi="仿宋_GB2312" w:eastAsia="仿宋_GB2312" w:cs="仿宋_GB2312"/>
                <w:color w:val="auto"/>
                <w:sz w:val="24"/>
                <w:highlight w:val="none"/>
              </w:rPr>
              <w:t>及确定规则</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sz w:val="24"/>
                <w:szCs w:val="24"/>
                <w:highlight w:val="none"/>
                <w:vertAlign w:val="baseline"/>
                <w:lang w:eastAsia="zh-CN"/>
              </w:rPr>
              <w:t>按报价得分由高到低的顺序推荐不超过3名</w:t>
            </w:r>
            <w:r>
              <w:rPr>
                <w:rFonts w:hint="eastAsia" w:ascii="仿宋_GB2312" w:hAnsi="仿宋_GB2312" w:eastAsia="仿宋_GB2312" w:cs="仿宋_GB2312"/>
                <w:sz w:val="24"/>
                <w:szCs w:val="24"/>
                <w:highlight w:val="none"/>
                <w:vertAlign w:val="baseline"/>
                <w:lang w:val="en-US" w:eastAsia="zh-CN"/>
              </w:rPr>
              <w:t>成交</w:t>
            </w:r>
            <w:r>
              <w:rPr>
                <w:rFonts w:hint="eastAsia" w:ascii="仿宋_GB2312" w:hAnsi="仿宋_GB2312" w:eastAsia="仿宋_GB2312" w:cs="仿宋_GB2312"/>
                <w:sz w:val="24"/>
                <w:szCs w:val="24"/>
                <w:highlight w:val="none"/>
                <w:vertAlign w:val="baseline"/>
                <w:lang w:eastAsia="zh-CN"/>
              </w:rPr>
              <w:t>候选人。</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30</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解释权</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(1）构成本采购文件的各个组成文件应互为解释，互为说明；</w:t>
            </w:r>
          </w:p>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(2）同一组成文件中就同一事项的规定或约定不一致的，以编排顺序在后者为准；</w:t>
            </w:r>
          </w:p>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(3）如有不明确或不一致，构成合同文件组成内容的，以合同文件约定内容为准，且以专用合同条款约定的合同文件优先顺序解释；</w:t>
            </w:r>
          </w:p>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(4）除采购文件中有特别规定外，仅适用于采购响应阶段的规定，按采购公告、供应商须知、评标办法、采购文件格式的先后顺序解释；</w:t>
            </w:r>
          </w:p>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(5）按本款前述规定仍不能形成结论的，由比选人负责解释。</w:t>
            </w:r>
          </w:p>
        </w:tc>
      </w:tr>
      <w:tr>
        <w:tblPrEx>
          <w:tblCellMar>
            <w:top w:w="0" w:type="dxa"/>
            <w:left w:w="108" w:type="dxa"/>
            <w:bottom w:w="0" w:type="dxa"/>
            <w:right w:w="108" w:type="dxa"/>
          </w:tblCellMar>
        </w:tblPrEx>
        <w:trPr>
          <w:trHeight w:val="567" w:hRule="atLeast"/>
        </w:trPr>
        <w:tc>
          <w:tcPr>
            <w:tcW w:w="905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_GB2312" w:hAnsi="仿宋_GB2312" w:eastAsia="仿宋_GB2312" w:cs="仿宋_GB2312"/>
                <w:szCs w:val="21"/>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需要补充的其他内容</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30.1</w:t>
            </w:r>
          </w:p>
        </w:tc>
        <w:tc>
          <w:tcPr>
            <w:tcW w:w="800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4"/>
              </w:rPr>
            </w:pPr>
            <w:r>
              <w:rPr>
                <w:rFonts w:hint="eastAsia" w:ascii="仿宋_GB2312" w:hAnsi="仿宋_GB2312" w:eastAsia="仿宋_GB2312" w:cs="仿宋_GB2312"/>
                <w:sz w:val="24"/>
              </w:rPr>
              <w:t>供应商或其他利害关系人对评标结果有异议的，应以书面形式提出，异议材料应包括：</w:t>
            </w:r>
          </w:p>
          <w:p>
            <w:pPr>
              <w:snapToGrid w:val="0"/>
              <w:rPr>
                <w:rFonts w:ascii="仿宋_GB2312" w:hAnsi="仿宋_GB2312" w:eastAsia="仿宋_GB2312" w:cs="仿宋_GB2312"/>
                <w:sz w:val="24"/>
              </w:rPr>
            </w:pPr>
            <w:r>
              <w:rPr>
                <w:rFonts w:hint="eastAsia" w:ascii="仿宋_GB2312" w:hAnsi="仿宋_GB2312" w:eastAsia="仿宋_GB2312" w:cs="仿宋_GB2312"/>
                <w:sz w:val="24"/>
              </w:rPr>
              <w:t>（1）异议人的名称、地址及有效联系方式；</w:t>
            </w:r>
          </w:p>
          <w:p>
            <w:pPr>
              <w:snapToGrid w:val="0"/>
              <w:rPr>
                <w:rFonts w:ascii="仿宋_GB2312" w:hAnsi="仿宋_GB2312" w:eastAsia="仿宋_GB2312" w:cs="仿宋_GB2312"/>
                <w:sz w:val="24"/>
              </w:rPr>
            </w:pPr>
            <w:r>
              <w:rPr>
                <w:rFonts w:hint="eastAsia" w:ascii="仿宋_GB2312" w:hAnsi="仿宋_GB2312" w:eastAsia="仿宋_GB2312" w:cs="仿宋_GB2312"/>
                <w:sz w:val="24"/>
              </w:rPr>
              <w:t>（2）异议事项的基本事实；</w:t>
            </w:r>
          </w:p>
          <w:p>
            <w:pPr>
              <w:snapToGrid w:val="0"/>
              <w:rPr>
                <w:rFonts w:ascii="仿宋_GB2312" w:hAnsi="仿宋_GB2312" w:eastAsia="仿宋_GB2312" w:cs="仿宋_GB2312"/>
                <w:sz w:val="24"/>
              </w:rPr>
            </w:pPr>
            <w:r>
              <w:rPr>
                <w:rFonts w:hint="eastAsia" w:ascii="仿宋_GB2312" w:hAnsi="仿宋_GB2312" w:eastAsia="仿宋_GB2312" w:cs="仿宋_GB2312"/>
                <w:sz w:val="24"/>
              </w:rPr>
              <w:t>（3）有效线索和相关证明材料。</w:t>
            </w:r>
          </w:p>
          <w:p>
            <w:pPr>
              <w:snapToGrid w:val="0"/>
              <w:rPr>
                <w:rFonts w:ascii="仿宋_GB2312" w:hAnsi="仿宋_GB2312" w:eastAsia="仿宋_GB2312" w:cs="仿宋_GB2312"/>
                <w:sz w:val="24"/>
              </w:rPr>
            </w:pPr>
            <w:r>
              <w:rPr>
                <w:rFonts w:hint="eastAsia" w:ascii="仿宋_GB2312" w:hAnsi="仿宋_GB2312" w:eastAsia="仿宋_GB2312" w:cs="仿宋_GB2312"/>
                <w:sz w:val="24"/>
              </w:rPr>
              <w:t>异议人是法人的，异议材料必须由其法定代表人或者授权代表签字并盖章；其他组织或者个人</w:t>
            </w:r>
          </w:p>
          <w:p>
            <w:pPr>
              <w:spacing w:line="240" w:lineRule="auto"/>
              <w:jc w:val="both"/>
              <w:rPr>
                <w:rFonts w:hint="eastAsia" w:ascii="仿宋_GB2312" w:hAnsi="仿宋_GB2312" w:eastAsia="仿宋_GB2312" w:cs="仿宋_GB2312"/>
                <w:sz w:val="24"/>
                <w:highlight w:val="yellow"/>
              </w:rPr>
            </w:pPr>
            <w:r>
              <w:rPr>
                <w:rFonts w:hint="eastAsia" w:ascii="仿宋_GB2312" w:hAnsi="仿宋_GB2312" w:eastAsia="仿宋_GB2312" w:cs="仿宋_GB2312"/>
                <w:sz w:val="24"/>
              </w:rPr>
              <w:t>提出异议的，异议材料必须由其主要负责人或者异议本人签字，并附有效身份证明复印件。</w:t>
            </w:r>
          </w:p>
        </w:tc>
      </w:tr>
    </w:tbl>
    <w:p>
      <w:pPr>
        <w:numPr>
          <w:ilvl w:val="0"/>
          <w:numId w:val="0"/>
        </w:numPr>
        <w:ind w:leftChars="0"/>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br w:type="page"/>
      </w:r>
    </w:p>
    <w:p>
      <w:pPr>
        <w:keepNext w:val="0"/>
        <w:keepLines w:val="0"/>
        <w:widowControl/>
        <w:suppressLineNumbers w:val="0"/>
        <w:jc w:val="center"/>
      </w:pPr>
      <w:r>
        <w:rPr>
          <w:rFonts w:ascii="黑体" w:hAnsi="宋体" w:eastAsia="黑体" w:cs="黑体"/>
          <w:color w:val="000000"/>
          <w:kern w:val="0"/>
          <w:sz w:val="31"/>
          <w:szCs w:val="31"/>
          <w:lang w:val="en-US" w:eastAsia="zh-CN" w:bidi="ar"/>
        </w:rPr>
        <w:t>附录 1 资格审查条件</w:t>
      </w:r>
      <w:r>
        <w:rPr>
          <w:rFonts w:hint="eastAsia" w:ascii="黑体" w:hAnsi="宋体" w:eastAsia="黑体" w:cs="黑体"/>
          <w:color w:val="000000"/>
          <w:kern w:val="0"/>
          <w:sz w:val="31"/>
          <w:szCs w:val="31"/>
          <w:lang w:val="en-US" w:eastAsia="zh-CN" w:bidi="ar"/>
        </w:rPr>
        <w:t>（</w:t>
      </w:r>
      <w:r>
        <w:rPr>
          <w:rFonts w:ascii="黑体" w:hAnsi="宋体" w:eastAsia="黑体" w:cs="黑体"/>
          <w:color w:val="000000"/>
          <w:kern w:val="0"/>
          <w:sz w:val="31"/>
          <w:szCs w:val="31"/>
          <w:lang w:val="en-US" w:eastAsia="zh-CN" w:bidi="ar"/>
        </w:rPr>
        <w:t>资质最低条件</w:t>
      </w:r>
      <w:r>
        <w:rPr>
          <w:rFonts w:hint="eastAsia" w:ascii="黑体" w:hAnsi="宋体" w:eastAsia="黑体" w:cs="黑体"/>
          <w:color w:val="000000"/>
          <w:kern w:val="0"/>
          <w:sz w:val="31"/>
          <w:szCs w:val="31"/>
          <w:lang w:val="en-US" w:eastAsia="zh-CN" w:bidi="ar"/>
        </w:rPr>
        <w:t>）</w:t>
      </w:r>
    </w:p>
    <w:p>
      <w:pPr>
        <w:pStyle w:val="12"/>
        <w:rPr>
          <w:rFonts w:hint="default"/>
          <w:lang w:val="en-US" w:eastAsia="zh-CN"/>
        </w:rPr>
      </w:pPr>
    </w:p>
    <w:p>
      <w:pPr>
        <w:rPr>
          <w:rFonts w:hint="default"/>
          <w:lang w:val="en-US" w:eastAsia="zh-CN"/>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widowControl/>
              <w:suppressLineNumbers w:val="0"/>
              <w:jc w:val="center"/>
              <w:rPr>
                <w:rFonts w:hint="default"/>
                <w:vertAlign w:val="baseline"/>
                <w:lang w:val="en-US" w:eastAsia="zh-CN"/>
              </w:rPr>
            </w:pPr>
            <w:r>
              <w:rPr>
                <w:rFonts w:hint="eastAsia" w:ascii="仿宋_GB2312" w:hAnsi="仿宋_GB2312" w:eastAsia="仿宋_GB2312" w:cs="仿宋_GB2312"/>
                <w:b/>
                <w:bCs/>
                <w:color w:val="000000"/>
                <w:kern w:val="0"/>
                <w:sz w:val="28"/>
                <w:szCs w:val="28"/>
                <w:lang w:val="en-US" w:eastAsia="zh-CN" w:bidi="ar"/>
              </w:rPr>
              <w:t>资质证书及其他要求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1. 具备有效的营业执照。 </w:t>
            </w:r>
          </w:p>
          <w:p>
            <w:pPr>
              <w:keepNext w:val="0"/>
              <w:keepLines w:val="0"/>
              <w:widowControl/>
              <w:suppressLineNumbers w:val="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 具备有效的资质证书。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详见采购公告要求。</w:t>
            </w: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tc>
      </w:tr>
    </w:tbl>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注：供应商应提供营业执照、资质证书。</w:t>
      </w:r>
    </w:p>
    <w:p>
      <w:pPr>
        <w:pStyle w:val="12"/>
        <w:jc w:val="both"/>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jc w:val="both"/>
        <w:rPr>
          <w:rFonts w:hint="default"/>
          <w:lang w:val="en-US" w:eastAsia="zh-CN"/>
        </w:rPr>
      </w:pPr>
    </w:p>
    <w:p>
      <w:pPr>
        <w:rPr>
          <w:rFonts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br w:type="page"/>
      </w:r>
    </w:p>
    <w:p>
      <w:pPr>
        <w:jc w:val="center"/>
      </w:pPr>
      <w:r>
        <w:rPr>
          <w:rFonts w:ascii="黑体" w:hAnsi="宋体" w:eastAsia="黑体" w:cs="黑体"/>
          <w:color w:val="000000"/>
          <w:kern w:val="0"/>
          <w:sz w:val="31"/>
          <w:szCs w:val="31"/>
          <w:lang w:val="en-US" w:eastAsia="zh-CN" w:bidi="ar"/>
        </w:rPr>
        <w:t xml:space="preserve">附录 </w:t>
      </w:r>
      <w:r>
        <w:rPr>
          <w:rFonts w:hint="eastAsia" w:ascii="黑体" w:hAnsi="宋体" w:eastAsia="黑体" w:cs="黑体"/>
          <w:color w:val="000000"/>
          <w:kern w:val="0"/>
          <w:sz w:val="31"/>
          <w:szCs w:val="31"/>
          <w:lang w:val="en-US" w:eastAsia="zh-CN" w:bidi="ar"/>
        </w:rPr>
        <w:t>2</w:t>
      </w:r>
      <w:r>
        <w:rPr>
          <w:rFonts w:ascii="黑体" w:hAnsi="宋体" w:eastAsia="黑体" w:cs="黑体"/>
          <w:color w:val="000000"/>
          <w:kern w:val="0"/>
          <w:sz w:val="31"/>
          <w:szCs w:val="31"/>
          <w:lang w:val="en-US" w:eastAsia="zh-CN" w:bidi="ar"/>
        </w:rPr>
        <w:t xml:space="preserve"> 资格审查条件</w:t>
      </w:r>
      <w:r>
        <w:rPr>
          <w:rFonts w:hint="eastAsia" w:ascii="黑体" w:hAnsi="宋体" w:eastAsia="黑体" w:cs="黑体"/>
          <w:color w:val="000000"/>
          <w:kern w:val="0"/>
          <w:sz w:val="31"/>
          <w:szCs w:val="31"/>
          <w:lang w:val="en-US" w:eastAsia="zh-CN" w:bidi="ar"/>
        </w:rPr>
        <w:t>（</w:t>
      </w:r>
      <w:r>
        <w:rPr>
          <w:rFonts w:ascii="黑体" w:hAnsi="宋体" w:eastAsia="黑体" w:cs="黑体"/>
          <w:color w:val="000000"/>
          <w:kern w:val="0"/>
          <w:sz w:val="31"/>
          <w:szCs w:val="31"/>
          <w:lang w:val="en-US" w:eastAsia="zh-CN" w:bidi="ar"/>
        </w:rPr>
        <w:t>信誉最低要求</w:t>
      </w:r>
      <w:r>
        <w:rPr>
          <w:rFonts w:hint="eastAsia" w:ascii="黑体" w:hAnsi="宋体" w:eastAsia="黑体" w:cs="黑体"/>
          <w:color w:val="000000"/>
          <w:kern w:val="0"/>
          <w:sz w:val="31"/>
          <w:szCs w:val="31"/>
          <w:lang w:val="en-US" w:eastAsia="zh-CN" w:bidi="ar"/>
        </w:rPr>
        <w:t>）</w:t>
      </w:r>
    </w:p>
    <w:p>
      <w:pPr>
        <w:pStyle w:val="12"/>
        <w:jc w:val="both"/>
        <w:rPr>
          <w:rFonts w:hint="default"/>
          <w:lang w:val="en-US" w:eastAsia="zh-CN"/>
        </w:rPr>
      </w:pPr>
    </w:p>
    <w:p>
      <w:pPr>
        <w:rPr>
          <w:rFonts w:hint="default"/>
          <w:lang w:val="en-US" w:eastAsia="zh-CN"/>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widowControl/>
              <w:suppressLineNumbers w:val="0"/>
              <w:jc w:val="center"/>
              <w:rPr>
                <w:rFonts w:hint="default"/>
                <w:vertAlign w:val="baseline"/>
                <w:lang w:val="en-US" w:eastAsia="zh-CN"/>
              </w:rPr>
            </w:pPr>
            <w:r>
              <w:rPr>
                <w:rFonts w:hint="eastAsia" w:ascii="仿宋_GB2312" w:hAnsi="仿宋_GB2312" w:eastAsia="仿宋_GB2312" w:cs="仿宋_GB2312"/>
                <w:b/>
                <w:bCs/>
                <w:color w:val="000000"/>
                <w:kern w:val="0"/>
                <w:sz w:val="28"/>
                <w:szCs w:val="28"/>
                <w:lang w:val="en-US" w:eastAsia="zh-CN" w:bidi="ar"/>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①</w:t>
            </w:r>
            <w:r>
              <w:rPr>
                <w:rFonts w:hint="eastAsia" w:ascii="仿宋_GB2312" w:hAnsi="仿宋_GB2312" w:eastAsia="仿宋_GB2312" w:cs="仿宋_GB2312"/>
                <w:color w:val="000000"/>
                <w:kern w:val="0"/>
                <w:sz w:val="28"/>
                <w:szCs w:val="28"/>
              </w:rPr>
              <w:t>未被责令停业，暂扣或吊销执照，或吊销资质证书；</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③</w:t>
            </w:r>
            <w:r>
              <w:rPr>
                <w:rFonts w:ascii="仿宋_GB2312" w:hAnsi="仿宋_GB2312" w:eastAsia="仿宋_GB2312" w:cs="仿宋_GB2312"/>
                <w:color w:val="000000"/>
                <w:kern w:val="0"/>
                <w:sz w:val="28"/>
                <w:szCs w:val="28"/>
              </w:rPr>
              <w:t>在国家企业信用信息公示系统（http://www.gsxt.gov.cn）中</w:t>
            </w:r>
            <w:r>
              <w:rPr>
                <w:rFonts w:hint="eastAsia" w:ascii="仿宋_GB2312" w:hAnsi="仿宋_GB2312" w:eastAsia="仿宋_GB2312" w:cs="仿宋_GB2312"/>
                <w:color w:val="000000"/>
                <w:kern w:val="0"/>
                <w:sz w:val="28"/>
                <w:szCs w:val="28"/>
              </w:rPr>
              <w:t>未</w:t>
            </w:r>
            <w:r>
              <w:rPr>
                <w:rFonts w:ascii="仿宋_GB2312" w:hAnsi="仿宋_GB2312" w:eastAsia="仿宋_GB2312" w:cs="仿宋_GB2312"/>
                <w:color w:val="000000"/>
                <w:kern w:val="0"/>
                <w:sz w:val="28"/>
                <w:szCs w:val="28"/>
              </w:rPr>
              <w:t>被列入严重违法失信企业名单；</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④</w:t>
            </w:r>
            <w:r>
              <w:rPr>
                <w:rFonts w:ascii="仿宋_GB2312" w:hAnsi="仿宋_GB2312" w:eastAsia="仿宋_GB2312" w:cs="仿宋_GB2312"/>
                <w:color w:val="000000"/>
                <w:kern w:val="0"/>
                <w:sz w:val="28"/>
                <w:szCs w:val="28"/>
              </w:rPr>
              <w:t>在“信用中国”网站（http://www.creditchina.gov.cn）中</w:t>
            </w:r>
            <w:r>
              <w:rPr>
                <w:rFonts w:hint="eastAsia" w:ascii="仿宋_GB2312" w:hAnsi="仿宋_GB2312" w:eastAsia="仿宋_GB2312" w:cs="仿宋_GB2312"/>
                <w:color w:val="000000"/>
                <w:kern w:val="0"/>
                <w:sz w:val="28"/>
                <w:szCs w:val="28"/>
              </w:rPr>
              <w:t>未</w:t>
            </w:r>
            <w:r>
              <w:rPr>
                <w:rFonts w:ascii="仿宋_GB2312" w:hAnsi="仿宋_GB2312" w:eastAsia="仿宋_GB2312" w:cs="仿宋_GB2312"/>
                <w:color w:val="000000"/>
                <w:kern w:val="0"/>
                <w:sz w:val="28"/>
                <w:szCs w:val="28"/>
              </w:rPr>
              <w:t>被列入失信被执行人名单；</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⑤</w:t>
            </w:r>
            <w:r>
              <w:rPr>
                <w:rFonts w:ascii="仿宋_GB2312" w:hAnsi="仿宋_GB2312" w:eastAsia="仿宋_GB2312" w:cs="仿宋_GB2312"/>
                <w:color w:val="000000"/>
                <w:kern w:val="0"/>
                <w:sz w:val="28"/>
                <w:szCs w:val="28"/>
              </w:rPr>
              <w:t>在近三年内（自</w:t>
            </w:r>
            <w:r>
              <w:rPr>
                <w:rFonts w:hint="eastAsia" w:ascii="仿宋_GB2312" w:hAnsi="仿宋_GB2312" w:eastAsia="仿宋_GB2312" w:cs="仿宋_GB2312"/>
                <w:color w:val="000000"/>
                <w:kern w:val="0"/>
                <w:sz w:val="28"/>
                <w:szCs w:val="28"/>
              </w:rPr>
              <w:t>响应文件递交截止之日</w:t>
            </w:r>
            <w:r>
              <w:rPr>
                <w:rFonts w:ascii="仿宋_GB2312" w:hAnsi="仿宋_GB2312" w:eastAsia="仿宋_GB2312" w:cs="仿宋_GB2312"/>
                <w:color w:val="000000"/>
                <w:kern w:val="0"/>
                <w:sz w:val="28"/>
                <w:szCs w:val="28"/>
              </w:rPr>
              <w:t>向前追溯3年）供应商或其法定代表人、拟委任的</w:t>
            </w:r>
            <w:r>
              <w:rPr>
                <w:rFonts w:hint="eastAsia" w:ascii="仿宋_GB2312" w:hAnsi="仿宋_GB2312" w:eastAsia="仿宋_GB2312" w:cs="仿宋_GB2312"/>
                <w:color w:val="000000"/>
                <w:kern w:val="0"/>
                <w:sz w:val="28"/>
                <w:szCs w:val="28"/>
                <w:lang w:eastAsia="zh-CN"/>
              </w:rPr>
              <w:t>项目负责人</w:t>
            </w:r>
            <w:r>
              <w:rPr>
                <w:rFonts w:hint="eastAsia" w:ascii="仿宋_GB2312" w:hAnsi="仿宋_GB2312" w:eastAsia="仿宋_GB2312" w:cs="仿宋_GB2312"/>
                <w:color w:val="000000"/>
                <w:kern w:val="0"/>
                <w:sz w:val="28"/>
                <w:szCs w:val="28"/>
              </w:rPr>
              <w:t>未</w:t>
            </w:r>
            <w:r>
              <w:rPr>
                <w:rFonts w:ascii="仿宋_GB2312" w:hAnsi="仿宋_GB2312" w:eastAsia="仿宋_GB2312" w:cs="仿宋_GB2312"/>
                <w:color w:val="000000"/>
                <w:kern w:val="0"/>
                <w:sz w:val="28"/>
                <w:szCs w:val="28"/>
              </w:rPr>
              <w:t>有行贿犯罪行为。</w:t>
            </w:r>
          </w:p>
          <w:p>
            <w:pPr>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⑥其他要求：______</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rPr>
              <w:t>_______。</w:t>
            </w:r>
          </w:p>
          <w:p>
            <w:pPr>
              <w:pStyle w:val="12"/>
              <w:jc w:val="center"/>
              <w:rPr>
                <w:rFonts w:hint="default"/>
                <w:lang w:val="en-US" w:eastAsia="zh-CN"/>
              </w:rPr>
            </w:pPr>
          </w:p>
          <w:p>
            <w:pPr>
              <w:jc w:val="center"/>
              <w:rPr>
                <w:rFonts w:hint="default"/>
                <w:lang w:val="en-US" w:eastAsia="zh-CN"/>
              </w:rPr>
            </w:pPr>
          </w:p>
          <w:p>
            <w:pPr>
              <w:pStyle w:val="12"/>
              <w:jc w:val="center"/>
              <w:rPr>
                <w:rFonts w:hint="default"/>
                <w:lang w:val="en-US" w:eastAsia="zh-CN"/>
              </w:rPr>
            </w:pPr>
          </w:p>
          <w:p>
            <w:pPr>
              <w:pStyle w:val="12"/>
              <w:jc w:val="center"/>
              <w:rPr>
                <w:rFonts w:hint="default"/>
                <w:lang w:val="en-US" w:eastAsia="zh-CN"/>
              </w:rPr>
            </w:pPr>
          </w:p>
          <w:p>
            <w:pPr>
              <w:jc w:val="center"/>
              <w:rPr>
                <w:rFonts w:hint="default"/>
                <w:lang w:val="en-US" w:eastAsia="zh-CN"/>
              </w:rPr>
            </w:pPr>
          </w:p>
          <w:p>
            <w:pPr>
              <w:jc w:val="center"/>
              <w:rPr>
                <w:rFonts w:hint="default"/>
                <w:lang w:val="en-US" w:eastAsia="zh-CN"/>
              </w:rPr>
            </w:pPr>
          </w:p>
        </w:tc>
      </w:tr>
    </w:tbl>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注：供应商在响应函中承诺，不需要提供相关证明材料。如供应商承诺与实际不符，比选人有权取消其成交（或成交候选）资格。</w:t>
      </w:r>
    </w:p>
    <w:p>
      <w:pPr>
        <w:pStyle w:val="12"/>
        <w:jc w:val="both"/>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ascii="Times New Roman" w:hAnsi="Times New Roman" w:eastAsia="黑体" w:cs="Times New Roman"/>
          <w:bCs/>
          <w:color w:val="auto"/>
          <w:sz w:val="24"/>
          <w:szCs w:val="32"/>
          <w:highlight w:val="none"/>
        </w:rPr>
      </w:pPr>
      <w:bookmarkStart w:id="30" w:name="_Toc9067720"/>
      <w:bookmarkStart w:id="31" w:name="_Toc14201207"/>
      <w:bookmarkStart w:id="32" w:name="_Toc26656938"/>
      <w:r>
        <w:rPr>
          <w:rFonts w:ascii="Times New Roman" w:hAnsi="Times New Roman" w:eastAsia="黑体" w:cs="Times New Roman"/>
          <w:bCs/>
          <w:color w:val="auto"/>
          <w:sz w:val="24"/>
          <w:szCs w:val="32"/>
          <w:highlight w:val="none"/>
        </w:rPr>
        <w:br w:type="page"/>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bookmarkEnd w:id="30"/>
      <w:bookmarkEnd w:id="31"/>
      <w:bookmarkEnd w:id="32"/>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33" w:name="_Toc26656939"/>
      <w:bookmarkStart w:id="34" w:name="_Toc14201208"/>
      <w:r>
        <w:rPr>
          <w:rFonts w:ascii="Times New Roman" w:hAnsi="Times New Roman" w:eastAsia="黑体" w:cs="Times New Roman"/>
          <w:bCs/>
          <w:color w:val="auto"/>
          <w:sz w:val="24"/>
          <w:szCs w:val="32"/>
          <w:highlight w:val="none"/>
        </w:rPr>
        <w:t xml:space="preserve">1.1 </w:t>
      </w:r>
      <w:bookmarkEnd w:id="33"/>
      <w:bookmarkEnd w:id="34"/>
      <w:bookmarkStart w:id="35" w:name="_Toc26656941"/>
      <w:bookmarkStart w:id="36" w:name="_Toc14201210"/>
      <w:r>
        <w:rPr>
          <w:rFonts w:ascii="Times New Roman" w:hAnsi="Times New Roman" w:eastAsia="黑体" w:cs="Times New Roman"/>
          <w:bCs/>
          <w:color w:val="auto"/>
          <w:sz w:val="24"/>
          <w:szCs w:val="32"/>
          <w:highlight w:val="none"/>
        </w:rPr>
        <w:t>质量要求和安全</w:t>
      </w:r>
      <w:bookmarkEnd w:id="35"/>
      <w:bookmarkEnd w:id="36"/>
      <w:r>
        <w:rPr>
          <w:rFonts w:hint="eastAsia" w:ascii="Times New Roman" w:hAnsi="Times New Roman" w:eastAsia="黑体" w:cs="Times New Roman"/>
          <w:bCs/>
          <w:color w:val="auto"/>
          <w:sz w:val="24"/>
          <w:szCs w:val="32"/>
          <w:highlight w:val="none"/>
        </w:rPr>
        <w:t>目标</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1.1.1 本合同</w:t>
      </w:r>
      <w:r>
        <w:rPr>
          <w:rFonts w:hint="eastAsia" w:ascii="仿宋_GB2312" w:hAnsi="仿宋_GB2312" w:eastAsia="仿宋_GB2312" w:cs="仿宋_GB2312"/>
          <w:color w:val="auto"/>
          <w:szCs w:val="21"/>
          <w:highlight w:val="none"/>
          <w:lang w:val="en-US" w:eastAsia="zh-CN"/>
        </w:rPr>
        <w:t>段</w:t>
      </w:r>
      <w:r>
        <w:rPr>
          <w:rFonts w:hint="eastAsia" w:ascii="仿宋_GB2312" w:hAnsi="仿宋_GB2312" w:eastAsia="仿宋_GB2312" w:cs="仿宋_GB2312"/>
          <w:color w:val="auto"/>
          <w:szCs w:val="21"/>
          <w:highlight w:val="none"/>
        </w:rPr>
        <w:t>的质量要求：</w:t>
      </w:r>
      <w:r>
        <w:rPr>
          <w:rFonts w:hint="eastAsia" w:ascii="仿宋_GB2312" w:hAnsi="仿宋_GB2312" w:eastAsia="仿宋_GB2312" w:cs="仿宋_GB2312"/>
          <w:color w:val="auto"/>
          <w:szCs w:val="21"/>
          <w:highlight w:val="none"/>
          <w:u w:val="single"/>
        </w:rPr>
        <w:t>合格</w:t>
      </w:r>
      <w:r>
        <w:rPr>
          <w:rFonts w:hint="eastAsia" w:ascii="仿宋_GB2312" w:hAnsi="仿宋_GB2312" w:eastAsia="仿宋_GB2312" w:cs="仿宋_GB2312"/>
          <w:color w:val="auto"/>
          <w:szCs w:val="21"/>
          <w:highlight w:val="none"/>
        </w:rPr>
        <w:t>。</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37" w:name="_Toc14201211"/>
      <w:bookmarkStart w:id="38" w:name="_Toc26656942"/>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bookmarkEnd w:id="37"/>
      <w:bookmarkEnd w:id="38"/>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1.2.1供应商应具备承担本合同包服务的资质条件、能力和信誉：见第一章</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采购公告</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第3款要求。</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1.2.2 其他要求：</w:t>
      </w:r>
      <w:r>
        <w:rPr>
          <w:rFonts w:hint="eastAsia" w:ascii="仿宋_GB2312" w:hAnsi="仿宋_GB2312" w:eastAsia="仿宋_GB2312" w:cs="仿宋_GB2312"/>
          <w:color w:val="auto"/>
          <w:szCs w:val="21"/>
          <w:highlight w:val="none"/>
          <w:u w:val="single"/>
        </w:rPr>
        <w:t>无</w:t>
      </w:r>
      <w:r>
        <w:rPr>
          <w:rFonts w:hint="eastAsia" w:ascii="仿宋_GB2312" w:hAnsi="仿宋_GB2312" w:eastAsia="仿宋_GB2312" w:cs="仿宋_GB2312"/>
          <w:color w:val="auto"/>
          <w:szCs w:val="21"/>
          <w:highlight w:val="none"/>
        </w:rPr>
        <w:t>。</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39" w:name="_Toc26656943"/>
      <w:bookmarkStart w:id="40" w:name="_Toc14201212"/>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bookmarkEnd w:id="39"/>
      <w:bookmarkEnd w:id="40"/>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供应商</w:t>
      </w:r>
      <w:r>
        <w:rPr>
          <w:rFonts w:hint="eastAsia" w:ascii="仿宋_GB2312" w:hAnsi="仿宋_GB2312" w:eastAsia="仿宋_GB2312" w:cs="仿宋_GB2312"/>
          <w:color w:val="auto"/>
          <w:highlight w:val="none"/>
        </w:rPr>
        <w:t>准备和参加</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活动发生的费用自理。</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41" w:name="_Toc14201213"/>
      <w:bookmarkStart w:id="42" w:name="_Toc26656944"/>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bookmarkEnd w:id="41"/>
      <w:bookmarkEnd w:id="42"/>
    </w:p>
    <w:p>
      <w:pPr>
        <w:pageBreakBefore w:val="0"/>
        <w:widowControl w:val="0"/>
        <w:kinsoku/>
        <w:wordWrap/>
        <w:overflowPunct/>
        <w:topLinePunct w:val="0"/>
        <w:autoSpaceDE/>
        <w:autoSpaceDN/>
        <w:bidi w:val="0"/>
        <w:adjustRightInd/>
        <w:snapToGrid/>
        <w:spacing w:line="440" w:lineRule="exact"/>
        <w:ind w:firstLine="420"/>
        <w:textAlignment w:val="auto"/>
        <w:rPr>
          <w:rFonts w:ascii="Times New Roman" w:hAnsi="Times New Roman" w:cs="Times New Roman"/>
          <w:color w:val="auto"/>
          <w:highlight w:val="none"/>
        </w:rPr>
      </w:pPr>
      <w:r>
        <w:rPr>
          <w:rFonts w:hint="eastAsia" w:ascii="仿宋_GB2312" w:hAnsi="仿宋_GB2312" w:eastAsia="仿宋_GB2312" w:cs="仿宋_GB2312"/>
          <w:color w:val="auto"/>
          <w:highlight w:val="none"/>
        </w:rPr>
        <w:t>参与</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活动的各方应对</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文件和响应文件中的商业和技术等秘密保密，否则应承担相应的法律责任。</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43" w:name="_Toc26656946"/>
      <w:bookmarkStart w:id="44" w:name="_Toc14201215"/>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bookmarkEnd w:id="43"/>
      <w:bookmarkEnd w:id="44"/>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所有计量均采用中华人民共和国法定计量单位。</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45" w:name="_Toc26656947"/>
      <w:bookmarkStart w:id="46" w:name="_Toc14201216"/>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bookmarkEnd w:id="45"/>
      <w:bookmarkEnd w:id="46"/>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不组织集中踏勘，建议供应商应自行踏勘现场</w:t>
      </w:r>
      <w:r>
        <w:rPr>
          <w:rFonts w:hint="eastAsia" w:ascii="仿宋_GB2312" w:hAnsi="仿宋_GB2312" w:eastAsia="仿宋_GB2312" w:cs="仿宋_GB2312"/>
          <w:color w:val="auto"/>
          <w:highlight w:val="none"/>
        </w:rPr>
        <w:t>且费用自理</w:t>
      </w:r>
      <w:r>
        <w:rPr>
          <w:rFonts w:hint="eastAsia" w:ascii="仿宋_GB2312" w:hAnsi="仿宋_GB2312" w:eastAsia="仿宋_GB2312" w:cs="仿宋_GB2312"/>
          <w:color w:val="auto"/>
          <w:highlight w:val="none"/>
          <w:lang w:eastAsia="zh-CN"/>
        </w:rPr>
        <w:t>。</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47" w:name="_Toc26656949"/>
      <w:bookmarkStart w:id="48" w:name="_Toc14201218"/>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bookmarkEnd w:id="47"/>
      <w:bookmarkEnd w:id="48"/>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不允许分包。</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49" w:name="_Toc26656950"/>
      <w:bookmarkStart w:id="50" w:name="_Toc14201219"/>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bookmarkEnd w:id="49"/>
      <w:bookmarkEnd w:id="50"/>
      <w:r>
        <w:rPr>
          <w:rFonts w:hint="eastAsia" w:ascii="Times New Roman" w:hAnsi="Times New Roman" w:eastAsia="黑体" w:cs="Times New Roman"/>
          <w:bCs/>
          <w:color w:val="auto"/>
          <w:sz w:val="24"/>
          <w:szCs w:val="32"/>
          <w:highlight w:val="none"/>
        </w:rPr>
        <w:t>差</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1.8.1 偏差包括重大偏差和细微偏差。</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1.8.2 响应文件存在第三章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评审办法</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中所列任一否决响应文件情形的，均属于存在重大偏差，响应文件将被否决。</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4"/>
          <w:szCs w:val="32"/>
          <w:highlight w:val="none"/>
        </w:rPr>
      </w:pPr>
      <w:bookmarkStart w:id="51" w:name="_Toc26656951"/>
      <w:bookmarkStart w:id="52" w:name="_Toc9067721"/>
      <w:bookmarkStart w:id="53" w:name="_Toc14201220"/>
      <w:r>
        <w:rPr>
          <w:rFonts w:ascii="Times New Roman" w:hAnsi="Times New Roman" w:eastAsia="黑体" w:cs="Times New Roman"/>
          <w:bCs/>
          <w:color w:val="auto"/>
          <w:sz w:val="24"/>
          <w:szCs w:val="32"/>
          <w:highlight w:val="none"/>
        </w:rPr>
        <w:t xml:space="preserve">2. </w:t>
      </w:r>
      <w:bookmarkEnd w:id="51"/>
      <w:bookmarkEnd w:id="52"/>
      <w:bookmarkEnd w:id="53"/>
      <w:r>
        <w:rPr>
          <w:rFonts w:hint="eastAsia" w:ascii="Times New Roman" w:hAnsi="Times New Roman" w:eastAsia="黑体" w:cs="Times New Roman"/>
          <w:bCs/>
          <w:color w:val="auto"/>
          <w:sz w:val="24"/>
          <w:szCs w:val="32"/>
          <w:highlight w:val="none"/>
          <w:lang w:eastAsia="zh-CN"/>
        </w:rPr>
        <w:t>采购</w:t>
      </w:r>
      <w:r>
        <w:rPr>
          <w:rFonts w:ascii="Times New Roman" w:hAnsi="Times New Roman" w:eastAsia="黑体" w:cs="Times New Roman"/>
          <w:bCs/>
          <w:color w:val="auto"/>
          <w:sz w:val="24"/>
          <w:szCs w:val="32"/>
          <w:highlight w:val="none"/>
        </w:rPr>
        <w:t>文件</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54" w:name="_Toc26656952"/>
      <w:bookmarkStart w:id="55" w:name="_Toc14201221"/>
      <w:r>
        <w:rPr>
          <w:rFonts w:ascii="Times New Roman" w:hAnsi="Times New Roman" w:eastAsia="黑体" w:cs="Times New Roman"/>
          <w:bCs/>
          <w:color w:val="auto"/>
          <w:sz w:val="24"/>
          <w:szCs w:val="32"/>
          <w:highlight w:val="none"/>
        </w:rPr>
        <w:t xml:space="preserve">2.1 </w:t>
      </w:r>
      <w:r>
        <w:rPr>
          <w:rFonts w:hint="eastAsia" w:ascii="Times New Roman" w:hAnsi="Times New Roman" w:eastAsia="黑体" w:cs="Times New Roman"/>
          <w:bCs/>
          <w:color w:val="auto"/>
          <w:sz w:val="24"/>
          <w:szCs w:val="32"/>
          <w:highlight w:val="none"/>
          <w:lang w:eastAsia="zh-CN"/>
        </w:rPr>
        <w:t>采购</w:t>
      </w:r>
      <w:r>
        <w:rPr>
          <w:rFonts w:ascii="Times New Roman" w:hAnsi="Times New Roman" w:eastAsia="黑体" w:cs="Times New Roman"/>
          <w:bCs/>
          <w:color w:val="auto"/>
          <w:sz w:val="24"/>
          <w:szCs w:val="32"/>
          <w:highlight w:val="none"/>
        </w:rPr>
        <w:t>文件的组成</w:t>
      </w:r>
      <w:bookmarkEnd w:id="54"/>
      <w:bookmarkEnd w:id="55"/>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文件包括：</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（1）采购公告；</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（2）供应商须知；</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（3）评审办法；</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（4）合同条款及格式；</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（5）采购需求及清单；</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图纸</w:t>
      </w:r>
      <w:r>
        <w:rPr>
          <w:rFonts w:hint="eastAsia" w:ascii="仿宋_GB2312" w:hAnsi="仿宋_GB2312" w:eastAsia="仿宋_GB2312" w:cs="仿宋_GB2312"/>
          <w:color w:val="auto"/>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技术标准和要求</w:t>
      </w:r>
      <w:r>
        <w:rPr>
          <w:rFonts w:hint="eastAsia" w:ascii="仿宋_GB2312" w:hAnsi="仿宋_GB2312" w:eastAsia="仿宋_GB2312" w:cs="仿宋_GB2312"/>
          <w:color w:val="auto"/>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）响应文件格式。</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根据本章第2.2款对</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文件所作的澄清、修改，构成</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文件的组成部分。</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当</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文件的澄清或修改等在同一内容的表述上不一致时，以最后发出的书面文件为准。</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56" w:name="_Toc14201222"/>
      <w:bookmarkStart w:id="57" w:name="_Toc26656953"/>
      <w:r>
        <w:rPr>
          <w:rFonts w:ascii="Times New Roman" w:hAnsi="Times New Roman" w:eastAsia="黑体" w:cs="Times New Roman"/>
          <w:bCs/>
          <w:color w:val="auto"/>
          <w:sz w:val="24"/>
          <w:szCs w:val="32"/>
          <w:highlight w:val="none"/>
        </w:rPr>
        <w:t xml:space="preserve">2.2 </w:t>
      </w:r>
      <w:r>
        <w:rPr>
          <w:rFonts w:hint="eastAsia" w:ascii="Times New Roman" w:hAnsi="Times New Roman" w:eastAsia="黑体" w:cs="Times New Roman"/>
          <w:bCs/>
          <w:color w:val="auto"/>
          <w:sz w:val="24"/>
          <w:szCs w:val="32"/>
          <w:highlight w:val="none"/>
          <w:lang w:eastAsia="zh-CN"/>
        </w:rPr>
        <w:t>采购</w:t>
      </w:r>
      <w:r>
        <w:rPr>
          <w:rFonts w:ascii="Times New Roman" w:hAnsi="Times New Roman" w:eastAsia="黑体" w:cs="Times New Roman"/>
          <w:bCs/>
          <w:color w:val="auto"/>
          <w:sz w:val="24"/>
          <w:szCs w:val="32"/>
          <w:highlight w:val="none"/>
        </w:rPr>
        <w:t>文件的澄清</w:t>
      </w:r>
      <w:bookmarkEnd w:id="56"/>
      <w:bookmarkEnd w:id="57"/>
      <w:r>
        <w:rPr>
          <w:rFonts w:hint="eastAsia" w:ascii="Times New Roman" w:hAnsi="Times New Roman" w:eastAsia="黑体" w:cs="Times New Roman"/>
          <w:bCs/>
          <w:color w:val="auto"/>
          <w:sz w:val="24"/>
          <w:szCs w:val="32"/>
          <w:highlight w:val="none"/>
        </w:rPr>
        <w:t>与修改</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2.2.1供应商如有疑问，应在递交响应文件的截止时间前3日前通过安徽交控招标采购平台要求</w:t>
      </w:r>
      <w:r>
        <w:rPr>
          <w:rFonts w:hint="eastAsia" w:ascii="仿宋_GB2312" w:hAnsi="仿宋_GB2312" w:eastAsia="仿宋_GB2312" w:cs="仿宋_GB2312"/>
          <w:color w:val="auto"/>
          <w:highlight w:val="none"/>
          <w:lang w:eastAsia="zh-CN"/>
        </w:rPr>
        <w:t>比选人</w:t>
      </w:r>
      <w:r>
        <w:rPr>
          <w:rFonts w:hint="eastAsia" w:ascii="仿宋_GB2312" w:hAnsi="仿宋_GB2312" w:eastAsia="仿宋_GB2312" w:cs="仿宋_GB2312"/>
          <w:color w:val="auto"/>
          <w:highlight w:val="none"/>
        </w:rPr>
        <w:t>对</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文件予以澄清或修改。</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2.2.2 除非</w:t>
      </w:r>
      <w:r>
        <w:rPr>
          <w:rFonts w:hint="eastAsia" w:ascii="仿宋_GB2312" w:hAnsi="仿宋_GB2312" w:eastAsia="仿宋_GB2312" w:cs="仿宋_GB2312"/>
          <w:color w:val="auto"/>
          <w:highlight w:val="none"/>
          <w:lang w:eastAsia="zh-CN"/>
        </w:rPr>
        <w:t>比选人</w:t>
      </w:r>
      <w:r>
        <w:rPr>
          <w:rFonts w:hint="eastAsia" w:ascii="仿宋_GB2312" w:hAnsi="仿宋_GB2312" w:eastAsia="仿宋_GB2312" w:cs="仿宋_GB2312"/>
          <w:color w:val="auto"/>
          <w:highlight w:val="none"/>
        </w:rPr>
        <w:t>认为确有必要答复，否则，</w:t>
      </w:r>
      <w:r>
        <w:rPr>
          <w:rFonts w:hint="eastAsia" w:ascii="仿宋_GB2312" w:hAnsi="仿宋_GB2312" w:eastAsia="仿宋_GB2312" w:cs="仿宋_GB2312"/>
          <w:color w:val="auto"/>
          <w:highlight w:val="none"/>
          <w:lang w:eastAsia="zh-CN"/>
        </w:rPr>
        <w:t>比选人</w:t>
      </w:r>
      <w:r>
        <w:rPr>
          <w:rFonts w:hint="eastAsia" w:ascii="仿宋_GB2312" w:hAnsi="仿宋_GB2312" w:eastAsia="仿宋_GB2312" w:cs="仿宋_GB2312"/>
          <w:color w:val="auto"/>
          <w:highlight w:val="none"/>
        </w:rPr>
        <w:t>有权拒绝回复供应商在本章第2.2.1项规定的时间后提出的任何澄清或修改要求。</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4"/>
          <w:szCs w:val="32"/>
          <w:highlight w:val="none"/>
        </w:rPr>
      </w:pPr>
      <w:bookmarkStart w:id="58" w:name="_Toc14201225"/>
      <w:bookmarkStart w:id="59" w:name="_Toc9067722"/>
      <w:bookmarkStart w:id="60" w:name="_Toc26656956"/>
      <w:r>
        <w:rPr>
          <w:rFonts w:ascii="Times New Roman" w:hAnsi="Times New Roman" w:eastAsia="黑体" w:cs="Times New Roman"/>
          <w:bCs/>
          <w:color w:val="auto"/>
          <w:sz w:val="24"/>
          <w:szCs w:val="32"/>
          <w:highlight w:val="none"/>
        </w:rPr>
        <w:t xml:space="preserve">3. </w:t>
      </w:r>
      <w:bookmarkEnd w:id="58"/>
      <w:bookmarkEnd w:id="59"/>
      <w:bookmarkEnd w:id="60"/>
      <w:r>
        <w:rPr>
          <w:rFonts w:ascii="Times New Roman" w:hAnsi="Times New Roman" w:eastAsia="黑体" w:cs="Times New Roman"/>
          <w:bCs/>
          <w:color w:val="auto"/>
          <w:sz w:val="24"/>
          <w:szCs w:val="32"/>
          <w:highlight w:val="none"/>
        </w:rPr>
        <w:t>响应文件</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61" w:name="_Toc26656957"/>
      <w:bookmarkStart w:id="62" w:name="_Toc14201226"/>
      <w:r>
        <w:rPr>
          <w:rFonts w:ascii="Times New Roman" w:hAnsi="Times New Roman" w:eastAsia="黑体" w:cs="Times New Roman"/>
          <w:bCs/>
          <w:color w:val="auto"/>
          <w:sz w:val="24"/>
          <w:szCs w:val="32"/>
          <w:highlight w:val="none"/>
        </w:rPr>
        <w:t>3.1响应文件的组成</w:t>
      </w:r>
      <w:bookmarkEnd w:id="61"/>
      <w:bookmarkEnd w:id="62"/>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响应文件应包括下列内容：</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响应函</w:t>
      </w:r>
      <w:r>
        <w:rPr>
          <w:rFonts w:hint="eastAsia" w:ascii="仿宋_GB2312" w:hAnsi="仿宋_GB2312" w:eastAsia="仿宋_GB2312" w:cs="仿宋_GB2312"/>
          <w:color w:val="auto"/>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（2）法定代表人身份证明及授权委托书；</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US" w:eastAsia="zh-CN"/>
        </w:rPr>
        <w:t>联合体协议书（如有）</w:t>
      </w:r>
      <w:r>
        <w:rPr>
          <w:rFonts w:hint="eastAsia" w:ascii="仿宋_GB2312" w:hAnsi="仿宋_GB2312" w:eastAsia="仿宋_GB2312" w:cs="仿宋_GB2312"/>
          <w:color w:val="auto"/>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highlight w:val="none"/>
          <w:lang w:val="en-US" w:eastAsia="zh-CN"/>
        </w:rPr>
        <w:t>响应保证金</w:t>
      </w:r>
      <w:r>
        <w:rPr>
          <w:rFonts w:hint="eastAsia" w:ascii="仿宋_GB2312" w:hAnsi="仿宋_GB2312" w:eastAsia="仿宋_GB2312" w:cs="仿宋_GB2312"/>
          <w:color w:val="auto"/>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资格审查资料</w:t>
      </w:r>
      <w:r>
        <w:rPr>
          <w:rFonts w:hint="eastAsia" w:ascii="仿宋_GB2312" w:hAnsi="仿宋_GB2312" w:eastAsia="仿宋_GB2312" w:cs="仿宋_GB2312"/>
          <w:color w:val="auto"/>
          <w:highlight w:val="none"/>
        </w:rPr>
        <w:t>；</w:t>
      </w:r>
      <w:bookmarkStart w:id="63" w:name="_Toc14201227"/>
      <w:bookmarkStart w:id="64" w:name="_Toc26656958"/>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其他材料。</w:t>
      </w:r>
    </w:p>
    <w:p>
      <w:pPr>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3.2 报价</w:t>
      </w:r>
      <w:bookmarkEnd w:id="63"/>
      <w:bookmarkEnd w:id="64"/>
      <w:r>
        <w:rPr>
          <w:rFonts w:ascii="Times New Roman" w:hAnsi="Times New Roman" w:eastAsia="黑体" w:cs="Times New Roman"/>
          <w:bCs/>
          <w:color w:val="auto"/>
          <w:sz w:val="24"/>
          <w:szCs w:val="32"/>
          <w:highlight w:val="none"/>
        </w:rPr>
        <w:t xml:space="preserve">要求 </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highlight w:val="none"/>
        </w:rPr>
        <w:t xml:space="preserve">3.2.1 </w:t>
      </w:r>
      <w:r>
        <w:rPr>
          <w:rFonts w:hint="eastAsia" w:ascii="仿宋_GB2312" w:hAnsi="仿宋_GB2312" w:eastAsia="仿宋_GB2312" w:cs="仿宋_GB2312"/>
          <w:color w:val="auto"/>
          <w:kern w:val="0"/>
          <w:sz w:val="24"/>
          <w:szCs w:val="24"/>
          <w:highlight w:val="none"/>
          <w:lang w:val="en-US" w:eastAsia="zh-CN"/>
        </w:rPr>
        <w:t>报价为含税价，税率按税法规定的建筑业一般纳税人计算，并执行国家最新税率标准，成交人应承担相应的税额。发包人提供的甲供材料不计入承包人的增值税应纳税额。</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3.2.2 供应商应按第</w:t>
      </w:r>
      <w:r>
        <w:rPr>
          <w:rFonts w:hint="eastAsia" w:ascii="仿宋_GB2312" w:hAnsi="仿宋_GB2312" w:eastAsia="仿宋_GB2312" w:cs="仿宋_GB2312"/>
          <w:color w:val="auto"/>
          <w:highlight w:val="none"/>
          <w:lang w:val="en-US" w:eastAsia="zh-CN"/>
        </w:rPr>
        <w:t>八</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响应文件格式</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的要求在报价函中进行报价并填写报价清单相应表格。</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3.2.3 </w:t>
      </w:r>
      <w:r>
        <w:rPr>
          <w:rFonts w:hint="eastAsia" w:ascii="仿宋_GB2312" w:hAnsi="仿宋_GB2312" w:eastAsia="仿宋_GB2312" w:cs="仿宋_GB2312"/>
          <w:color w:val="auto"/>
          <w:highlight w:val="none"/>
          <w:lang w:eastAsia="zh-CN"/>
        </w:rPr>
        <w:t>比选人</w:t>
      </w:r>
      <w:r>
        <w:rPr>
          <w:rFonts w:hint="eastAsia" w:ascii="仿宋_GB2312" w:hAnsi="仿宋_GB2312" w:eastAsia="仿宋_GB2312" w:cs="仿宋_GB2312"/>
          <w:color w:val="auto"/>
          <w:highlight w:val="none"/>
        </w:rPr>
        <w:t>设有最高限价的，供应商的报价不得超过最高限价，否则其报价将被否决，最高限价见第</w:t>
      </w: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供应商须知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第</w:t>
      </w:r>
      <w:r>
        <w:rPr>
          <w:rFonts w:hint="eastAsia" w:ascii="仿宋_GB2312" w:hAnsi="仿宋_GB2312" w:eastAsia="仿宋_GB2312" w:cs="仿宋_GB2312"/>
          <w:color w:val="auto"/>
          <w:highlight w:val="none"/>
          <w:lang w:val="en-US" w:eastAsia="zh-CN"/>
        </w:rPr>
        <w:t>11</w:t>
      </w:r>
      <w:r>
        <w:rPr>
          <w:rFonts w:hint="eastAsia" w:ascii="仿宋_GB2312" w:hAnsi="仿宋_GB2312" w:eastAsia="仿宋_GB2312" w:cs="仿宋_GB2312"/>
          <w:color w:val="auto"/>
          <w:highlight w:val="none"/>
        </w:rPr>
        <w:t>款。</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3.2.4 本项目的报价方式为：总价。</w:t>
      </w:r>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3.2.5 报价的其他要求：无 。 </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65" w:name="_Toc14201228"/>
      <w:bookmarkStart w:id="66" w:name="_Toc26656959"/>
      <w:r>
        <w:rPr>
          <w:rFonts w:ascii="Times New Roman" w:hAnsi="Times New Roman" w:eastAsia="黑体" w:cs="Times New Roman"/>
          <w:bCs/>
          <w:color w:val="auto"/>
          <w:sz w:val="24"/>
          <w:szCs w:val="32"/>
          <w:highlight w:val="none"/>
        </w:rPr>
        <w:t>3.3</w:t>
      </w:r>
      <w:bookmarkEnd w:id="65"/>
      <w:bookmarkEnd w:id="66"/>
      <w:r>
        <w:rPr>
          <w:rFonts w:ascii="Times New Roman" w:hAnsi="Times New Roman" w:eastAsia="黑体" w:cs="Times New Roman"/>
          <w:bCs/>
          <w:color w:val="auto"/>
          <w:sz w:val="24"/>
          <w:szCs w:val="32"/>
          <w:highlight w:val="none"/>
        </w:rPr>
        <w:t>响应有效期</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3.3.1 响应有效期为自供应商递交响应文件截止之日起计算90日。</w:t>
      </w:r>
    </w:p>
    <w:p>
      <w:pPr>
        <w:pageBreakBefore w:val="0"/>
        <w:widowControl w:val="0"/>
        <w:kinsoku/>
        <w:wordWrap/>
        <w:overflowPunct/>
        <w:topLinePunct w:val="0"/>
        <w:autoSpaceDE/>
        <w:autoSpaceDN/>
        <w:bidi w:val="0"/>
        <w:adjustRightInd/>
        <w:snapToGrid/>
        <w:spacing w:line="440" w:lineRule="exact"/>
        <w:ind w:firstLine="420"/>
        <w:textAlignment w:val="auto"/>
        <w:rPr>
          <w:rFonts w:ascii="Times New Roman" w:hAnsi="Times New Roman" w:cs="Times New Roman"/>
          <w:color w:val="auto"/>
          <w:highlight w:val="none"/>
        </w:rPr>
      </w:pPr>
      <w:r>
        <w:rPr>
          <w:rFonts w:hint="eastAsia" w:ascii="仿宋_GB2312" w:hAnsi="仿宋_GB2312" w:eastAsia="仿宋_GB2312" w:cs="仿宋_GB2312"/>
          <w:color w:val="auto"/>
          <w:highlight w:val="none"/>
          <w:lang w:val="en-US" w:eastAsia="zh-CN"/>
        </w:rPr>
        <w:t>3.3.2 在响应有效期内，供应商撤销响应文件的，应承担采购文件和法律规定的责任。</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67" w:name="_Toc14201229"/>
      <w:bookmarkStart w:id="68" w:name="_Toc26656960"/>
      <w:r>
        <w:rPr>
          <w:rFonts w:ascii="Times New Roman" w:hAnsi="Times New Roman" w:eastAsia="黑体" w:cs="Times New Roman"/>
          <w:bCs/>
          <w:color w:val="auto"/>
          <w:sz w:val="24"/>
          <w:szCs w:val="32"/>
          <w:highlight w:val="none"/>
        </w:rPr>
        <w:t>3.4</w:t>
      </w:r>
      <w:bookmarkEnd w:id="67"/>
      <w:bookmarkEnd w:id="68"/>
      <w:r>
        <w:rPr>
          <w:rFonts w:ascii="Times New Roman" w:hAnsi="Times New Roman" w:eastAsia="黑体" w:cs="Times New Roman"/>
          <w:bCs/>
          <w:color w:val="auto"/>
          <w:sz w:val="24"/>
          <w:szCs w:val="32"/>
          <w:highlight w:val="none"/>
        </w:rPr>
        <w:t>响应保证金</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3.4.1 供应商在递交响应文件的同时，应按第一章“采购公告”第7</w:t>
      </w:r>
      <w:r>
        <w:rPr>
          <w:rFonts w:hint="eastAsia" w:ascii="仿宋_GB2312" w:hAnsi="仿宋_GB2312" w:eastAsia="仿宋_GB2312" w:cs="仿宋_GB2312"/>
          <w:color w:val="auto"/>
          <w:highlight w:val="none"/>
        </w:rPr>
        <w:t>款</w:t>
      </w:r>
      <w:r>
        <w:rPr>
          <w:rFonts w:hint="eastAsia" w:ascii="仿宋_GB2312" w:hAnsi="仿宋_GB2312" w:eastAsia="仿宋_GB2312" w:cs="仿宋_GB2312"/>
          <w:color w:val="auto"/>
          <w:highlight w:val="none"/>
          <w:lang w:val="en-US" w:eastAsia="zh-CN"/>
        </w:rPr>
        <w:t>的要求递交响应保证金，并作为其响应文件的组成部分。</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无论采取何种形式的响应保证金，响应保证金有效期均应与响应有效期一致。</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3.4.2 供应商不按本章第3.4.1项要求提交响应保证金的，评审小组将否决其响应文件。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3.4.3 比选人在与成交人签订合同后5日内办理退还响应保证金手续。</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3.4.4 有下列情形之一的，响应保证金将不予退还：</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（1）供应商在规定的响应有效期内撤销其响应文件；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成交候选人无正当理由放弃成交资格的；或成交人无正当理由不与比选人签订合同的；或成交人在签订合同时向比选人提出附加条件或者更改合同实质性内容的；或者成交人不提交采购文件所要求的履约保证金的；</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69" w:name="_Toc26656961"/>
      <w:bookmarkStart w:id="70" w:name="_Toc14201230"/>
      <w:r>
        <w:rPr>
          <w:rFonts w:ascii="Times New Roman" w:hAnsi="Times New Roman" w:eastAsia="黑体" w:cs="Times New Roman"/>
          <w:bCs/>
          <w:color w:val="auto"/>
          <w:sz w:val="24"/>
          <w:szCs w:val="32"/>
          <w:highlight w:val="none"/>
        </w:rPr>
        <w:t>3.5资格审查资料</w:t>
      </w:r>
      <w:bookmarkEnd w:id="69"/>
      <w:bookmarkEnd w:id="70"/>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供应商应按第八章“响应文件格式”的规定提供资格审查资料，以证明其满足本章第1.2款规定的资质、业绩、信誉等要求。</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71" w:name="_Toc26656963"/>
      <w:bookmarkStart w:id="72" w:name="_Toc14201232"/>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bookmarkEnd w:id="71"/>
      <w:bookmarkEnd w:id="72"/>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3.6.1 响应文件应按第八章“响应文件格式”进行编写，在要求盖单位章和（或）签字处，供应商应加盖供应商单位印章和（或）法定代表人的个人印章。如有必要，可以增加附页，作为响应文件的组成部分。其中，响应文件在满足采购文件实质性要求的基础上，可以提出比采购文件要求更有利于比选人的承诺。</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3.6.2 响应文件应当对采购文件有关服务期、响应有效期、质量要求、安全目标、技术标准和要求、采购范围等实质性内容作出响应。</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lang w:eastAsia="zh-CN"/>
        </w:rPr>
      </w:pPr>
      <w:r>
        <w:rPr>
          <w:rFonts w:hint="default" w:ascii="Times New Roman" w:hAnsi="Times New Roman" w:eastAsia="黑体" w:cs="Times New Roman"/>
          <w:bCs/>
          <w:color w:val="auto"/>
          <w:sz w:val="24"/>
          <w:szCs w:val="32"/>
          <w:highlight w:val="none"/>
          <w:lang w:eastAsia="zh-CN"/>
        </w:rPr>
        <w:t>4. 响应文件的递交</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1"/>
          <w:szCs w:val="21"/>
          <w:highlight w:val="none"/>
        </w:rPr>
      </w:pPr>
      <w:bookmarkStart w:id="73" w:name="_Toc14201234"/>
      <w:bookmarkStart w:id="74" w:name="_Toc26656965"/>
      <w:r>
        <w:rPr>
          <w:rFonts w:ascii="Times New Roman" w:hAnsi="Times New Roman" w:eastAsia="黑体" w:cs="Times New Roman"/>
          <w:bCs/>
          <w:color w:val="auto"/>
          <w:sz w:val="21"/>
          <w:szCs w:val="21"/>
          <w:highlight w:val="none"/>
        </w:rPr>
        <w:t>4.1</w:t>
      </w:r>
      <w:bookmarkEnd w:id="73"/>
      <w:bookmarkEnd w:id="74"/>
      <w:r>
        <w:rPr>
          <w:rFonts w:hint="eastAsia" w:ascii="Times New Roman" w:hAnsi="Times New Roman" w:eastAsia="黑体" w:cs="Times New Roman"/>
          <w:bCs/>
          <w:color w:val="auto"/>
          <w:sz w:val="21"/>
          <w:szCs w:val="21"/>
          <w:highlight w:val="none"/>
        </w:rPr>
        <w:t>响应文件的加密</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4.1.1响应文件应按照第一章“采购公告”及本章第3.6项的要求制作。</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1"/>
          <w:szCs w:val="21"/>
          <w:highlight w:val="none"/>
        </w:rPr>
      </w:pPr>
      <w:r>
        <w:rPr>
          <w:rFonts w:ascii="Times New Roman" w:hAnsi="Times New Roman" w:eastAsia="黑体" w:cs="Times New Roman"/>
          <w:bCs/>
          <w:color w:val="auto"/>
          <w:sz w:val="21"/>
          <w:szCs w:val="21"/>
          <w:highlight w:val="none"/>
        </w:rPr>
        <w:t xml:space="preserve">4.2 </w:t>
      </w:r>
      <w:r>
        <w:rPr>
          <w:rFonts w:hint="eastAsia" w:ascii="Times New Roman" w:hAnsi="Times New Roman" w:eastAsia="黑体" w:cs="Times New Roman"/>
          <w:bCs/>
          <w:color w:val="auto"/>
          <w:sz w:val="21"/>
          <w:szCs w:val="21"/>
          <w:highlight w:val="none"/>
        </w:rPr>
        <w:t>响应文件的密封</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4.2.1响应文件应按要求进行密封。</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1"/>
          <w:szCs w:val="21"/>
          <w:highlight w:val="none"/>
        </w:rPr>
      </w:pPr>
      <w:r>
        <w:rPr>
          <w:rFonts w:ascii="Times New Roman" w:hAnsi="Times New Roman" w:eastAsia="黑体" w:cs="Times New Roman"/>
          <w:bCs/>
          <w:color w:val="auto"/>
          <w:sz w:val="21"/>
          <w:szCs w:val="21"/>
          <w:highlight w:val="none"/>
        </w:rPr>
        <w:t xml:space="preserve">4.3 </w:t>
      </w:r>
      <w:r>
        <w:rPr>
          <w:rFonts w:hint="eastAsia" w:ascii="Times New Roman" w:hAnsi="Times New Roman" w:eastAsia="黑体" w:cs="Times New Roman"/>
          <w:bCs/>
          <w:color w:val="auto"/>
          <w:sz w:val="21"/>
          <w:szCs w:val="21"/>
          <w:highlight w:val="none"/>
        </w:rPr>
        <w:t>响应文件的递交</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4.3.1 供应商应在第一章“采购公告”规定的响应文件递交截止时间前递交响应文件，未在响应文件递交截止时间前递交的，视为逾期送达，比选人将拒绝接收。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4.3.2 根据本章第4.1款的规定，供应商递交的响应文件，只要出现应当拒收的情形，其响应文件予以拒收。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4.3.3递交响应文件的供应商数量不足3家时，比选人将宣布本次采购失败，并退还已递交的响应文件。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4.3.4除第4.3.3项规定外，供应商所递交的响应文件不予退还。</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lang w:eastAsia="zh-CN"/>
        </w:rPr>
      </w:pPr>
      <w:r>
        <w:rPr>
          <w:rFonts w:hint="default" w:ascii="Times New Roman" w:hAnsi="Times New Roman" w:eastAsia="黑体" w:cs="Times New Roman"/>
          <w:bCs/>
          <w:color w:val="auto"/>
          <w:sz w:val="24"/>
          <w:szCs w:val="32"/>
          <w:highlight w:val="none"/>
          <w:lang w:eastAsia="zh-CN"/>
        </w:rPr>
        <w:t>5. 启封</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1"/>
          <w:szCs w:val="21"/>
          <w:highlight w:val="none"/>
        </w:rPr>
      </w:pPr>
      <w:bookmarkStart w:id="75" w:name="_Toc14201238"/>
      <w:bookmarkStart w:id="76" w:name="_Toc26656969"/>
      <w:r>
        <w:rPr>
          <w:rFonts w:ascii="Times New Roman" w:hAnsi="Times New Roman" w:eastAsia="黑体" w:cs="Times New Roman"/>
          <w:bCs/>
          <w:color w:val="auto"/>
          <w:sz w:val="21"/>
          <w:szCs w:val="21"/>
          <w:highlight w:val="none"/>
        </w:rPr>
        <w:t>5.1 启封时间和地点</w:t>
      </w:r>
      <w:bookmarkEnd w:id="75"/>
      <w:bookmarkEnd w:id="76"/>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比选人在本章第4.3.1项规定的响应文件递交截止时间（启封时间），按照第一章“采购公告”第6款的规定进行启封。</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1"/>
          <w:szCs w:val="21"/>
          <w:highlight w:val="none"/>
        </w:rPr>
      </w:pPr>
      <w:bookmarkStart w:id="77" w:name="_Toc14201239"/>
      <w:bookmarkStart w:id="78" w:name="_Toc26656970"/>
      <w:r>
        <w:rPr>
          <w:rFonts w:ascii="Times New Roman" w:hAnsi="Times New Roman" w:eastAsia="黑体" w:cs="Times New Roman"/>
          <w:bCs/>
          <w:color w:val="auto"/>
          <w:sz w:val="21"/>
          <w:szCs w:val="21"/>
          <w:highlight w:val="none"/>
        </w:rPr>
        <w:t>5.2</w:t>
      </w:r>
      <w:r>
        <w:rPr>
          <w:rFonts w:hint="eastAsia" w:ascii="Times New Roman" w:hAnsi="Times New Roman" w:eastAsia="黑体" w:cs="Times New Roman"/>
          <w:bCs/>
          <w:color w:val="auto"/>
          <w:sz w:val="21"/>
          <w:szCs w:val="21"/>
          <w:highlight w:val="none"/>
        </w:rPr>
        <w:t>启封</w:t>
      </w:r>
      <w:r>
        <w:rPr>
          <w:rFonts w:ascii="Times New Roman" w:hAnsi="Times New Roman" w:eastAsia="黑体" w:cs="Times New Roman"/>
          <w:bCs/>
          <w:color w:val="auto"/>
          <w:sz w:val="21"/>
          <w:szCs w:val="21"/>
          <w:highlight w:val="none"/>
        </w:rPr>
        <w:t>程序</w:t>
      </w:r>
      <w:bookmarkEnd w:id="77"/>
      <w:bookmarkEnd w:id="78"/>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5.2.1主持人按下列程序进行启封： </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（1）公布在响应文件递交截止时间前递交响应文件的供应商数量；</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（2）供应商代表检查响应文件密封情况；</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（3）开启商务技术响应文件；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（4）开启报价文件；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（5）启封结束。</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5.2.2供应商在启封过程中有疑问的，应当在现场提出，比选人将当场作出答复。</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ind w:firstLine="0" w:firstLineChars="0"/>
        <w:textAlignment w:val="auto"/>
        <w:outlineLvl w:val="1"/>
        <w:rPr>
          <w:rFonts w:hint="default" w:ascii="Times New Roman" w:hAnsi="Times New Roman" w:eastAsia="黑体" w:cs="Times New Roman"/>
          <w:bCs/>
          <w:color w:val="auto"/>
          <w:sz w:val="24"/>
          <w:szCs w:val="32"/>
          <w:highlight w:val="none"/>
          <w:lang w:eastAsia="zh-CN"/>
        </w:rPr>
      </w:pPr>
      <w:bookmarkStart w:id="79" w:name="_Toc9067725"/>
      <w:bookmarkStart w:id="80" w:name="_Toc14201241"/>
      <w:bookmarkStart w:id="81" w:name="_Toc26656972"/>
      <w:r>
        <w:rPr>
          <w:rFonts w:hint="default" w:ascii="Times New Roman" w:hAnsi="Times New Roman" w:eastAsia="黑体" w:cs="Times New Roman"/>
          <w:bCs/>
          <w:color w:val="auto"/>
          <w:sz w:val="24"/>
          <w:szCs w:val="32"/>
          <w:highlight w:val="none"/>
        </w:rPr>
        <w:t>6. 评</w:t>
      </w:r>
      <w:bookmarkEnd w:id="79"/>
      <w:bookmarkEnd w:id="80"/>
      <w:bookmarkEnd w:id="81"/>
      <w:r>
        <w:rPr>
          <w:rFonts w:hint="default" w:ascii="Times New Roman" w:hAnsi="Times New Roman" w:eastAsia="黑体" w:cs="Times New Roman"/>
          <w:bCs/>
          <w:color w:val="auto"/>
          <w:sz w:val="24"/>
          <w:szCs w:val="32"/>
          <w:highlight w:val="none"/>
          <w:lang w:val="en-US" w:eastAsia="zh-CN"/>
        </w:rPr>
        <w:t>审</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lang w:eastAsia="zh-CN"/>
        </w:rPr>
      </w:pPr>
      <w:bookmarkStart w:id="82" w:name="_Toc14201242"/>
      <w:bookmarkStart w:id="83" w:name="_Toc26656973"/>
      <w:r>
        <w:rPr>
          <w:rFonts w:hint="default" w:ascii="Times New Roman" w:hAnsi="Times New Roman" w:eastAsia="黑体" w:cs="Times New Roman"/>
          <w:bCs/>
          <w:color w:val="auto"/>
          <w:sz w:val="24"/>
          <w:szCs w:val="32"/>
          <w:highlight w:val="none"/>
        </w:rPr>
        <w:t>6.1</w:t>
      </w:r>
      <w:bookmarkEnd w:id="82"/>
      <w:bookmarkEnd w:id="83"/>
      <w:r>
        <w:rPr>
          <w:rFonts w:hint="eastAsia" w:ascii="Times New Roman" w:hAnsi="Times New Roman" w:eastAsia="黑体" w:cs="Times New Roman"/>
          <w:bCs/>
          <w:color w:val="auto"/>
          <w:sz w:val="24"/>
          <w:szCs w:val="32"/>
          <w:highlight w:val="none"/>
          <w:lang w:eastAsia="zh-CN"/>
        </w:rPr>
        <w:t>评审小组</w:t>
      </w:r>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评审由</w:t>
      </w:r>
      <w:r>
        <w:rPr>
          <w:rFonts w:hint="eastAsia" w:ascii="仿宋_GB2312" w:hAnsi="仿宋_GB2312" w:eastAsia="仿宋_GB2312" w:cs="仿宋_GB2312"/>
          <w:color w:val="auto"/>
          <w:highlight w:val="none"/>
          <w:lang w:val="en-US" w:eastAsia="zh-CN"/>
        </w:rPr>
        <w:t>比选人自行</w:t>
      </w:r>
      <w:r>
        <w:rPr>
          <w:rFonts w:hint="default" w:ascii="仿宋_GB2312" w:hAnsi="仿宋_GB2312" w:eastAsia="仿宋_GB2312" w:cs="仿宋_GB2312"/>
          <w:color w:val="auto"/>
          <w:highlight w:val="none"/>
          <w:lang w:val="en-US" w:eastAsia="zh-CN"/>
        </w:rPr>
        <w:t>组建的</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负责。</w:t>
      </w:r>
      <w:r>
        <w:rPr>
          <w:rFonts w:hint="eastAsia" w:ascii="仿宋_GB2312" w:hAnsi="仿宋_GB2312" w:eastAsia="仿宋_GB2312" w:cs="仿宋_GB2312"/>
          <w:color w:val="auto"/>
          <w:highlight w:val="none"/>
          <w:lang w:val="en-US" w:eastAsia="zh-CN"/>
        </w:rPr>
        <w:t>评审小组人数：5人及以上单数</w:t>
      </w:r>
      <w:r>
        <w:rPr>
          <w:rFonts w:hint="default" w:ascii="仿宋_GB2312" w:hAnsi="仿宋_GB2312" w:eastAsia="仿宋_GB2312" w:cs="仿宋_GB2312"/>
          <w:color w:val="auto"/>
          <w:highlight w:val="none"/>
          <w:lang w:val="en-US" w:eastAsia="zh-CN"/>
        </w:rPr>
        <w:t>。</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lang w:eastAsia="zh-CN"/>
        </w:rPr>
      </w:pPr>
      <w:bookmarkStart w:id="84" w:name="_Toc26656975"/>
      <w:bookmarkStart w:id="85" w:name="_Toc14201244"/>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84"/>
      <w:bookmarkEnd w:id="85"/>
      <w:r>
        <w:rPr>
          <w:rFonts w:hint="default" w:ascii="Times New Roman" w:hAnsi="Times New Roman" w:eastAsia="黑体" w:cs="Times New Roman"/>
          <w:bCs/>
          <w:color w:val="auto"/>
          <w:sz w:val="24"/>
          <w:szCs w:val="32"/>
          <w:highlight w:val="none"/>
          <w:lang w:val="en-US" w:eastAsia="zh-CN"/>
        </w:rPr>
        <w:t>审</w:t>
      </w:r>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val="en-US" w:eastAsia="zh-CN"/>
        </w:rPr>
        <w:t>2</w:t>
      </w:r>
      <w:r>
        <w:rPr>
          <w:rFonts w:hint="default"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按照第三章</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评审办法</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规定的方法、评审因素、标准和程序对响应文件进行评审。</w:t>
      </w:r>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val="en-US" w:eastAsia="zh-CN"/>
        </w:rPr>
        <w:t>2</w:t>
      </w:r>
      <w:r>
        <w:rPr>
          <w:rFonts w:hint="default" w:ascii="仿宋_GB2312" w:hAnsi="仿宋_GB2312" w:eastAsia="仿宋_GB2312" w:cs="仿宋_GB2312"/>
          <w:color w:val="auto"/>
          <w:highlight w:val="none"/>
          <w:lang w:val="en-US" w:eastAsia="zh-CN"/>
        </w:rPr>
        <w:t>.2评审完成后，</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应向</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提交书面评审报告和成交候选人名单。</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推荐成交候选人的人数</w:t>
      </w:r>
      <w:r>
        <w:rPr>
          <w:rFonts w:hint="eastAsia" w:ascii="仿宋_GB2312" w:hAnsi="仿宋_GB2312" w:eastAsia="仿宋_GB2312" w:cs="仿宋_GB2312"/>
          <w:color w:val="auto"/>
          <w:highlight w:val="none"/>
          <w:lang w:val="en-US" w:eastAsia="zh-CN"/>
        </w:rPr>
        <w:t>为：3人（如不足3人，可以按实际数量推荐）</w:t>
      </w:r>
      <w:r>
        <w:rPr>
          <w:rFonts w:hint="default" w:ascii="仿宋_GB2312" w:hAnsi="仿宋_GB2312" w:eastAsia="仿宋_GB2312" w:cs="仿宋_GB2312"/>
          <w:color w:val="auto"/>
          <w:highlight w:val="none"/>
          <w:lang w:val="en-US" w:eastAsia="zh-CN"/>
        </w:rPr>
        <w:t>。</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ind w:firstLine="0" w:firstLineChars="0"/>
        <w:textAlignment w:val="auto"/>
        <w:outlineLvl w:val="1"/>
        <w:rPr>
          <w:rFonts w:hint="default" w:ascii="Times New Roman" w:hAnsi="Times New Roman" w:eastAsia="黑体" w:cs="Times New Roman"/>
          <w:bCs/>
          <w:color w:val="auto"/>
          <w:sz w:val="24"/>
          <w:szCs w:val="32"/>
          <w:highlight w:val="none"/>
        </w:rPr>
      </w:pPr>
      <w:bookmarkStart w:id="86" w:name="_Toc9067726"/>
      <w:bookmarkStart w:id="87" w:name="_Toc26656976"/>
      <w:bookmarkStart w:id="88" w:name="_Toc14201245"/>
      <w:r>
        <w:rPr>
          <w:rFonts w:hint="default" w:ascii="Times New Roman" w:hAnsi="Times New Roman" w:eastAsia="黑体" w:cs="Times New Roman"/>
          <w:bCs/>
          <w:color w:val="auto"/>
          <w:sz w:val="24"/>
          <w:szCs w:val="32"/>
          <w:highlight w:val="none"/>
        </w:rPr>
        <w:t>7. 合同授予</w:t>
      </w:r>
      <w:bookmarkEnd w:id="86"/>
      <w:bookmarkEnd w:id="87"/>
      <w:bookmarkEnd w:id="88"/>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rPr>
      </w:pPr>
      <w:bookmarkStart w:id="89" w:name="_Toc26656977"/>
      <w:bookmarkStart w:id="90" w:name="_Toc14201246"/>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89"/>
      <w:bookmarkEnd w:id="90"/>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公示期不得少于</w:t>
      </w:r>
      <w:r>
        <w:rPr>
          <w:rFonts w:hint="eastAsia" w:ascii="仿宋_GB2312" w:hAnsi="仿宋_GB2312" w:eastAsia="仿宋_GB2312" w:cs="仿宋_GB2312"/>
          <w:color w:val="auto"/>
          <w:highlight w:val="none"/>
          <w:lang w:val="en-US" w:eastAsia="zh-CN"/>
        </w:rPr>
        <w:t>3</w:t>
      </w:r>
      <w:r>
        <w:rPr>
          <w:rFonts w:hint="default" w:ascii="仿宋_GB2312" w:hAnsi="仿宋_GB2312" w:eastAsia="仿宋_GB2312" w:cs="仿宋_GB2312"/>
          <w:color w:val="auto"/>
          <w:highlight w:val="none"/>
          <w:lang w:val="en-US" w:eastAsia="zh-CN"/>
        </w:rPr>
        <w:t>日。</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rPr>
      </w:pPr>
      <w:bookmarkStart w:id="91" w:name="_Toc14201247"/>
      <w:bookmarkStart w:id="92" w:name="_Toc26656978"/>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91"/>
      <w:bookmarkEnd w:id="92"/>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供应商或其他利害关系人对评审结果有异议的，应在成交候选人公示期间</w:t>
      </w:r>
      <w:r>
        <w:rPr>
          <w:rFonts w:hint="eastAsia" w:ascii="仿宋_GB2312" w:hAnsi="仿宋_GB2312" w:eastAsia="仿宋_GB2312" w:cs="仿宋_GB2312"/>
          <w:color w:val="auto"/>
          <w:highlight w:val="none"/>
          <w:lang w:val="en-US" w:eastAsia="zh-CN"/>
        </w:rPr>
        <w:t>书面</w:t>
      </w:r>
      <w:r>
        <w:rPr>
          <w:rFonts w:hint="default" w:ascii="仿宋_GB2312" w:hAnsi="仿宋_GB2312" w:eastAsia="仿宋_GB2312" w:cs="仿宋_GB2312"/>
          <w:color w:val="auto"/>
          <w:highlight w:val="none"/>
          <w:lang w:val="en-US" w:eastAsia="zh-CN"/>
        </w:rPr>
        <w:t>提出。</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rPr>
      </w:pPr>
      <w:bookmarkStart w:id="93" w:name="_Toc26656979"/>
      <w:bookmarkStart w:id="94" w:name="_Toc14201248"/>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93"/>
      <w:bookmarkEnd w:id="94"/>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成交候选人的经营、财务状况发生较大变化或存在违法行为，</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认为可能影响其履约能力的，将在发出成交通知书前提请原</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按照</w:t>
      </w:r>
      <w:r>
        <w:rPr>
          <w:rFonts w:hint="eastAsia" w:ascii="仿宋_GB2312" w:hAnsi="仿宋_GB2312" w:eastAsia="仿宋_GB2312" w:cs="仿宋_GB2312"/>
          <w:color w:val="auto"/>
          <w:highlight w:val="none"/>
          <w:lang w:val="en-US" w:eastAsia="zh-CN"/>
        </w:rPr>
        <w:t>采购</w:t>
      </w:r>
      <w:r>
        <w:rPr>
          <w:rFonts w:hint="default" w:ascii="仿宋_GB2312" w:hAnsi="仿宋_GB2312" w:eastAsia="仿宋_GB2312" w:cs="仿宋_GB2312"/>
          <w:color w:val="auto"/>
          <w:highlight w:val="none"/>
          <w:lang w:val="en-US" w:eastAsia="zh-CN"/>
        </w:rPr>
        <w:t>文件规定的标准和方法进行审查确认。</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rPr>
      </w:pPr>
      <w:bookmarkStart w:id="95" w:name="_Toc14201250"/>
      <w:bookmarkStart w:id="96" w:name="_Toc26656981"/>
      <w:r>
        <w:rPr>
          <w:rFonts w:hint="default" w:ascii="Times New Roman" w:hAnsi="Times New Roman" w:eastAsia="黑体" w:cs="Times New Roman"/>
          <w:bCs/>
          <w:color w:val="auto"/>
          <w:sz w:val="24"/>
          <w:szCs w:val="32"/>
          <w:highlight w:val="none"/>
        </w:rPr>
        <w:t>7.</w:t>
      </w:r>
      <w:bookmarkEnd w:id="95"/>
      <w:bookmarkEnd w:id="96"/>
      <w:bookmarkStart w:id="97" w:name="_Toc26656983"/>
      <w:bookmarkStart w:id="98" w:name="_Toc14201252"/>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履约保证金</w:t>
      </w:r>
      <w:bookmarkEnd w:id="97"/>
      <w:bookmarkEnd w:id="98"/>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7.4.1在签订合同前，成交人应向</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提交履约保证金。履约保证金</w:t>
      </w:r>
      <w:r>
        <w:rPr>
          <w:rFonts w:hint="eastAsia" w:ascii="仿宋_GB2312" w:hAnsi="仿宋_GB2312" w:eastAsia="仿宋_GB2312" w:cs="仿宋_GB2312"/>
          <w:color w:val="auto"/>
          <w:highlight w:val="none"/>
          <w:lang w:val="en-US" w:eastAsia="zh-CN"/>
        </w:rPr>
        <w:t>的金额</w:t>
      </w:r>
      <w:r>
        <w:rPr>
          <w:rFonts w:hint="default" w:ascii="仿宋_GB2312" w:hAnsi="仿宋_GB2312" w:eastAsia="仿宋_GB2312" w:cs="仿宋_GB2312"/>
          <w:color w:val="auto"/>
          <w:highlight w:val="none"/>
          <w:lang w:val="en-US" w:eastAsia="zh-CN"/>
        </w:rPr>
        <w:t>为</w:t>
      </w:r>
      <w:r>
        <w:rPr>
          <w:rFonts w:hint="eastAsia" w:ascii="仿宋_GB2312" w:hAnsi="仿宋_GB2312" w:eastAsia="仿宋_GB2312" w:cs="仿宋_GB2312"/>
          <w:color w:val="auto"/>
          <w:highlight w:val="none"/>
          <w:lang w:val="en-US" w:eastAsia="zh-CN"/>
        </w:rPr>
        <w:t>成交价的5%，履约保证金的形式为银行转账或履约保函</w:t>
      </w:r>
      <w:r>
        <w:rPr>
          <w:rFonts w:hint="default" w:ascii="仿宋_GB2312" w:hAnsi="仿宋_GB2312" w:eastAsia="仿宋_GB2312" w:cs="仿宋_GB2312"/>
          <w:color w:val="auto"/>
          <w:highlight w:val="none"/>
          <w:lang w:val="en-US" w:eastAsia="zh-CN"/>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7.4.2 成交人不能按本章第7.</w:t>
      </w:r>
      <w:r>
        <w:rPr>
          <w:rFonts w:hint="eastAsia" w:ascii="仿宋_GB2312" w:hAnsi="仿宋_GB2312" w:eastAsia="仿宋_GB2312" w:cs="仿宋_GB2312"/>
          <w:color w:val="auto"/>
          <w:highlight w:val="none"/>
          <w:lang w:val="en-US" w:eastAsia="zh-CN"/>
        </w:rPr>
        <w:t>4</w:t>
      </w:r>
      <w:r>
        <w:rPr>
          <w:rFonts w:hint="default" w:ascii="仿宋_GB2312" w:hAnsi="仿宋_GB2312" w:eastAsia="仿宋_GB2312" w:cs="仿宋_GB2312"/>
          <w:color w:val="auto"/>
          <w:highlight w:val="none"/>
          <w:lang w:val="en-US" w:eastAsia="zh-CN"/>
        </w:rPr>
        <w:t>.1项要求提交履约保证金的，视为放弃成交候选人，其响应保证金不予退还，给</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造成的损失超过响应保证金数额的，成交人还应当对超过部分予以赔偿。</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rPr>
      </w:pPr>
      <w:bookmarkStart w:id="99" w:name="_Toc26656984"/>
      <w:bookmarkStart w:id="100" w:name="_Toc14201253"/>
      <w:r>
        <w:rPr>
          <w:rFonts w:hint="default" w:ascii="Times New Roman" w:hAnsi="Times New Roman" w:eastAsia="黑体" w:cs="Times New Roman"/>
          <w:bCs/>
          <w:color w:val="auto"/>
          <w:sz w:val="24"/>
          <w:szCs w:val="32"/>
          <w:highlight w:val="none"/>
        </w:rPr>
        <w:t>7.</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签订合同</w:t>
      </w:r>
      <w:bookmarkEnd w:id="99"/>
      <w:bookmarkEnd w:id="100"/>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和成交人应在响应有效期内以及成交通知书发出之日起30日内，根据</w:t>
      </w:r>
      <w:r>
        <w:rPr>
          <w:rFonts w:hint="eastAsia" w:ascii="仿宋_GB2312" w:hAnsi="仿宋_GB2312" w:eastAsia="仿宋_GB2312" w:cs="仿宋_GB2312"/>
          <w:color w:val="auto"/>
          <w:highlight w:val="none"/>
          <w:lang w:val="en-US" w:eastAsia="zh-CN"/>
        </w:rPr>
        <w:t>采购</w:t>
      </w:r>
      <w:r>
        <w:rPr>
          <w:rFonts w:hint="default" w:ascii="仿宋_GB2312" w:hAnsi="仿宋_GB2312" w:eastAsia="仿宋_GB2312" w:cs="仿宋_GB2312"/>
          <w:color w:val="auto"/>
          <w:highlight w:val="none"/>
          <w:lang w:val="en-US" w:eastAsia="zh-CN"/>
        </w:rPr>
        <w:t>文件和成交人的响应文件订立书面合同。成交人无正当理由拒签合同，在签订合同时向</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提出附加条件，或不按照</w:t>
      </w:r>
      <w:r>
        <w:rPr>
          <w:rFonts w:hint="eastAsia" w:ascii="仿宋_GB2312" w:hAnsi="仿宋_GB2312" w:eastAsia="仿宋_GB2312" w:cs="仿宋_GB2312"/>
          <w:color w:val="auto"/>
          <w:highlight w:val="none"/>
          <w:lang w:val="en-US" w:eastAsia="zh-CN"/>
        </w:rPr>
        <w:t>采购</w:t>
      </w:r>
      <w:r>
        <w:rPr>
          <w:rFonts w:hint="default" w:ascii="仿宋_GB2312" w:hAnsi="仿宋_GB2312" w:eastAsia="仿宋_GB2312" w:cs="仿宋_GB2312"/>
          <w:color w:val="auto"/>
          <w:highlight w:val="none"/>
          <w:lang w:val="en-US" w:eastAsia="zh-CN"/>
        </w:rPr>
        <w:t>文件要求提交履约保证金的，</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取消其成交资格，其响应保证金不予退还；给</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造成的损失超过响应保证金数额的，成交人还应对超过部分予以赔偿。</w:t>
      </w:r>
      <w:r>
        <w:rPr>
          <w:rFonts w:hint="eastAsia" w:ascii="仿宋_GB2312" w:hAnsi="仿宋_GB2312" w:eastAsia="仿宋_GB2312" w:cs="仿宋_GB2312"/>
          <w:color w:val="auto"/>
          <w:highlight w:val="none"/>
          <w:lang w:val="en-US" w:eastAsia="zh-CN"/>
        </w:rPr>
        <w:t>签约合同价的确定以启封时宣布的报价与经供应商确认的修正（如有）后的报价中较低的为准。</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ind w:firstLine="0" w:firstLineChars="0"/>
        <w:textAlignment w:val="auto"/>
        <w:outlineLvl w:val="1"/>
        <w:rPr>
          <w:rFonts w:hint="default" w:ascii="Times New Roman" w:hAnsi="Times New Roman" w:eastAsia="黑体" w:cs="Times New Roman"/>
          <w:bCs/>
          <w:color w:val="auto"/>
          <w:sz w:val="24"/>
          <w:szCs w:val="32"/>
          <w:highlight w:val="none"/>
        </w:rPr>
      </w:pPr>
      <w:bookmarkStart w:id="101" w:name="_Toc26656988"/>
      <w:bookmarkStart w:id="102" w:name="_Toc14201257"/>
      <w:bookmarkStart w:id="103" w:name="_Toc9067727"/>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01"/>
      <w:bookmarkEnd w:id="102"/>
      <w:bookmarkEnd w:id="103"/>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供应商不得相互串通报价或与</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串通报价，不得向</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或</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成员行贿谋取成交，不得以他人名义报价或以其他方式弄虚作假骗取成交；供应商不得以任何方式干扰、影响评审工作。</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ind w:firstLine="0" w:firstLineChars="0"/>
        <w:textAlignment w:val="auto"/>
        <w:outlineLvl w:val="1"/>
        <w:rPr>
          <w:rFonts w:hint="default" w:ascii="Times New Roman" w:hAnsi="Times New Roman" w:eastAsia="黑体" w:cs="Times New Roman"/>
          <w:bCs/>
          <w:color w:val="auto"/>
          <w:sz w:val="24"/>
          <w:szCs w:val="32"/>
          <w:highlight w:val="none"/>
        </w:rPr>
      </w:pPr>
      <w:bookmarkStart w:id="104" w:name="_Toc26656993"/>
      <w:bookmarkStart w:id="105" w:name="_Toc14201262"/>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04"/>
      <w:bookmarkEnd w:id="105"/>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9.1 供应商或其他利害关系人认为采购活动不符合法律法规规定的，可以自知道或应当知道之日起10日内向有关监督部门投诉。投诉应有明确的请求和必要的证明材料。</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9.2 监督部门联系方式：0551-62265219。</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ind w:firstLine="0" w:firstLineChars="0"/>
        <w:textAlignment w:val="auto"/>
        <w:outlineLvl w:val="1"/>
        <w:rPr>
          <w:rFonts w:hint="default" w:ascii="Times New Roman" w:hAnsi="Times New Roman" w:eastAsia="黑体" w:cs="Times New Roman"/>
          <w:bCs/>
          <w:color w:val="auto"/>
          <w:sz w:val="24"/>
          <w:szCs w:val="32"/>
          <w:highlight w:val="none"/>
        </w:rPr>
      </w:pPr>
      <w:bookmarkStart w:id="106" w:name="_Toc9067731"/>
      <w:bookmarkStart w:id="107" w:name="_Toc14201263"/>
      <w:bookmarkStart w:id="108" w:name="_Toc26656994"/>
      <w:r>
        <w:rPr>
          <w:rFonts w:hint="eastAsia" w:ascii="Times New Roman" w:hAnsi="Times New Roman" w:eastAsia="黑体" w:cs="Times New Roman"/>
          <w:bCs/>
          <w:color w:val="auto"/>
          <w:sz w:val="24"/>
          <w:szCs w:val="32"/>
          <w:highlight w:val="none"/>
          <w:lang w:val="en-US" w:eastAsia="zh-CN"/>
        </w:rPr>
        <w:t>10</w:t>
      </w:r>
      <w:r>
        <w:rPr>
          <w:rFonts w:hint="default"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lang w:val="en-US" w:eastAsia="zh-CN"/>
        </w:rPr>
        <w:t xml:space="preserve"> </w:t>
      </w:r>
      <w:r>
        <w:rPr>
          <w:rFonts w:hint="default" w:ascii="Times New Roman" w:hAnsi="Times New Roman" w:eastAsia="黑体" w:cs="Times New Roman"/>
          <w:bCs/>
          <w:color w:val="auto"/>
          <w:sz w:val="24"/>
          <w:szCs w:val="32"/>
          <w:highlight w:val="none"/>
        </w:rPr>
        <w:t>需要补充的其他内容</w:t>
      </w:r>
      <w:bookmarkEnd w:id="106"/>
      <w:bookmarkEnd w:id="107"/>
      <w:bookmarkEnd w:id="108"/>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需要补充的其他内容：</w:t>
      </w:r>
      <w:r>
        <w:rPr>
          <w:rFonts w:hint="eastAsia" w:ascii="仿宋_GB2312" w:hAnsi="仿宋_GB2312" w:eastAsia="仿宋_GB2312" w:cs="仿宋_GB2312"/>
          <w:color w:val="auto"/>
          <w:highlight w:val="none"/>
          <w:lang w:val="en-US" w:eastAsia="zh-CN"/>
        </w:rPr>
        <w:t>合同签订前成交人应向比选人免费提供装订成册的响应文件2份。</w:t>
      </w:r>
    </w:p>
    <w:p>
      <w:pPr>
        <w:spacing w:line="440" w:lineRule="exact"/>
        <w:ind w:firstLine="420"/>
        <w:rPr>
          <w:rFonts w:ascii="Times New Roman" w:hAnsi="Times New Roman" w:cs="Times New Roman"/>
          <w:color w:val="auto"/>
          <w:highlight w:val="none"/>
        </w:rPr>
      </w:pPr>
    </w:p>
    <w:p>
      <w:pPr>
        <w:pStyle w:val="2"/>
        <w:rPr>
          <w:rFonts w:ascii="Times New Roman" w:hAnsi="Times New Roman" w:cs="Times New Roman"/>
          <w:color w:val="auto"/>
          <w:highlight w:val="none"/>
        </w:rPr>
      </w:pPr>
    </w:p>
    <w:p>
      <w:pPr>
        <w:rPr>
          <w:rFonts w:ascii="Times New Roman" w:hAnsi="Times New Roman" w:cs="Times New Roman"/>
          <w:color w:val="auto"/>
          <w:highlight w:val="none"/>
        </w:rPr>
      </w:pPr>
    </w:p>
    <w:p>
      <w:pPr>
        <w:pStyle w:val="2"/>
        <w:rPr>
          <w:rFonts w:ascii="Times New Roman" w:hAnsi="Times New Roman" w:cs="Times New Roman"/>
          <w:color w:val="auto"/>
          <w:highlight w:val="none"/>
        </w:rPr>
      </w:pPr>
    </w:p>
    <w:p>
      <w:pPr>
        <w:rPr>
          <w:rFonts w:ascii="Times New Roman" w:hAnsi="Times New Roman" w:cs="Times New Roman"/>
          <w:color w:val="auto"/>
          <w:highlight w:val="none"/>
        </w:rPr>
      </w:pPr>
    </w:p>
    <w:p>
      <w:pPr>
        <w:pStyle w:val="12"/>
        <w:rPr>
          <w:rFonts w:ascii="Times New Roman" w:hAnsi="Times New Roman" w:cs="Times New Roman"/>
          <w:color w:val="auto"/>
          <w:highlight w:val="none"/>
        </w:rPr>
      </w:pPr>
    </w:p>
    <w:p>
      <w:pPr>
        <w:rPr>
          <w:rFonts w:ascii="Times New Roman" w:hAnsi="Times New Roman" w:cs="Times New Roman"/>
          <w:color w:val="auto"/>
          <w:highlight w:val="none"/>
        </w:rPr>
      </w:pPr>
    </w:p>
    <w:p>
      <w:pPr>
        <w:pStyle w:val="12"/>
        <w:rPr>
          <w:rFonts w:ascii="Times New Roman" w:hAnsi="Times New Roman" w:cs="Times New Roman"/>
          <w:color w:val="auto"/>
          <w:highlight w:val="none"/>
        </w:rPr>
      </w:pPr>
    </w:p>
    <w:p>
      <w:pPr>
        <w:rPr>
          <w:rFonts w:ascii="Times New Roman" w:hAnsi="Times New Roman" w:cs="Times New Roman"/>
          <w:color w:val="auto"/>
          <w:highlight w:val="none"/>
        </w:rPr>
      </w:pPr>
    </w:p>
    <w:p>
      <w:pPr>
        <w:pStyle w:val="12"/>
        <w:rPr>
          <w:rFonts w:ascii="Times New Roman" w:hAnsi="Times New Roman" w:cs="Times New Roman"/>
          <w:color w:val="auto"/>
          <w:highlight w:val="none"/>
        </w:rPr>
      </w:pPr>
    </w:p>
    <w:p>
      <w:pPr>
        <w:rPr>
          <w:rFonts w:ascii="Times New Roman" w:hAnsi="Times New Roman" w:cs="Times New Roman"/>
          <w:color w:val="auto"/>
          <w:highlight w:val="none"/>
        </w:rPr>
      </w:pPr>
    </w:p>
    <w:p>
      <w:pPr>
        <w:pStyle w:val="12"/>
      </w:pPr>
    </w:p>
    <w:p>
      <w:pPr>
        <w:rPr>
          <w:rFonts w:ascii="Times New Roman" w:hAnsi="Times New Roman" w:cs="Times New Roman"/>
          <w:color w:val="auto"/>
          <w:highlight w:val="none"/>
        </w:rPr>
      </w:pPr>
    </w:p>
    <w:p>
      <w:pPr>
        <w:pStyle w:val="12"/>
      </w:pPr>
    </w:p>
    <w:p/>
    <w:p>
      <w:pPr>
        <w:pStyle w:val="12"/>
      </w:pPr>
    </w:p>
    <w:p/>
    <w:p>
      <w:pPr>
        <w:pStyle w:val="12"/>
      </w:pPr>
    </w:p>
    <w:p>
      <w:pPr>
        <w:rPr>
          <w:rFonts w:hint="eastAsia" w:asciiTheme="majorEastAsia" w:hAnsiTheme="majorEastAsia" w:eastAsiaTheme="majorEastAsia" w:cstheme="majorEastAsia"/>
          <w:highlight w:val="none"/>
          <w:lang w:val="en-US" w:eastAsia="zh-CN"/>
        </w:rPr>
      </w:pPr>
      <w:bookmarkStart w:id="109" w:name="_Toc22706"/>
      <w:r>
        <w:rPr>
          <w:rFonts w:hint="eastAsia" w:asciiTheme="majorEastAsia" w:hAnsiTheme="majorEastAsia" w:eastAsiaTheme="majorEastAsia" w:cstheme="majorEastAsia"/>
          <w:highlight w:val="none"/>
          <w:lang w:val="en-US" w:eastAsia="zh-CN"/>
        </w:rPr>
        <w:br w:type="page"/>
      </w:r>
    </w:p>
    <w:p>
      <w:pPr>
        <w:pStyle w:val="5"/>
        <w:numPr>
          <w:ilvl w:val="0"/>
          <w:numId w:val="0"/>
        </w:numPr>
        <w:bidi w:val="0"/>
        <w:spacing w:line="240" w:lineRule="auto"/>
        <w:ind w:left="0" w:leftChars="0" w:firstLine="0" w:firstLineChars="0"/>
        <w:rPr>
          <w:rFonts w:hint="default" w:ascii="Times New Roman" w:hAnsi="Times New Roman" w:eastAsia="黑体" w:cs="Times New Roman"/>
          <w:sz w:val="28"/>
          <w:szCs w:val="28"/>
          <w:highlight w:val="none"/>
        </w:rPr>
      </w:pPr>
      <w:r>
        <w:rPr>
          <w:rFonts w:hint="eastAsia" w:ascii="方正小标宋_GBK" w:hAnsi="方正小标宋_GBK" w:eastAsia="方正小标宋_GBK" w:cs="方正小标宋_GBK"/>
          <w:b/>
          <w:kern w:val="44"/>
          <w:sz w:val="36"/>
          <w:szCs w:val="36"/>
          <w:lang w:val="en-US" w:eastAsia="zh-CN" w:bidi="ar-SA"/>
        </w:rPr>
        <w:t>第三章</w:t>
      </w:r>
      <w:r>
        <w:rPr>
          <w:rFonts w:hint="eastAsia" w:asciiTheme="majorEastAsia" w:hAnsiTheme="majorEastAsia" w:eastAsiaTheme="majorEastAsia" w:cstheme="majorEastAsia"/>
          <w:highlight w:val="none"/>
          <w:lang w:val="en-US" w:eastAsia="zh-CN"/>
        </w:rPr>
        <w:t>评审办法（综合评分法）</w:t>
      </w:r>
      <w:bookmarkEnd w:id="109"/>
    </w:p>
    <w:tbl>
      <w:tblPr>
        <w:tblStyle w:val="24"/>
        <w:tblW w:w="9202"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059"/>
        <w:gridCol w:w="1773"/>
        <w:gridCol w:w="56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51" w:type="dxa"/>
            <w:gridSpan w:val="2"/>
            <w:vAlign w:val="top"/>
          </w:tcPr>
          <w:p>
            <w:pPr>
              <w:kinsoku w:val="0"/>
              <w:autoSpaceDE w:val="0"/>
              <w:autoSpaceDN w:val="0"/>
              <w:adjustRightInd w:val="0"/>
              <w:snapToGrid w:val="0"/>
              <w:spacing w:before="184" w:line="228" w:lineRule="auto"/>
              <w:ind w:left="56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条款号</w:t>
            </w:r>
          </w:p>
        </w:tc>
        <w:tc>
          <w:tcPr>
            <w:tcW w:w="1773" w:type="dxa"/>
            <w:vAlign w:val="top"/>
          </w:tcPr>
          <w:p>
            <w:pPr>
              <w:kinsoku w:val="0"/>
              <w:autoSpaceDE w:val="0"/>
              <w:autoSpaceDN w:val="0"/>
              <w:adjustRightInd w:val="0"/>
              <w:snapToGrid w:val="0"/>
              <w:spacing w:before="184" w:line="228" w:lineRule="auto"/>
              <w:ind w:left="5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评审因素</w:t>
            </w:r>
          </w:p>
        </w:tc>
        <w:tc>
          <w:tcPr>
            <w:tcW w:w="5678" w:type="dxa"/>
            <w:vAlign w:val="top"/>
          </w:tcPr>
          <w:p>
            <w:pPr>
              <w:kinsoku w:val="0"/>
              <w:autoSpaceDE w:val="0"/>
              <w:autoSpaceDN w:val="0"/>
              <w:adjustRightInd w:val="0"/>
              <w:snapToGrid w:val="0"/>
              <w:spacing w:before="183" w:line="229" w:lineRule="auto"/>
              <w:ind w:left="247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692" w:type="dxa"/>
            <w:vAlign w:val="top"/>
          </w:tcPr>
          <w:p>
            <w:pPr>
              <w:widowControl/>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58" w:line="195" w:lineRule="auto"/>
              <w:ind w:left="31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1</w:t>
            </w:r>
          </w:p>
        </w:tc>
        <w:tc>
          <w:tcPr>
            <w:tcW w:w="1059"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65"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评审方法</w:t>
            </w:r>
          </w:p>
        </w:tc>
        <w:tc>
          <w:tcPr>
            <w:tcW w:w="1773" w:type="dxa"/>
            <w:vAlign w:val="top"/>
          </w:tcPr>
          <w:p>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0" w:line="240" w:lineRule="auto"/>
              <w:ind w:right="0"/>
              <w:jc w:val="center"/>
              <w:textAlignment w:val="baseline"/>
              <w:rPr>
                <w:rFonts w:ascii="宋体" w:hAnsi="宋体" w:eastAsia="宋体" w:cs="宋体"/>
                <w:snapToGrid w:val="0"/>
                <w:color w:val="000000"/>
                <w:spacing w:val="7"/>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成交候选人</w:t>
            </w:r>
          </w:p>
          <w:p>
            <w:pPr>
              <w:keepNext w:val="0"/>
              <w:keepLines w:val="0"/>
              <w:pageBreakBefore w:val="0"/>
              <w:widowControl/>
              <w:kinsoku w:val="0"/>
              <w:wordWrap/>
              <w:overflowPunct/>
              <w:topLinePunct w:val="0"/>
              <w:autoSpaceDE w:val="0"/>
              <w:autoSpaceDN w:val="0"/>
              <w:bidi w:val="0"/>
              <w:adjustRightInd w:val="0"/>
              <w:snapToGrid w:val="0"/>
              <w:spacing w:before="0" w:line="240" w:lineRule="auto"/>
              <w:ind w:right="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排序方法</w:t>
            </w:r>
          </w:p>
        </w:tc>
        <w:tc>
          <w:tcPr>
            <w:tcW w:w="5678" w:type="dxa"/>
            <w:vAlign w:val="top"/>
          </w:tcPr>
          <w:p>
            <w:pPr>
              <w:kinsoku w:val="0"/>
              <w:autoSpaceDE w:val="0"/>
              <w:autoSpaceDN w:val="0"/>
              <w:adjustRightInd w:val="0"/>
              <w:snapToGrid w:val="0"/>
              <w:spacing w:before="32" w:line="228" w:lineRule="auto"/>
              <w:ind w:left="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按综合得分由高到低的顺序依次推荐成交候选人：</w:t>
            </w:r>
          </w:p>
          <w:p>
            <w:pPr>
              <w:kinsoku w:val="0"/>
              <w:autoSpaceDE w:val="0"/>
              <w:autoSpaceDN w:val="0"/>
              <w:adjustRightInd w:val="0"/>
              <w:snapToGrid w:val="0"/>
              <w:spacing w:before="26" w:line="248" w:lineRule="auto"/>
              <w:jc w:val="left"/>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spacing w:val="6"/>
                <w:kern w:val="0"/>
                <w:sz w:val="20"/>
                <w:szCs w:val="20"/>
                <w:lang w:val="en-US" w:eastAsia="zh-CN" w:bidi="ar-SA"/>
              </w:rPr>
              <w:t>当</w:t>
            </w:r>
            <w:r>
              <w:rPr>
                <w:rFonts w:ascii="宋体" w:hAnsi="宋体" w:eastAsia="宋体" w:cs="宋体"/>
                <w:snapToGrid w:val="0"/>
                <w:color w:val="000000"/>
                <w:spacing w:val="6"/>
                <w:kern w:val="0"/>
                <w:sz w:val="20"/>
                <w:szCs w:val="20"/>
                <w:lang w:val="en-US" w:eastAsia="en-US" w:bidi="ar-SA"/>
              </w:rPr>
              <w:t>综合得分相等时，以评审价得分高的优先；评审价得分也</w:t>
            </w:r>
            <w:r>
              <w:rPr>
                <w:rFonts w:ascii="宋体" w:hAnsi="宋体" w:eastAsia="宋体" w:cs="宋体"/>
                <w:snapToGrid w:val="0"/>
                <w:color w:val="000000"/>
                <w:spacing w:val="7"/>
                <w:kern w:val="0"/>
                <w:sz w:val="20"/>
                <w:szCs w:val="20"/>
                <w:lang w:val="en-US" w:eastAsia="en-US" w:bidi="ar-SA"/>
              </w:rPr>
              <w:t>相等的，以评审价低的优先；评审价也相等的，以递交响应文件在前的优先</w:t>
            </w:r>
            <w:r>
              <w:rPr>
                <w:rFonts w:hint="eastAsia" w:ascii="宋体" w:hAnsi="宋体" w:eastAsia="宋体" w:cs="宋体"/>
                <w:snapToGrid w:val="0"/>
                <w:color w:val="000000"/>
                <w:spacing w:val="7"/>
                <w:kern w:val="0"/>
                <w:sz w:val="20"/>
                <w:szCs w:val="20"/>
                <w:lang w:val="en-US" w:eastAsia="zh-CN" w:bidi="ar-SA"/>
              </w:rPr>
              <w:t>。</w:t>
            </w:r>
          </w:p>
        </w:tc>
      </w:tr>
    </w:tbl>
    <w:p>
      <w:pPr>
        <w:pStyle w:val="12"/>
        <w:jc w:val="both"/>
        <w:rPr>
          <w:rFonts w:hint="default"/>
        </w:rPr>
      </w:pPr>
    </w:p>
    <w:tbl>
      <w:tblPr>
        <w:tblStyle w:val="24"/>
        <w:tblW w:w="9202"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095"/>
        <w:gridCol w:w="1757"/>
        <w:gridCol w:w="56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83" w:type="dxa"/>
            <w:gridSpan w:val="2"/>
            <w:vAlign w:val="top"/>
          </w:tcPr>
          <w:p>
            <w:pPr>
              <w:kinsoku w:val="0"/>
              <w:autoSpaceDE w:val="0"/>
              <w:autoSpaceDN w:val="0"/>
              <w:adjustRightInd w:val="0"/>
              <w:snapToGrid w:val="0"/>
              <w:spacing w:before="227" w:line="228" w:lineRule="auto"/>
              <w:ind w:left="58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条款号</w:t>
            </w:r>
          </w:p>
        </w:tc>
        <w:tc>
          <w:tcPr>
            <w:tcW w:w="1757" w:type="dxa"/>
            <w:vAlign w:val="top"/>
          </w:tcPr>
          <w:p>
            <w:pPr>
              <w:kinsoku w:val="0"/>
              <w:autoSpaceDE w:val="0"/>
              <w:autoSpaceDN w:val="0"/>
              <w:adjustRightInd w:val="0"/>
              <w:snapToGrid w:val="0"/>
              <w:spacing w:before="227" w:line="228" w:lineRule="auto"/>
              <w:ind w:left="46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评审因素</w:t>
            </w:r>
          </w:p>
        </w:tc>
        <w:tc>
          <w:tcPr>
            <w:tcW w:w="5662" w:type="dxa"/>
            <w:vAlign w:val="top"/>
          </w:tcPr>
          <w:p>
            <w:pPr>
              <w:kinsoku w:val="0"/>
              <w:autoSpaceDE w:val="0"/>
              <w:autoSpaceDN w:val="0"/>
              <w:adjustRightInd w:val="0"/>
              <w:snapToGrid w:val="0"/>
              <w:spacing w:before="226" w:line="229" w:lineRule="auto"/>
              <w:ind w:left="24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restart"/>
            <w:tcBorders>
              <w:bottom w:val="nil"/>
            </w:tcBorders>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57" w:line="195" w:lineRule="auto"/>
              <w:ind w:left="13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2.</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1.1</w:t>
            </w:r>
          </w:p>
        </w:tc>
        <w:tc>
          <w:tcPr>
            <w:tcW w:w="109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形式</w:t>
            </w:r>
            <w:r>
              <w:rPr>
                <w:rFonts w:hint="eastAsia" w:ascii="宋体" w:hAnsi="宋体" w:eastAsia="宋体" w:cs="宋体"/>
                <w:snapToGrid w:val="0"/>
                <w:color w:val="000000"/>
                <w:kern w:val="0"/>
                <w:sz w:val="20"/>
                <w:szCs w:val="20"/>
                <w:lang w:val="en-US" w:eastAsia="en-US" w:bidi="ar-SA"/>
              </w:rPr>
              <w:t>评审</w:t>
            </w:r>
          </w:p>
          <w:p>
            <w:pPr>
              <w:keepNext w:val="0"/>
              <w:keepLines w:val="0"/>
              <w:pageBreakBefore w:val="0"/>
              <w:widowControl/>
              <w:kinsoku w:val="0"/>
              <w:wordWrap/>
              <w:overflowPunct/>
              <w:topLinePunct w:val="0"/>
              <w:autoSpaceDE w:val="0"/>
              <w:autoSpaceDN w:val="0"/>
              <w:bidi w:val="0"/>
              <w:adjustRightInd w:val="0"/>
              <w:snapToGrid w:val="0"/>
              <w:spacing w:before="0" w:line="240" w:lineRule="auto"/>
              <w:ind w:right="0"/>
              <w:jc w:val="center"/>
              <w:textAlignment w:val="baseline"/>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标准</w:t>
            </w:r>
          </w:p>
        </w:tc>
        <w:tc>
          <w:tcPr>
            <w:tcW w:w="1757" w:type="dxa"/>
            <w:vAlign w:val="top"/>
          </w:tcPr>
          <w:p>
            <w:pPr>
              <w:kinsoku w:val="0"/>
              <w:autoSpaceDE w:val="0"/>
              <w:autoSpaceDN w:val="0"/>
              <w:adjustRightInd w:val="0"/>
              <w:snapToGrid w:val="0"/>
              <w:spacing w:before="221" w:line="228" w:lineRule="auto"/>
              <w:ind w:left="8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供应商名称</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与营业执照、资质证书（如有）一致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3" w:line="228" w:lineRule="auto"/>
              <w:ind w:left="9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响应文件格式</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符合第六章</w:t>
            </w:r>
            <w:r>
              <w:rPr>
                <w:rFonts w:ascii="Times New Roman" w:hAnsi="Times New Roman" w:eastAsia="Times New Roman" w:cs="Times New Roman"/>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26"/>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响应文件格式</w:t>
            </w:r>
            <w:r>
              <w:rPr>
                <w:rFonts w:ascii="Times New Roman" w:hAnsi="Times New Roman" w:eastAsia="Times New Roman" w:cs="Times New Roman"/>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24"/>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的规定，关键字迹清晰可辨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1" w:line="228" w:lineRule="auto"/>
              <w:ind w:left="8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签名盖章</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符合第二章</w:t>
            </w:r>
            <w:r>
              <w:rPr>
                <w:rFonts w:ascii="Times New Roman" w:hAnsi="Times New Roman" w:eastAsia="Times New Roman" w:cs="Times New Roman"/>
                <w:snapToGrid w:val="0"/>
                <w:color w:val="000000"/>
                <w:spacing w:val="7"/>
                <w:kern w:val="0"/>
                <w:sz w:val="20"/>
                <w:szCs w:val="20"/>
                <w:lang w:val="en-US" w:eastAsia="en-US" w:bidi="ar-SA"/>
              </w:rPr>
              <w:t>“</w:t>
            </w:r>
            <w:r>
              <w:rPr>
                <w:rFonts w:ascii="宋体" w:hAnsi="宋体" w:eastAsia="宋体" w:cs="宋体"/>
                <w:snapToGrid w:val="0"/>
                <w:color w:val="000000"/>
                <w:spacing w:val="7"/>
                <w:kern w:val="0"/>
                <w:sz w:val="20"/>
                <w:szCs w:val="20"/>
                <w:lang w:val="en-US" w:eastAsia="en-US" w:bidi="ar-SA"/>
              </w:rPr>
              <w:t>供应商须知</w:t>
            </w:r>
            <w:r>
              <w:rPr>
                <w:rFonts w:ascii="Times New Roman" w:hAnsi="Times New Roman" w:eastAsia="Times New Roman" w:cs="Times New Roman"/>
                <w:snapToGrid w:val="0"/>
                <w:color w:val="000000"/>
                <w:spacing w:val="7"/>
                <w:kern w:val="0"/>
                <w:sz w:val="20"/>
                <w:szCs w:val="20"/>
                <w:lang w:val="en-US" w:eastAsia="en-US" w:bidi="ar-SA"/>
              </w:rPr>
              <w:t>”</w:t>
            </w:r>
            <w:r>
              <w:rPr>
                <w:rFonts w:ascii="宋体" w:hAnsi="宋体" w:eastAsia="宋体" w:cs="宋体"/>
                <w:snapToGrid w:val="0"/>
                <w:color w:val="000000"/>
                <w:spacing w:val="7"/>
                <w:kern w:val="0"/>
                <w:sz w:val="20"/>
                <w:szCs w:val="20"/>
                <w:lang w:val="en-US" w:eastAsia="en-US" w:bidi="ar-SA"/>
              </w:rPr>
              <w:t>第</w:t>
            </w:r>
            <w:r>
              <w:rPr>
                <w:rFonts w:ascii="宋体" w:hAnsi="宋体" w:eastAsia="宋体" w:cs="宋体"/>
                <w:snapToGrid w:val="0"/>
                <w:color w:val="000000"/>
                <w:spacing w:val="-39"/>
                <w:kern w:val="0"/>
                <w:sz w:val="20"/>
                <w:szCs w:val="20"/>
                <w:lang w:val="en-US" w:eastAsia="en-US" w:bidi="ar-SA"/>
              </w:rPr>
              <w:t xml:space="preserve"> </w:t>
            </w:r>
            <w:r>
              <w:rPr>
                <w:rFonts w:ascii="Times New Roman" w:hAnsi="Times New Roman" w:eastAsia="Times New Roman" w:cs="Times New Roman"/>
                <w:snapToGrid w:val="0"/>
                <w:color w:val="000000"/>
                <w:spacing w:val="7"/>
                <w:kern w:val="0"/>
                <w:sz w:val="20"/>
                <w:szCs w:val="20"/>
                <w:lang w:val="en-US" w:eastAsia="en-US" w:bidi="ar-SA"/>
              </w:rPr>
              <w:t xml:space="preserve">3.6.3 </w:t>
            </w:r>
            <w:r>
              <w:rPr>
                <w:rFonts w:ascii="宋体" w:hAnsi="宋体" w:eastAsia="宋体" w:cs="宋体"/>
                <w:snapToGrid w:val="0"/>
                <w:color w:val="000000"/>
                <w:spacing w:val="6"/>
                <w:kern w:val="0"/>
                <w:sz w:val="20"/>
                <w:szCs w:val="20"/>
                <w:lang w:val="en-US" w:eastAsia="en-US" w:bidi="ar-SA"/>
              </w:rPr>
              <w:t>项的规定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8" w:type="dxa"/>
            <w:vAlign w:val="top"/>
          </w:tcPr>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57" w:line="195" w:lineRule="auto"/>
              <w:ind w:left="13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2.</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1.2</w:t>
            </w:r>
          </w:p>
        </w:tc>
        <w:tc>
          <w:tcPr>
            <w:tcW w:w="109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81" w:lineRule="auto"/>
              <w:ind w:right="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资格评审</w:t>
            </w:r>
          </w:p>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hanging="412"/>
              <w:jc w:val="center"/>
              <w:textAlignment w:val="baseline"/>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 xml:space="preserve">    标准</w:t>
            </w:r>
          </w:p>
        </w:tc>
        <w:tc>
          <w:tcPr>
            <w:tcW w:w="1757" w:type="dxa"/>
            <w:vAlign w:val="top"/>
          </w:tcPr>
          <w:p>
            <w:pPr>
              <w:kinsoku w:val="0"/>
              <w:autoSpaceDE w:val="0"/>
              <w:autoSpaceDN w:val="0"/>
              <w:adjustRightInd w:val="0"/>
              <w:snapToGrid w:val="0"/>
              <w:spacing w:before="120" w:line="274" w:lineRule="auto"/>
              <w:ind w:left="80" w:right="36" w:firstLine="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资质条件、能力、</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信誉</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符合第二章</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供应商须知</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第</w:t>
            </w:r>
            <w:r>
              <w:rPr>
                <w:rFonts w:ascii="宋体" w:hAnsi="宋体" w:eastAsia="宋体" w:cs="宋体"/>
                <w:snapToGrid w:val="0"/>
                <w:color w:val="000000"/>
                <w:spacing w:val="-23"/>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1.2.</w:t>
            </w:r>
            <w:r>
              <w:rPr>
                <w:rFonts w:ascii="Times New Roman" w:hAnsi="Times New Roman" w:eastAsia="Times New Roman" w:cs="Times New Roman"/>
                <w:snapToGrid w:val="0"/>
                <w:color w:val="000000"/>
                <w:spacing w:val="-25"/>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 xml:space="preserve">1 </w:t>
            </w:r>
            <w:r>
              <w:rPr>
                <w:rFonts w:ascii="宋体" w:hAnsi="宋体" w:eastAsia="宋体" w:cs="宋体"/>
                <w:snapToGrid w:val="0"/>
                <w:color w:val="000000"/>
                <w:spacing w:val="4"/>
                <w:kern w:val="0"/>
                <w:sz w:val="20"/>
                <w:szCs w:val="20"/>
                <w:lang w:val="en-US" w:eastAsia="en-US" w:bidi="ar-SA"/>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restart"/>
            <w:tcBorders>
              <w:bottom w:val="nil"/>
            </w:tcBorders>
            <w:vAlign w:val="top"/>
          </w:tcPr>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58" w:line="195" w:lineRule="auto"/>
              <w:ind w:left="13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2.</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1.3</w:t>
            </w:r>
          </w:p>
        </w:tc>
        <w:tc>
          <w:tcPr>
            <w:tcW w:w="109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81" w:lineRule="auto"/>
              <w:ind w:right="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响应性评审</w:t>
            </w:r>
          </w:p>
          <w:p>
            <w:pPr>
              <w:keepNext w:val="0"/>
              <w:keepLines w:val="0"/>
              <w:pageBreakBefore w:val="0"/>
              <w:widowControl/>
              <w:kinsoku w:val="0"/>
              <w:wordWrap/>
              <w:overflowPunct/>
              <w:topLinePunct w:val="0"/>
              <w:autoSpaceDE w:val="0"/>
              <w:autoSpaceDN w:val="0"/>
              <w:bidi w:val="0"/>
              <w:adjustRightInd w:val="0"/>
              <w:snapToGrid w:val="0"/>
              <w:spacing w:before="0" w:line="281" w:lineRule="auto"/>
              <w:ind w:right="0"/>
              <w:jc w:val="center"/>
              <w:textAlignment w:val="baseline"/>
              <w:rPr>
                <w:rFonts w:hint="default"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标准</w:t>
            </w:r>
          </w:p>
        </w:tc>
        <w:tc>
          <w:tcPr>
            <w:tcW w:w="1757" w:type="dxa"/>
            <w:vAlign w:val="top"/>
          </w:tcPr>
          <w:p>
            <w:pPr>
              <w:kinsoku w:val="0"/>
              <w:autoSpaceDE w:val="0"/>
              <w:autoSpaceDN w:val="0"/>
              <w:adjustRightInd w:val="0"/>
              <w:snapToGrid w:val="0"/>
              <w:spacing w:before="224" w:line="227" w:lineRule="auto"/>
              <w:ind w:left="7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报价内容</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74" w:lineRule="exact"/>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符合第一章</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采购公告</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采购邀请书</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3" w:line="228" w:lineRule="auto"/>
              <w:ind w:left="8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服务期</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74" w:lineRule="exact"/>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符合第一章</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采购公告</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采购邀请书</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4" w:line="229" w:lineRule="auto"/>
              <w:ind w:left="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质量要求</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符合第二章</w:t>
            </w:r>
            <w:r>
              <w:rPr>
                <w:rFonts w:ascii="Times New Roman" w:hAnsi="Times New Roman" w:eastAsia="Times New Roman" w:cs="Times New Roman"/>
                <w:snapToGrid w:val="0"/>
                <w:color w:val="000000"/>
                <w:spacing w:val="3"/>
                <w:kern w:val="0"/>
                <w:sz w:val="20"/>
                <w:szCs w:val="20"/>
                <w:lang w:val="en-US" w:eastAsia="en-US" w:bidi="ar-SA"/>
              </w:rPr>
              <w:t>“</w:t>
            </w:r>
            <w:r>
              <w:rPr>
                <w:rFonts w:ascii="宋体" w:hAnsi="宋体" w:eastAsia="宋体" w:cs="宋体"/>
                <w:snapToGrid w:val="0"/>
                <w:color w:val="000000"/>
                <w:spacing w:val="3"/>
                <w:kern w:val="0"/>
                <w:sz w:val="20"/>
                <w:szCs w:val="20"/>
                <w:lang w:val="en-US" w:eastAsia="en-US" w:bidi="ar-SA"/>
              </w:rPr>
              <w:t>供应商须知</w:t>
            </w:r>
            <w:r>
              <w:rPr>
                <w:rFonts w:ascii="Times New Roman" w:hAnsi="Times New Roman" w:eastAsia="Times New Roman" w:cs="Times New Roman"/>
                <w:snapToGrid w:val="0"/>
                <w:color w:val="000000"/>
                <w:spacing w:val="3"/>
                <w:kern w:val="0"/>
                <w:sz w:val="20"/>
                <w:szCs w:val="20"/>
                <w:lang w:val="en-US" w:eastAsia="en-US" w:bidi="ar-SA"/>
              </w:rPr>
              <w:t>”</w:t>
            </w:r>
            <w:r>
              <w:rPr>
                <w:rFonts w:ascii="宋体" w:hAnsi="宋体" w:eastAsia="宋体" w:cs="宋体"/>
                <w:snapToGrid w:val="0"/>
                <w:color w:val="000000"/>
                <w:spacing w:val="3"/>
                <w:kern w:val="0"/>
                <w:sz w:val="20"/>
                <w:szCs w:val="20"/>
                <w:lang w:val="en-US" w:eastAsia="en-US" w:bidi="ar-SA"/>
              </w:rPr>
              <w:t>第</w:t>
            </w:r>
            <w:r>
              <w:rPr>
                <w:rFonts w:ascii="宋体" w:hAnsi="宋体" w:eastAsia="宋体" w:cs="宋体"/>
                <w:snapToGrid w:val="0"/>
                <w:color w:val="000000"/>
                <w:spacing w:val="-17"/>
                <w:kern w:val="0"/>
                <w:sz w:val="20"/>
                <w:szCs w:val="20"/>
                <w:lang w:val="en-US" w:eastAsia="en-US" w:bidi="ar-SA"/>
              </w:rPr>
              <w:t xml:space="preserve"> </w:t>
            </w:r>
            <w:r>
              <w:rPr>
                <w:rFonts w:ascii="Times New Roman" w:hAnsi="Times New Roman" w:eastAsia="Times New Roman" w:cs="Times New Roman"/>
                <w:snapToGrid w:val="0"/>
                <w:color w:val="000000"/>
                <w:spacing w:val="3"/>
                <w:kern w:val="0"/>
                <w:sz w:val="20"/>
                <w:szCs w:val="20"/>
                <w:lang w:val="en-US" w:eastAsia="en-US" w:bidi="ar-SA"/>
              </w:rPr>
              <w:t>1.</w:t>
            </w:r>
            <w:r>
              <w:rPr>
                <w:rFonts w:ascii="Times New Roman" w:hAnsi="Times New Roman" w:eastAsia="Times New Roman" w:cs="Times New Roman"/>
                <w:snapToGrid w:val="0"/>
                <w:color w:val="000000"/>
                <w:spacing w:val="-25"/>
                <w:kern w:val="0"/>
                <w:sz w:val="20"/>
                <w:szCs w:val="20"/>
                <w:lang w:val="en-US" w:eastAsia="en-US" w:bidi="ar-SA"/>
              </w:rPr>
              <w:t xml:space="preserve"> </w:t>
            </w:r>
            <w:r>
              <w:rPr>
                <w:rFonts w:ascii="Times New Roman" w:hAnsi="Times New Roman" w:eastAsia="Times New Roman" w:cs="Times New Roman"/>
                <w:snapToGrid w:val="0"/>
                <w:color w:val="000000"/>
                <w:spacing w:val="3"/>
                <w:kern w:val="0"/>
                <w:sz w:val="20"/>
                <w:szCs w:val="20"/>
                <w:lang w:val="en-US" w:eastAsia="en-US" w:bidi="ar-SA"/>
              </w:rPr>
              <w:t>1.</w:t>
            </w:r>
            <w:r>
              <w:rPr>
                <w:rFonts w:ascii="Times New Roman" w:hAnsi="Times New Roman" w:eastAsia="Times New Roman" w:cs="Times New Roman"/>
                <w:snapToGrid w:val="0"/>
                <w:color w:val="000000"/>
                <w:spacing w:val="-27"/>
                <w:kern w:val="0"/>
                <w:sz w:val="20"/>
                <w:szCs w:val="20"/>
                <w:lang w:val="en-US" w:eastAsia="en-US" w:bidi="ar-SA"/>
              </w:rPr>
              <w:t xml:space="preserve"> </w:t>
            </w:r>
            <w:r>
              <w:rPr>
                <w:rFonts w:ascii="Times New Roman" w:hAnsi="Times New Roman" w:eastAsia="Times New Roman" w:cs="Times New Roman"/>
                <w:snapToGrid w:val="0"/>
                <w:color w:val="000000"/>
                <w:spacing w:val="3"/>
                <w:kern w:val="0"/>
                <w:sz w:val="20"/>
                <w:szCs w:val="20"/>
                <w:lang w:val="en-US" w:eastAsia="en-US" w:bidi="ar-SA"/>
              </w:rPr>
              <w:t>1</w:t>
            </w:r>
            <w:r>
              <w:rPr>
                <w:rFonts w:ascii="Times New Roman" w:hAnsi="Times New Roman" w:eastAsia="Times New Roman" w:cs="Times New Roman"/>
                <w:snapToGrid w:val="0"/>
                <w:color w:val="000000"/>
                <w:spacing w:val="15"/>
                <w:w w:val="101"/>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3" w:line="229" w:lineRule="auto"/>
              <w:ind w:left="8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安全目标</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符合第二章</w:t>
            </w:r>
            <w:r>
              <w:rPr>
                <w:rFonts w:ascii="Times New Roman" w:hAnsi="Times New Roman" w:eastAsia="Times New Roman" w:cs="Times New Roman"/>
                <w:snapToGrid w:val="0"/>
                <w:color w:val="000000"/>
                <w:spacing w:val="4"/>
                <w:kern w:val="0"/>
                <w:sz w:val="20"/>
                <w:szCs w:val="20"/>
                <w:lang w:val="en-US" w:eastAsia="en-US" w:bidi="ar-SA"/>
              </w:rPr>
              <w:t>“</w:t>
            </w:r>
            <w:r>
              <w:rPr>
                <w:rFonts w:ascii="宋体" w:hAnsi="宋体" w:eastAsia="宋体" w:cs="宋体"/>
                <w:snapToGrid w:val="0"/>
                <w:color w:val="000000"/>
                <w:spacing w:val="4"/>
                <w:kern w:val="0"/>
                <w:sz w:val="20"/>
                <w:szCs w:val="20"/>
                <w:lang w:val="en-US" w:eastAsia="en-US" w:bidi="ar-SA"/>
              </w:rPr>
              <w:t>供应商须知</w:t>
            </w:r>
            <w:r>
              <w:rPr>
                <w:rFonts w:ascii="Times New Roman" w:hAnsi="Times New Roman" w:eastAsia="Times New Roman" w:cs="Times New Roman"/>
                <w:snapToGrid w:val="0"/>
                <w:color w:val="000000"/>
                <w:spacing w:val="4"/>
                <w:kern w:val="0"/>
                <w:sz w:val="20"/>
                <w:szCs w:val="20"/>
                <w:lang w:val="en-US" w:eastAsia="en-US" w:bidi="ar-SA"/>
              </w:rPr>
              <w:t>”</w:t>
            </w:r>
            <w:r>
              <w:rPr>
                <w:rFonts w:ascii="宋体" w:hAnsi="宋体" w:eastAsia="宋体" w:cs="宋体"/>
                <w:snapToGrid w:val="0"/>
                <w:color w:val="000000"/>
                <w:spacing w:val="4"/>
                <w:kern w:val="0"/>
                <w:sz w:val="20"/>
                <w:szCs w:val="20"/>
                <w:lang w:val="en-US" w:eastAsia="en-US" w:bidi="ar-SA"/>
              </w:rPr>
              <w:t>第</w:t>
            </w:r>
            <w:r>
              <w:rPr>
                <w:rFonts w:ascii="宋体" w:hAnsi="宋体" w:eastAsia="宋体" w:cs="宋体"/>
                <w:snapToGrid w:val="0"/>
                <w:color w:val="000000"/>
                <w:spacing w:val="-15"/>
                <w:kern w:val="0"/>
                <w:sz w:val="20"/>
                <w:szCs w:val="20"/>
                <w:lang w:val="en-US" w:eastAsia="en-US" w:bidi="ar-SA"/>
              </w:rPr>
              <w:t xml:space="preserve"> </w:t>
            </w:r>
            <w:r>
              <w:rPr>
                <w:rFonts w:ascii="Times New Roman" w:hAnsi="Times New Roman" w:eastAsia="Times New Roman" w:cs="Times New Roman"/>
                <w:snapToGrid w:val="0"/>
                <w:color w:val="000000"/>
                <w:spacing w:val="4"/>
                <w:kern w:val="0"/>
                <w:sz w:val="20"/>
                <w:szCs w:val="20"/>
                <w:lang w:val="en-US" w:eastAsia="en-US" w:bidi="ar-SA"/>
              </w:rPr>
              <w:t>1.</w:t>
            </w:r>
            <w:r>
              <w:rPr>
                <w:rFonts w:ascii="Times New Roman" w:hAnsi="Times New Roman" w:eastAsia="Times New Roman" w:cs="Times New Roman"/>
                <w:snapToGrid w:val="0"/>
                <w:color w:val="000000"/>
                <w:spacing w:val="-25"/>
                <w:kern w:val="0"/>
                <w:sz w:val="20"/>
                <w:szCs w:val="20"/>
                <w:lang w:val="en-US" w:eastAsia="en-US" w:bidi="ar-SA"/>
              </w:rPr>
              <w:t xml:space="preserve"> </w:t>
            </w:r>
            <w:r>
              <w:rPr>
                <w:rFonts w:ascii="Times New Roman" w:hAnsi="Times New Roman" w:eastAsia="Times New Roman" w:cs="Times New Roman"/>
                <w:snapToGrid w:val="0"/>
                <w:color w:val="000000"/>
                <w:spacing w:val="4"/>
                <w:kern w:val="0"/>
                <w:sz w:val="20"/>
                <w:szCs w:val="20"/>
                <w:lang w:val="en-US" w:eastAsia="en-US" w:bidi="ar-SA"/>
              </w:rPr>
              <w:t>1.2</w:t>
            </w:r>
            <w:r>
              <w:rPr>
                <w:rFonts w:ascii="Times New Roman" w:hAnsi="Times New Roman" w:eastAsia="Times New Roman" w:cs="Times New Roman"/>
                <w:snapToGrid w:val="0"/>
                <w:color w:val="000000"/>
                <w:spacing w:val="15"/>
                <w:w w:val="101"/>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2" w:line="229" w:lineRule="auto"/>
              <w:ind w:left="9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响应有效期</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符合第二章</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供应商须知</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第</w:t>
            </w:r>
            <w:r>
              <w:rPr>
                <w:rFonts w:ascii="宋体" w:hAnsi="宋体" w:eastAsia="宋体" w:cs="宋体"/>
                <w:snapToGrid w:val="0"/>
                <w:color w:val="000000"/>
                <w:spacing w:val="-26"/>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3.3.</w:t>
            </w:r>
            <w:r>
              <w:rPr>
                <w:rFonts w:ascii="Times New Roman" w:hAnsi="Times New Roman" w:eastAsia="Times New Roman" w:cs="Times New Roman"/>
                <w:snapToGrid w:val="0"/>
                <w:color w:val="000000"/>
                <w:spacing w:val="-25"/>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 xml:space="preserve">1 </w:t>
            </w:r>
            <w:r>
              <w:rPr>
                <w:rFonts w:ascii="宋体" w:hAnsi="宋体" w:eastAsia="宋体" w:cs="宋体"/>
                <w:snapToGrid w:val="0"/>
                <w:color w:val="000000"/>
                <w:spacing w:val="5"/>
                <w:kern w:val="0"/>
                <w:sz w:val="20"/>
                <w:szCs w:val="20"/>
                <w:lang w:val="en-US" w:eastAsia="en-US" w:bidi="ar-SA"/>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4" w:line="229" w:lineRule="auto"/>
              <w:ind w:left="9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响应保证金</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符合第二章</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供应商须知</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第</w:t>
            </w:r>
            <w:r>
              <w:rPr>
                <w:rFonts w:ascii="宋体" w:hAnsi="宋体" w:eastAsia="宋体" w:cs="宋体"/>
                <w:snapToGrid w:val="0"/>
                <w:color w:val="000000"/>
                <w:spacing w:val="-26"/>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3.4.</w:t>
            </w:r>
            <w:r>
              <w:rPr>
                <w:rFonts w:ascii="Times New Roman" w:hAnsi="Times New Roman" w:eastAsia="Times New Roman" w:cs="Times New Roman"/>
                <w:snapToGrid w:val="0"/>
                <w:color w:val="000000"/>
                <w:spacing w:val="-25"/>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 xml:space="preserve">1 </w:t>
            </w:r>
            <w:r>
              <w:rPr>
                <w:rFonts w:ascii="宋体" w:hAnsi="宋体" w:eastAsia="宋体" w:cs="宋体"/>
                <w:snapToGrid w:val="0"/>
                <w:color w:val="000000"/>
                <w:spacing w:val="5"/>
                <w:kern w:val="0"/>
                <w:sz w:val="20"/>
                <w:szCs w:val="20"/>
                <w:lang w:val="en-US" w:eastAsia="en-US" w:bidi="ar-SA"/>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4" w:line="228" w:lineRule="auto"/>
              <w:ind w:left="7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权利义务</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符合询比文件规定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6" w:line="228" w:lineRule="auto"/>
              <w:ind w:left="8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询比文件的获取</w:t>
            </w:r>
          </w:p>
        </w:tc>
        <w:tc>
          <w:tcPr>
            <w:tcW w:w="5662" w:type="dxa"/>
            <w:tcBorders>
              <w:bottom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74" w:lineRule="exact"/>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符合第一章</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采购公告</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采购邀请书</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4" w:line="230" w:lineRule="auto"/>
              <w:ind w:left="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联合体</w:t>
            </w:r>
          </w:p>
        </w:tc>
        <w:tc>
          <w:tcPr>
            <w:tcW w:w="5662" w:type="dxa"/>
            <w:tcBorders>
              <w:top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未以联合体形式报价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6" w:line="229" w:lineRule="auto"/>
              <w:ind w:left="8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分包</w:t>
            </w:r>
          </w:p>
        </w:tc>
        <w:tc>
          <w:tcPr>
            <w:tcW w:w="5662" w:type="dxa"/>
            <w:tcBorders>
              <w:top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29"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没有分包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8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65" w:line="227" w:lineRule="auto"/>
              <w:ind w:left="7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报价</w:t>
            </w:r>
          </w:p>
        </w:tc>
        <w:tc>
          <w:tcPr>
            <w:tcW w:w="5662" w:type="dxa"/>
            <w:tcBorders>
              <w:top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w:t>
            </w:r>
            <w:r>
              <w:rPr>
                <w:rFonts w:ascii="Times New Roman" w:hAnsi="Times New Roman" w:eastAsia="Times New Roman" w:cs="Times New Roman"/>
                <w:snapToGrid w:val="0"/>
                <w:color w:val="000000"/>
                <w:spacing w:val="8"/>
                <w:kern w:val="0"/>
                <w:sz w:val="20"/>
                <w:szCs w:val="20"/>
                <w:lang w:val="en-US" w:eastAsia="en-US" w:bidi="ar-SA"/>
              </w:rPr>
              <w:t>1</w:t>
            </w:r>
            <w:r>
              <w:rPr>
                <w:rFonts w:ascii="宋体" w:hAnsi="宋体" w:eastAsia="宋体" w:cs="宋体"/>
                <w:snapToGrid w:val="0"/>
                <w:color w:val="000000"/>
                <w:spacing w:val="8"/>
                <w:kern w:val="0"/>
                <w:sz w:val="20"/>
                <w:szCs w:val="20"/>
                <w:lang w:val="en-US" w:eastAsia="en-US" w:bidi="ar-SA"/>
              </w:rPr>
              <w:t>）报价未超过询比文件设定的最高限价。</w:t>
            </w:r>
          </w:p>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2</w:t>
            </w:r>
            <w:r>
              <w:rPr>
                <w:rFonts w:ascii="宋体" w:hAnsi="宋体" w:eastAsia="宋体" w:cs="宋体"/>
                <w:snapToGrid w:val="0"/>
                <w:color w:val="000000"/>
                <w:spacing w:val="7"/>
                <w:kern w:val="0"/>
                <w:sz w:val="20"/>
                <w:szCs w:val="20"/>
                <w:lang w:val="en-US" w:eastAsia="en-US" w:bidi="ar-SA"/>
              </w:rPr>
              <w:t>）</w:t>
            </w:r>
            <w:r>
              <w:rPr>
                <w:rFonts w:ascii="宋体" w:hAnsi="宋体" w:eastAsia="宋体" w:cs="宋体"/>
                <w:snapToGrid w:val="0"/>
                <w:color w:val="000000"/>
                <w:spacing w:val="-48"/>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已标价的报价清单总报价和报价函的报价一致（四舍五</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入除外）。</w:t>
            </w:r>
          </w:p>
          <w:p>
            <w:pPr>
              <w:keepNext w:val="0"/>
              <w:keepLines w:val="0"/>
              <w:pageBreakBefore w:val="0"/>
              <w:widowControl/>
              <w:kinsoku w:val="0"/>
              <w:wordWrap/>
              <w:overflowPunct/>
              <w:topLinePunct w:val="0"/>
              <w:autoSpaceDE w:val="0"/>
              <w:autoSpaceDN w:val="0"/>
              <w:bidi w:val="0"/>
              <w:adjustRightInd w:val="0"/>
              <w:snapToGrid w:val="0"/>
              <w:spacing w:before="0" w:line="216"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w:t>
            </w:r>
            <w:r>
              <w:rPr>
                <w:rFonts w:ascii="Times New Roman" w:hAnsi="Times New Roman" w:eastAsia="Times New Roman" w:cs="Times New Roman"/>
                <w:snapToGrid w:val="0"/>
                <w:color w:val="000000"/>
                <w:spacing w:val="8"/>
                <w:kern w:val="0"/>
                <w:sz w:val="20"/>
                <w:szCs w:val="20"/>
                <w:lang w:val="en-US" w:eastAsia="en-US" w:bidi="ar-SA"/>
              </w:rPr>
              <w:t>3</w:t>
            </w:r>
            <w:r>
              <w:rPr>
                <w:rFonts w:ascii="宋体" w:hAnsi="宋体" w:eastAsia="宋体" w:cs="宋体"/>
                <w:snapToGrid w:val="0"/>
                <w:color w:val="000000"/>
                <w:spacing w:val="8"/>
                <w:kern w:val="0"/>
                <w:sz w:val="20"/>
                <w:szCs w:val="20"/>
                <w:lang w:val="en-US" w:eastAsia="en-US" w:bidi="ar-SA"/>
              </w:rPr>
              <w:t>）报价的大写数值能确定具体数值，未出现数量级错误、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688" w:type="dxa"/>
            <w:vMerge w:val="restart"/>
            <w:tcBorders>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restart"/>
            <w:tcBorders>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662" w:type="dxa"/>
            <w:tcBorders>
              <w:top w:val="single" w:color="000000" w:sz="4" w:space="0"/>
              <w:right w:val="single" w:color="000000" w:sz="4" w:space="0"/>
            </w:tcBorders>
            <w:vAlign w:val="top"/>
          </w:tcPr>
          <w:p>
            <w:pPr>
              <w:kinsoku w:val="0"/>
              <w:autoSpaceDE w:val="0"/>
              <w:autoSpaceDN w:val="0"/>
              <w:adjustRightInd w:val="0"/>
              <w:snapToGrid w:val="0"/>
              <w:spacing w:before="123" w:line="227" w:lineRule="auto"/>
              <w:ind w:left="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报价金额单位错误。</w:t>
            </w:r>
          </w:p>
          <w:p>
            <w:pPr>
              <w:kinsoku w:val="0"/>
              <w:autoSpaceDE w:val="0"/>
              <w:autoSpaceDN w:val="0"/>
              <w:adjustRightInd w:val="0"/>
              <w:snapToGrid w:val="0"/>
              <w:spacing w:before="114" w:line="227" w:lineRule="auto"/>
              <w:ind w:left="9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w:t>
            </w:r>
            <w:r>
              <w:rPr>
                <w:rFonts w:ascii="Times New Roman" w:hAnsi="Times New Roman" w:eastAsia="Times New Roman" w:cs="Times New Roman"/>
                <w:snapToGrid w:val="0"/>
                <w:color w:val="000000"/>
                <w:spacing w:val="8"/>
                <w:kern w:val="0"/>
                <w:sz w:val="20"/>
                <w:szCs w:val="20"/>
                <w:lang w:val="en-US" w:eastAsia="en-US" w:bidi="ar-SA"/>
              </w:rPr>
              <w:t>4</w:t>
            </w:r>
            <w:r>
              <w:rPr>
                <w:rFonts w:ascii="宋体" w:hAnsi="宋体" w:eastAsia="宋体" w:cs="宋体"/>
                <w:snapToGrid w:val="0"/>
                <w:color w:val="000000"/>
                <w:spacing w:val="8"/>
                <w:kern w:val="0"/>
                <w:sz w:val="20"/>
                <w:szCs w:val="20"/>
                <w:lang w:val="en-US" w:eastAsia="en-US" w:bidi="ar-SA"/>
              </w:rPr>
              <w:t>）同一供应商未递交两个以上不同的报价。</w:t>
            </w:r>
          </w:p>
          <w:p>
            <w:pPr>
              <w:kinsoku w:val="0"/>
              <w:autoSpaceDE w:val="0"/>
              <w:autoSpaceDN w:val="0"/>
              <w:adjustRightInd w:val="0"/>
              <w:snapToGrid w:val="0"/>
              <w:spacing w:before="113" w:line="280" w:lineRule="auto"/>
              <w:ind w:left="82" w:right="18" w:firstLine="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w:t>
            </w:r>
            <w:r>
              <w:rPr>
                <w:rFonts w:ascii="Times New Roman" w:hAnsi="Times New Roman" w:eastAsia="Times New Roman" w:cs="Times New Roman"/>
                <w:snapToGrid w:val="0"/>
                <w:color w:val="000000"/>
                <w:spacing w:val="9"/>
                <w:kern w:val="0"/>
                <w:sz w:val="20"/>
                <w:szCs w:val="20"/>
                <w:lang w:val="en-US" w:eastAsia="en-US" w:bidi="ar-SA"/>
              </w:rPr>
              <w:t>5</w:t>
            </w:r>
            <w:r>
              <w:rPr>
                <w:rFonts w:ascii="宋体" w:hAnsi="宋体" w:eastAsia="宋体" w:cs="宋体"/>
                <w:snapToGrid w:val="0"/>
                <w:color w:val="000000"/>
                <w:spacing w:val="9"/>
                <w:kern w:val="0"/>
                <w:sz w:val="20"/>
                <w:szCs w:val="20"/>
                <w:lang w:val="en-US" w:eastAsia="en-US" w:bidi="ar-SA"/>
              </w:rPr>
              <w:t>）供应商按采购人提供的书面报价清单填写了报价，</w:t>
            </w:r>
            <w:r>
              <w:rPr>
                <w:rFonts w:ascii="宋体" w:hAnsi="宋体" w:eastAsia="宋体" w:cs="宋体"/>
                <w:snapToGrid w:val="0"/>
                <w:color w:val="000000"/>
                <w:spacing w:val="8"/>
                <w:kern w:val="0"/>
                <w:sz w:val="20"/>
                <w:szCs w:val="20"/>
                <w:lang w:val="en-US" w:eastAsia="en-US" w:bidi="ar-SA"/>
              </w:rPr>
              <w:t>且未</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修改报价清单说明、数量等实质性内容。</w:t>
            </w:r>
          </w:p>
          <w:p>
            <w:pPr>
              <w:kinsoku w:val="0"/>
              <w:autoSpaceDE w:val="0"/>
              <w:autoSpaceDN w:val="0"/>
              <w:adjustRightInd w:val="0"/>
              <w:snapToGrid w:val="0"/>
              <w:spacing w:before="113" w:line="215" w:lineRule="auto"/>
              <w:ind w:left="9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6</w:t>
            </w:r>
            <w:r>
              <w:rPr>
                <w:rFonts w:ascii="宋体" w:hAnsi="宋体" w:eastAsia="宋体" w:cs="宋体"/>
                <w:snapToGrid w:val="0"/>
                <w:color w:val="000000"/>
                <w:spacing w:val="7"/>
                <w:kern w:val="0"/>
                <w:sz w:val="20"/>
                <w:szCs w:val="20"/>
                <w:lang w:val="en-US" w:eastAsia="en-US" w:bidi="ar-SA"/>
              </w:rPr>
              <w:t>）</w:t>
            </w:r>
            <w:r>
              <w:rPr>
                <w:rFonts w:ascii="宋体" w:hAnsi="宋体" w:eastAsia="宋体" w:cs="宋体"/>
                <w:snapToGrid w:val="0"/>
                <w:color w:val="000000"/>
                <w:spacing w:val="-58"/>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已标价报价清单中未更改询比文件确定的暂列金额。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5" w:line="229" w:lineRule="auto"/>
              <w:ind w:left="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其他实质性要求</w:t>
            </w:r>
          </w:p>
        </w:tc>
        <w:tc>
          <w:tcPr>
            <w:tcW w:w="5662" w:type="dxa"/>
            <w:vAlign w:val="top"/>
          </w:tcPr>
          <w:p>
            <w:pPr>
              <w:kinsoku w:val="0"/>
              <w:autoSpaceDE w:val="0"/>
              <w:autoSpaceDN w:val="0"/>
              <w:adjustRightInd w:val="0"/>
              <w:snapToGrid w:val="0"/>
              <w:spacing w:before="225" w:line="228" w:lineRule="auto"/>
              <w:ind w:left="8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符合询比文件的其他实质性要求和条件</w:t>
            </w:r>
          </w:p>
        </w:tc>
      </w:tr>
    </w:tbl>
    <w:p>
      <w:pPr>
        <w:pStyle w:val="2"/>
        <w:ind w:left="0" w:leftChars="0" w:firstLine="0" w:firstLineChars="0"/>
        <w:jc w:val="center"/>
        <w:rPr>
          <w:rFonts w:hint="eastAsia"/>
          <w:sz w:val="30"/>
          <w:szCs w:val="30"/>
          <w:highlight w:val="none"/>
          <w:lang w:eastAsia="zh-CN"/>
        </w:rPr>
      </w:pPr>
    </w:p>
    <w:p>
      <w:pPr>
        <w:pStyle w:val="12"/>
        <w:spacing w:before="8"/>
        <w:jc w:val="both"/>
        <w:rPr>
          <w:rFonts w:ascii="Times New Roman"/>
          <w:b/>
          <w:sz w:val="6"/>
          <w:highlight w:val="none"/>
        </w:rPr>
      </w:pPr>
    </w:p>
    <w:p>
      <w:pPr>
        <w:rPr>
          <w:highlight w:val="none"/>
          <w:lang w:val="en-US" w:eastAsia="zh-CN"/>
        </w:rPr>
      </w:pPr>
    </w:p>
    <w:tbl>
      <w:tblPr>
        <w:tblStyle w:val="24"/>
        <w:tblW w:w="9208"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536"/>
        <w:gridCol w:w="1098"/>
        <w:gridCol w:w="177"/>
        <w:gridCol w:w="1194"/>
        <w:gridCol w:w="50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3" w:hRule="atLeast"/>
        </w:trPr>
        <w:tc>
          <w:tcPr>
            <w:tcW w:w="1700" w:type="dxa"/>
            <w:gridSpan w:val="2"/>
            <w:vAlign w:val="top"/>
          </w:tcPr>
          <w:p>
            <w:pPr>
              <w:kinsoku w:val="0"/>
              <w:autoSpaceDE w:val="0"/>
              <w:autoSpaceDN w:val="0"/>
              <w:adjustRightInd w:val="0"/>
              <w:snapToGrid w:val="0"/>
              <w:spacing w:before="196" w:line="228" w:lineRule="auto"/>
              <w:ind w:left="54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条款号</w:t>
            </w:r>
          </w:p>
        </w:tc>
        <w:tc>
          <w:tcPr>
            <w:tcW w:w="1275" w:type="dxa"/>
            <w:gridSpan w:val="2"/>
            <w:vAlign w:val="top"/>
          </w:tcPr>
          <w:p>
            <w:pPr>
              <w:kinsoku w:val="0"/>
              <w:autoSpaceDE w:val="0"/>
              <w:autoSpaceDN w:val="0"/>
              <w:adjustRightInd w:val="0"/>
              <w:snapToGrid w:val="0"/>
              <w:spacing w:before="196" w:line="228" w:lineRule="auto"/>
              <w:ind w:left="26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条款内容</w:t>
            </w:r>
          </w:p>
        </w:tc>
        <w:tc>
          <w:tcPr>
            <w:tcW w:w="6233" w:type="dxa"/>
            <w:gridSpan w:val="2"/>
            <w:vAlign w:val="top"/>
          </w:tcPr>
          <w:p>
            <w:pPr>
              <w:kinsoku w:val="0"/>
              <w:autoSpaceDE w:val="0"/>
              <w:autoSpaceDN w:val="0"/>
              <w:adjustRightInd w:val="0"/>
              <w:snapToGrid w:val="0"/>
              <w:spacing w:before="196" w:line="228" w:lineRule="auto"/>
              <w:ind w:left="270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00" w:type="dxa"/>
            <w:gridSpan w:val="2"/>
            <w:vAlign w:val="center"/>
          </w:tcPr>
          <w:p>
            <w:pPr>
              <w:widowControl/>
              <w:kinsoku w:val="0"/>
              <w:autoSpaceDE w:val="0"/>
              <w:autoSpaceDN w:val="0"/>
              <w:adjustRightInd w:val="0"/>
              <w:snapToGrid w:val="0"/>
              <w:spacing w:before="57" w:line="195" w:lineRule="auto"/>
              <w:jc w:val="center"/>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2.2.</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1</w:t>
            </w:r>
          </w:p>
        </w:tc>
        <w:tc>
          <w:tcPr>
            <w:tcW w:w="1275" w:type="dxa"/>
            <w:gridSpan w:val="2"/>
            <w:vAlign w:val="center"/>
          </w:tcPr>
          <w:p>
            <w:pPr>
              <w:kinsoku w:val="0"/>
              <w:autoSpaceDE w:val="0"/>
              <w:autoSpaceDN w:val="0"/>
              <w:adjustRightInd w:val="0"/>
              <w:snapToGrid w:val="0"/>
              <w:spacing w:before="65" w:line="241" w:lineRule="auto"/>
              <w:ind w:left="89" w:right="222" w:hanging="7"/>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分值构成</w:t>
            </w:r>
            <w:r>
              <w:rPr>
                <w:rFonts w:ascii="宋体" w:hAnsi="宋体" w:eastAsia="宋体" w:cs="宋体"/>
                <w:snapToGrid w:val="0"/>
                <w:color w:val="000000"/>
                <w:spacing w:val="1"/>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w:t>
            </w:r>
            <w:r>
              <w:rPr>
                <w:rFonts w:ascii="Times New Roman" w:hAnsi="Times New Roman" w:eastAsia="Times New Roman" w:cs="Times New Roman"/>
                <w:snapToGrid w:val="0"/>
                <w:color w:val="000000"/>
                <w:spacing w:val="-1"/>
                <w:kern w:val="0"/>
                <w:sz w:val="20"/>
                <w:szCs w:val="20"/>
                <w:lang w:val="en-US" w:eastAsia="en-US" w:bidi="ar-SA"/>
              </w:rPr>
              <w:t>100</w:t>
            </w:r>
            <w:r>
              <w:rPr>
                <w:rFonts w:ascii="Times New Roman" w:hAnsi="Times New Roman" w:eastAsia="Times New Roman" w:cs="Times New Roman"/>
                <w:snapToGrid w:val="0"/>
                <w:color w:val="000000"/>
                <w:spacing w:val="12"/>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分）</w:t>
            </w:r>
          </w:p>
        </w:tc>
        <w:tc>
          <w:tcPr>
            <w:tcW w:w="623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right="0"/>
              <w:jc w:val="left"/>
              <w:textAlignment w:val="baseline"/>
              <w:rPr>
                <w:rFonts w:ascii="宋体" w:hAnsi="宋体" w:eastAsia="宋体" w:cs="宋体"/>
                <w:snapToGrid w:val="0"/>
                <w:color w:val="000000"/>
                <w:spacing w:val="5"/>
                <w:kern w:val="0"/>
                <w:sz w:val="20"/>
                <w:szCs w:val="20"/>
                <w:highlight w:val="none"/>
                <w:lang w:val="en-US" w:eastAsia="en-US" w:bidi="ar-SA"/>
              </w:rPr>
            </w:pPr>
            <w:r>
              <w:rPr>
                <w:rFonts w:ascii="宋体" w:hAnsi="宋体" w:eastAsia="宋体" w:cs="宋体"/>
                <w:snapToGrid w:val="0"/>
                <w:color w:val="000000"/>
                <w:spacing w:val="5"/>
                <w:kern w:val="0"/>
                <w:sz w:val="20"/>
                <w:szCs w:val="20"/>
                <w:highlight w:val="none"/>
                <w:lang w:val="en-US" w:eastAsia="en-US" w:bidi="ar-SA"/>
              </w:rPr>
              <w:t>技术方案：</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hint="eastAsia" w:ascii="宋体" w:hAnsi="宋体" w:cs="宋体"/>
                <w:snapToGrid w:val="0"/>
                <w:color w:val="000000"/>
                <w:spacing w:val="5"/>
                <w:kern w:val="0"/>
                <w:sz w:val="20"/>
                <w:szCs w:val="20"/>
                <w:highlight w:val="none"/>
                <w:u w:val="single" w:color="auto"/>
                <w:lang w:val="en-US" w:eastAsia="zh-CN" w:bidi="ar-SA"/>
              </w:rPr>
              <w:t>20</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ascii="宋体" w:hAnsi="宋体" w:eastAsia="宋体" w:cs="宋体"/>
                <w:snapToGrid w:val="0"/>
                <w:color w:val="000000"/>
                <w:spacing w:val="-80"/>
                <w:kern w:val="0"/>
                <w:sz w:val="20"/>
                <w:szCs w:val="20"/>
                <w:highlight w:val="none"/>
                <w:u w:val="none" w:color="auto"/>
                <w:lang w:val="en-US" w:eastAsia="en-US" w:bidi="ar-SA"/>
              </w:rPr>
              <w:t xml:space="preserve"> </w:t>
            </w:r>
            <w:r>
              <w:rPr>
                <w:rFonts w:ascii="宋体" w:hAnsi="宋体" w:eastAsia="宋体" w:cs="宋体"/>
                <w:snapToGrid w:val="0"/>
                <w:color w:val="000000"/>
                <w:spacing w:val="5"/>
                <w:kern w:val="0"/>
                <w:sz w:val="20"/>
                <w:szCs w:val="20"/>
                <w:highlight w:val="none"/>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right="0"/>
              <w:jc w:val="left"/>
              <w:textAlignment w:val="baseline"/>
              <w:rPr>
                <w:rFonts w:hint="eastAsia" w:ascii="宋体" w:hAnsi="宋体" w:cs="宋体"/>
                <w:snapToGrid w:val="0"/>
                <w:color w:val="000000"/>
                <w:spacing w:val="5"/>
                <w:kern w:val="0"/>
                <w:sz w:val="20"/>
                <w:szCs w:val="20"/>
                <w:highlight w:val="none"/>
                <w:lang w:val="en-US" w:eastAsia="zh-CN" w:bidi="ar-SA"/>
              </w:rPr>
            </w:pPr>
            <w:r>
              <w:rPr>
                <w:rFonts w:hint="eastAsia" w:ascii="宋体" w:hAnsi="宋体" w:cs="宋体"/>
                <w:snapToGrid w:val="0"/>
                <w:color w:val="000000"/>
                <w:spacing w:val="5"/>
                <w:kern w:val="0"/>
                <w:sz w:val="20"/>
                <w:szCs w:val="20"/>
                <w:highlight w:val="none"/>
                <w:lang w:val="en-US" w:eastAsia="zh-CN" w:bidi="ar-SA"/>
              </w:rPr>
              <w:t>企业业绩：</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hint="eastAsia" w:ascii="宋体" w:hAnsi="宋体" w:cs="宋体"/>
                <w:snapToGrid w:val="0"/>
                <w:color w:val="000000"/>
                <w:spacing w:val="5"/>
                <w:kern w:val="0"/>
                <w:sz w:val="20"/>
                <w:szCs w:val="20"/>
                <w:highlight w:val="none"/>
                <w:u w:val="single" w:color="auto"/>
                <w:lang w:val="en-US" w:eastAsia="zh-CN" w:bidi="ar-SA"/>
              </w:rPr>
              <w:t>10</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ascii="宋体" w:hAnsi="宋体" w:eastAsia="宋体" w:cs="宋体"/>
                <w:snapToGrid w:val="0"/>
                <w:color w:val="000000"/>
                <w:spacing w:val="-80"/>
                <w:kern w:val="0"/>
                <w:sz w:val="20"/>
                <w:szCs w:val="20"/>
                <w:highlight w:val="none"/>
                <w:lang w:val="en-US" w:eastAsia="en-US" w:bidi="ar-SA"/>
              </w:rPr>
              <w:t xml:space="preserve"> </w:t>
            </w:r>
            <w:r>
              <w:rPr>
                <w:rFonts w:ascii="宋体" w:hAnsi="宋体" w:eastAsia="宋体" w:cs="宋体"/>
                <w:snapToGrid w:val="0"/>
                <w:color w:val="000000"/>
                <w:spacing w:val="5"/>
                <w:kern w:val="0"/>
                <w:sz w:val="20"/>
                <w:szCs w:val="20"/>
                <w:highlight w:val="none"/>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before="0" w:line="215" w:lineRule="auto"/>
              <w:ind w:left="0" w:right="0"/>
              <w:jc w:val="left"/>
              <w:textAlignment w:val="baseline"/>
              <w:rPr>
                <w:rFonts w:ascii="宋体" w:hAnsi="宋体" w:eastAsia="宋体" w:cs="宋体"/>
                <w:snapToGrid w:val="0"/>
                <w:color w:val="000000"/>
                <w:kern w:val="0"/>
                <w:sz w:val="20"/>
                <w:szCs w:val="20"/>
                <w:highlight w:val="none"/>
                <w:lang w:val="en-US" w:eastAsia="en-US" w:bidi="ar-SA"/>
              </w:rPr>
            </w:pPr>
            <w:r>
              <w:rPr>
                <w:rFonts w:ascii="宋体" w:hAnsi="宋体" w:eastAsia="宋体" w:cs="宋体"/>
                <w:snapToGrid w:val="0"/>
                <w:color w:val="000000"/>
                <w:spacing w:val="6"/>
                <w:kern w:val="0"/>
                <w:sz w:val="20"/>
                <w:szCs w:val="20"/>
                <w:highlight w:val="none"/>
                <w:lang w:val="en-US" w:eastAsia="en-US" w:bidi="ar-SA"/>
              </w:rPr>
              <w:t>评审价：</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hint="eastAsia" w:ascii="宋体" w:hAnsi="宋体" w:cs="宋体"/>
                <w:snapToGrid w:val="0"/>
                <w:color w:val="000000"/>
                <w:spacing w:val="5"/>
                <w:kern w:val="0"/>
                <w:sz w:val="20"/>
                <w:szCs w:val="20"/>
                <w:highlight w:val="none"/>
                <w:u w:val="single" w:color="auto"/>
                <w:lang w:val="en-US" w:eastAsia="zh-CN" w:bidi="ar-SA"/>
              </w:rPr>
              <w:t>70</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ascii="宋体" w:hAnsi="宋体" w:eastAsia="宋体" w:cs="宋体"/>
                <w:snapToGrid w:val="0"/>
                <w:color w:val="000000"/>
                <w:spacing w:val="-88"/>
                <w:kern w:val="0"/>
                <w:sz w:val="20"/>
                <w:szCs w:val="20"/>
                <w:highlight w:val="none"/>
                <w:lang w:val="en-US" w:eastAsia="en-US" w:bidi="ar-SA"/>
              </w:rPr>
              <w:t xml:space="preserve"> </w:t>
            </w:r>
            <w:r>
              <w:rPr>
                <w:rFonts w:ascii="宋体" w:hAnsi="宋体" w:eastAsia="宋体" w:cs="宋体"/>
                <w:snapToGrid w:val="0"/>
                <w:color w:val="000000"/>
                <w:spacing w:val="6"/>
                <w:kern w:val="0"/>
                <w:sz w:val="20"/>
                <w:szCs w:val="20"/>
                <w:highlight w:val="none"/>
                <w:lang w:val="en-US" w:eastAsia="en-US" w:bidi="ar-SA"/>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3" w:hRule="atLeast"/>
        </w:trPr>
        <w:tc>
          <w:tcPr>
            <w:tcW w:w="1700" w:type="dxa"/>
            <w:gridSpan w:val="2"/>
            <w:vAlign w:val="center"/>
          </w:tcPr>
          <w:p>
            <w:pPr>
              <w:widowControl/>
              <w:kinsoku w:val="0"/>
              <w:autoSpaceDE w:val="0"/>
              <w:autoSpaceDN w:val="0"/>
              <w:adjustRightInd w:val="0"/>
              <w:snapToGrid w:val="0"/>
              <w:spacing w:before="57" w:line="195" w:lineRule="auto"/>
              <w:jc w:val="center"/>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2.2.2</w:t>
            </w:r>
          </w:p>
        </w:tc>
        <w:tc>
          <w:tcPr>
            <w:tcW w:w="1275" w:type="dxa"/>
            <w:gridSpan w:val="2"/>
            <w:vAlign w:val="center"/>
          </w:tcPr>
          <w:p>
            <w:pPr>
              <w:kinsoku w:val="0"/>
              <w:autoSpaceDE w:val="0"/>
              <w:autoSpaceDN w:val="0"/>
              <w:adjustRightInd w:val="0"/>
              <w:snapToGrid w:val="0"/>
              <w:spacing w:before="65" w:line="239" w:lineRule="auto"/>
              <w:ind w:right="149"/>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评审基准价</w:t>
            </w:r>
            <w:r>
              <w:rPr>
                <w:rFonts w:ascii="宋体" w:hAnsi="宋体" w:eastAsia="宋体" w:cs="宋体"/>
                <w:snapToGrid w:val="0"/>
                <w:color w:val="000000"/>
                <w:spacing w:val="7"/>
                <w:kern w:val="0"/>
                <w:sz w:val="20"/>
                <w:szCs w:val="20"/>
                <w:lang w:val="en-US" w:eastAsia="en-US" w:bidi="ar-SA"/>
              </w:rPr>
              <w:t>计算方法</w:t>
            </w:r>
          </w:p>
        </w:tc>
        <w:tc>
          <w:tcPr>
            <w:tcW w:w="623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1"/>
                <w:sz w:val="20"/>
                <w:szCs w:val="20"/>
                <w:lang w:val="en-US" w:eastAsia="en-US" w:bidi="ar-SA"/>
              </w:rPr>
              <w:t>评审基准价的计算：</w:t>
            </w:r>
          </w:p>
          <w:p>
            <w:pPr>
              <w:keepNext w:val="0"/>
              <w:keepLines w:val="0"/>
              <w:pageBreakBefore w:val="0"/>
              <w:widowControl/>
              <w:kinsoku w:val="0"/>
              <w:wordWrap/>
              <w:overflowPunct/>
              <w:topLinePunct w:val="0"/>
              <w:autoSpaceDE w:val="0"/>
              <w:autoSpaceDN w:val="0"/>
              <w:bidi w:val="0"/>
              <w:adjustRightInd w:val="0"/>
              <w:snapToGrid w:val="0"/>
              <w:spacing w:before="0" w:line="226"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w:t>
            </w:r>
            <w:r>
              <w:rPr>
                <w:rFonts w:ascii="Times New Roman" w:hAnsi="Times New Roman" w:eastAsia="Times New Roman" w:cs="Times New Roman"/>
                <w:snapToGrid w:val="0"/>
                <w:color w:val="000000"/>
                <w:spacing w:val="6"/>
                <w:kern w:val="0"/>
                <w:sz w:val="20"/>
                <w:szCs w:val="20"/>
                <w:lang w:val="en-US" w:eastAsia="en-US" w:bidi="ar-SA"/>
              </w:rPr>
              <w:t>1</w:t>
            </w:r>
            <w:r>
              <w:rPr>
                <w:rFonts w:ascii="宋体" w:hAnsi="宋体" w:eastAsia="宋体" w:cs="宋体"/>
                <w:snapToGrid w:val="0"/>
                <w:color w:val="000000"/>
                <w:spacing w:val="6"/>
                <w:kern w:val="0"/>
                <w:sz w:val="20"/>
                <w:szCs w:val="20"/>
                <w:lang w:val="en-US" w:eastAsia="en-US" w:bidi="ar-SA"/>
              </w:rPr>
              <w:t>）评审价的确定：</w:t>
            </w:r>
          </w:p>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评审价＝修正后的报价</w:t>
            </w:r>
          </w:p>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w:t>
            </w:r>
            <w:r>
              <w:rPr>
                <w:rFonts w:ascii="Times New Roman" w:hAnsi="Times New Roman" w:eastAsia="Times New Roman" w:cs="Times New Roman"/>
                <w:snapToGrid w:val="0"/>
                <w:color w:val="000000"/>
                <w:spacing w:val="8"/>
                <w:kern w:val="0"/>
                <w:sz w:val="20"/>
                <w:szCs w:val="20"/>
                <w:lang w:val="en-US" w:eastAsia="en-US" w:bidi="ar-SA"/>
              </w:rPr>
              <w:t>2</w:t>
            </w:r>
            <w:r>
              <w:rPr>
                <w:rFonts w:ascii="宋体" w:hAnsi="宋体" w:eastAsia="宋体" w:cs="宋体"/>
                <w:snapToGrid w:val="0"/>
                <w:color w:val="000000"/>
                <w:spacing w:val="8"/>
                <w:kern w:val="0"/>
                <w:sz w:val="20"/>
                <w:szCs w:val="20"/>
                <w:lang w:val="en-US" w:eastAsia="en-US" w:bidi="ar-SA"/>
              </w:rPr>
              <w:t>）评审价平均值的计算</w:t>
            </w:r>
            <w:r>
              <w:rPr>
                <w:rFonts w:ascii="宋体" w:hAnsi="宋体" w:eastAsia="宋体" w:cs="宋体"/>
                <w:snapToGrid w:val="0"/>
                <w:color w:val="000000"/>
                <w:spacing w:val="6"/>
                <w:kern w:val="0"/>
                <w:sz w:val="20"/>
                <w:szCs w:val="20"/>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before="0" w:line="306" w:lineRule="auto"/>
              <w:ind w:right="0"/>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 xml:space="preserve">以通过上述“b.纳入评标价平均值计算均须满足的情形”评审的响应文件的评标价作为有效评标价；如出现无法计算评标价平均值的情况，评标委员会将否决所有响应。 </w:t>
            </w:r>
          </w:p>
          <w:p>
            <w:pPr>
              <w:keepNext w:val="0"/>
              <w:keepLines w:val="0"/>
              <w:pageBreakBefore w:val="0"/>
              <w:widowControl/>
              <w:kinsoku w:val="0"/>
              <w:wordWrap/>
              <w:overflowPunct/>
              <w:topLinePunct w:val="0"/>
              <w:autoSpaceDE w:val="0"/>
              <w:autoSpaceDN w:val="0"/>
              <w:bidi w:val="0"/>
              <w:adjustRightInd w:val="0"/>
              <w:snapToGrid w:val="0"/>
              <w:spacing w:before="0" w:line="306" w:lineRule="auto"/>
              <w:ind w:right="0"/>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 xml:space="preserve">对所有有效评标价按照由低到高进行排序，去除 n 个较高有效评标价和 n 个较低有效评标价，取其他有效评标价进行算术平均得出评标价平均值。设有效评标价对应的供应商数量为 X，n 按照以下规定取值： </w:t>
            </w:r>
          </w:p>
          <w:p>
            <w:pPr>
              <w:keepNext w:val="0"/>
              <w:keepLines w:val="0"/>
              <w:pageBreakBefore w:val="0"/>
              <w:widowControl/>
              <w:kinsoku w:val="0"/>
              <w:wordWrap/>
              <w:overflowPunct/>
              <w:topLinePunct w:val="0"/>
              <w:autoSpaceDE w:val="0"/>
              <w:autoSpaceDN w:val="0"/>
              <w:bidi w:val="0"/>
              <w:adjustRightInd w:val="0"/>
              <w:snapToGrid w:val="0"/>
              <w:spacing w:before="0" w:line="306" w:lineRule="auto"/>
              <w:ind w:right="0"/>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①当 X≤5，n=0；</w:t>
            </w:r>
          </w:p>
          <w:p>
            <w:pPr>
              <w:keepNext w:val="0"/>
              <w:keepLines w:val="0"/>
              <w:pageBreakBefore w:val="0"/>
              <w:widowControl/>
              <w:kinsoku w:val="0"/>
              <w:wordWrap/>
              <w:overflowPunct/>
              <w:topLinePunct w:val="0"/>
              <w:autoSpaceDE w:val="0"/>
              <w:autoSpaceDN w:val="0"/>
              <w:bidi w:val="0"/>
              <w:adjustRightInd w:val="0"/>
              <w:snapToGrid w:val="0"/>
              <w:spacing w:before="0" w:line="306" w:lineRule="auto"/>
              <w:ind w:right="0"/>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 xml:space="preserve">②当 5＜X≤10，n=1； </w:t>
            </w:r>
          </w:p>
          <w:p>
            <w:pPr>
              <w:keepNext w:val="0"/>
              <w:keepLines w:val="0"/>
              <w:pageBreakBefore w:val="0"/>
              <w:widowControl/>
              <w:kinsoku w:val="0"/>
              <w:wordWrap/>
              <w:overflowPunct/>
              <w:topLinePunct w:val="0"/>
              <w:autoSpaceDE w:val="0"/>
              <w:autoSpaceDN w:val="0"/>
              <w:bidi w:val="0"/>
              <w:adjustRightInd w:val="0"/>
              <w:snapToGrid w:val="0"/>
              <w:spacing w:before="0" w:line="306" w:lineRule="auto"/>
              <w:ind w:right="0"/>
              <w:jc w:val="left"/>
              <w:textAlignment w:val="baseline"/>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③当 X＞10，n=2</w:t>
            </w:r>
            <w:r>
              <w:rPr>
                <w:rFonts w:ascii="宋体" w:hAnsi="宋体" w:eastAsia="宋体" w:cs="宋体"/>
                <w:snapToGrid w:val="0"/>
                <w:color w:val="000000"/>
                <w:kern w:val="0"/>
                <w:sz w:val="20"/>
                <w:szCs w:val="20"/>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3</w:t>
            </w:r>
            <w:r>
              <w:rPr>
                <w:rFonts w:ascii="宋体" w:hAnsi="宋体" w:eastAsia="宋体" w:cs="宋体"/>
                <w:snapToGrid w:val="0"/>
                <w:color w:val="000000"/>
                <w:spacing w:val="7"/>
                <w:kern w:val="0"/>
                <w:sz w:val="20"/>
                <w:szCs w:val="20"/>
                <w:lang w:val="en-US" w:eastAsia="en-US" w:bidi="ar-SA"/>
              </w:rPr>
              <w:t>）评审基准价的确定：</w:t>
            </w:r>
          </w:p>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将评审价平均值直接作为评审基准价。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700" w:type="dxa"/>
            <w:gridSpan w:val="2"/>
            <w:vAlign w:val="top"/>
          </w:tcPr>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58" w:line="195" w:lineRule="auto"/>
              <w:ind w:left="64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2.2.3</w:t>
            </w:r>
          </w:p>
        </w:tc>
        <w:tc>
          <w:tcPr>
            <w:tcW w:w="1275" w:type="dxa"/>
            <w:gridSpan w:val="2"/>
            <w:vAlign w:val="top"/>
          </w:tcPr>
          <w:p>
            <w:pPr>
              <w:kinsoku w:val="0"/>
              <w:autoSpaceDE w:val="0"/>
              <w:autoSpaceDN w:val="0"/>
              <w:adjustRightInd w:val="0"/>
              <w:snapToGrid w:val="0"/>
              <w:spacing w:before="35" w:line="240" w:lineRule="auto"/>
              <w:ind w:left="81" w:right="149" w:hanging="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评审价的偏差率计算公</w:t>
            </w:r>
            <w:r>
              <w:rPr>
                <w:rFonts w:ascii="宋体" w:hAnsi="宋体" w:eastAsia="宋体" w:cs="宋体"/>
                <w:snapToGrid w:val="0"/>
                <w:color w:val="000000"/>
                <w:kern w:val="0"/>
                <w:sz w:val="20"/>
                <w:szCs w:val="20"/>
                <w:lang w:val="en-US" w:eastAsia="en-US" w:bidi="ar-SA"/>
              </w:rPr>
              <w:t>式</w:t>
            </w:r>
          </w:p>
        </w:tc>
        <w:tc>
          <w:tcPr>
            <w:tcW w:w="623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line="295" w:lineRule="auto"/>
              <w:ind w:left="0" w:right="0"/>
              <w:jc w:val="left"/>
              <w:textAlignment w:val="baseline"/>
              <w:rPr>
                <w:rFonts w:hint="eastAsia" w:ascii="宋体" w:hAnsi="宋体" w:eastAsia="宋体" w:cs="宋体"/>
                <w:snapToGrid w:val="0"/>
                <w:color w:val="000000"/>
                <w:kern w:val="0"/>
                <w:sz w:val="20"/>
                <w:szCs w:val="20"/>
                <w:lang w:val="en-US" w:eastAsia="zh-CN" w:bidi="ar-SA"/>
              </w:rPr>
            </w:pPr>
            <w:r>
              <w:rPr>
                <w:rFonts w:ascii="Times New Roman" w:hAnsi="Times New Roman" w:eastAsia="Times New Roman" w:cs="Times New Roman"/>
                <w:snapToGrid w:val="0"/>
                <w:color w:val="000000"/>
                <w:spacing w:val="8"/>
                <w:kern w:val="0"/>
                <w:sz w:val="20"/>
                <w:szCs w:val="20"/>
                <w:lang w:val="en-US" w:eastAsia="en-US" w:bidi="ar-SA"/>
              </w:rPr>
              <w:t>偏差率=100% ×（供应商评审价－评审基准价）/评审基准价偏差率保留</w:t>
            </w:r>
            <w:r>
              <w:rPr>
                <w:rFonts w:hint="eastAsia" w:ascii="Times New Roman" w:hAnsi="Times New Roman" w:eastAsia="Times New Roman" w:cs="Times New Roman"/>
                <w:snapToGrid w:val="0"/>
                <w:color w:val="000000"/>
                <w:spacing w:val="8"/>
                <w:kern w:val="0"/>
                <w:sz w:val="20"/>
                <w:szCs w:val="20"/>
                <w:lang w:val="en-US" w:eastAsia="zh-CN" w:bidi="ar-SA"/>
              </w:rPr>
              <w:t>2</w:t>
            </w:r>
            <w:r>
              <w:rPr>
                <w:rFonts w:ascii="Times New Roman" w:hAnsi="Times New Roman" w:eastAsia="Times New Roman" w:cs="Times New Roman"/>
                <w:snapToGrid w:val="0"/>
                <w:color w:val="000000"/>
                <w:spacing w:val="8"/>
                <w:kern w:val="0"/>
                <w:sz w:val="20"/>
                <w:szCs w:val="20"/>
                <w:lang w:val="en-US" w:eastAsia="en-US" w:bidi="ar-SA"/>
              </w:rPr>
              <w:t>位小数</w:t>
            </w:r>
            <w:r>
              <w:rPr>
                <w:rFonts w:hint="eastAsia" w:ascii="Times New Roman" w:hAnsi="Times New Roman" w:eastAsia="宋体" w:cs="Times New Roman"/>
                <w:snapToGrid w:val="0"/>
                <w:color w:val="000000"/>
                <w:spacing w:val="8"/>
                <w:kern w:val="0"/>
                <w:sz w:val="20"/>
                <w:szCs w:val="20"/>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08" w:type="dxa"/>
            <w:gridSpan w:val="6"/>
            <w:vAlign w:val="top"/>
          </w:tcPr>
          <w:p>
            <w:pPr>
              <w:kinsoku w:val="0"/>
              <w:autoSpaceDE w:val="0"/>
              <w:autoSpaceDN w:val="0"/>
              <w:adjustRightInd w:val="0"/>
              <w:snapToGrid w:val="0"/>
              <w:spacing w:before="144" w:line="217" w:lineRule="auto"/>
              <w:jc w:val="center"/>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spacing w:val="9"/>
                <w:kern w:val="0"/>
                <w:sz w:val="20"/>
                <w:szCs w:val="20"/>
                <w:lang w:val="en-US" w:eastAsia="en-US" w:bidi="ar-SA"/>
                <w14:textOutline w14:w="3795" w14:cap="sq" w14:cmpd="sng">
                  <w14:solidFill>
                    <w14:srgbClr w14:val="000000"/>
                  </w14:solidFill>
                  <w14:prstDash w14:val="solid"/>
                  <w14:bevel/>
                </w14:textOutline>
              </w:rPr>
              <w:t>评分因素与权重分值</w:t>
            </w:r>
          </w:p>
          <w:p>
            <w:pPr>
              <w:kinsoku w:val="0"/>
              <w:autoSpaceDE w:val="0"/>
              <w:autoSpaceDN w:val="0"/>
              <w:adjustRightInd w:val="0"/>
              <w:snapToGrid w:val="0"/>
              <w:spacing w:before="65" w:line="229" w:lineRule="auto"/>
              <w:ind w:left="473"/>
              <w:jc w:val="left"/>
              <w:textAlignment w:val="baseline"/>
              <w:rPr>
                <w:rFonts w:ascii="宋体" w:hAnsi="宋体" w:eastAsia="宋体" w:cs="宋体"/>
                <w:snapToGrid w:val="0"/>
                <w:color w:val="000000"/>
                <w:kern w:val="0"/>
                <w:sz w:val="20"/>
                <w:szCs w:val="20"/>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164"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65" w:line="228" w:lineRule="auto"/>
              <w:ind w:left="27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条款号</w:t>
            </w:r>
          </w:p>
        </w:tc>
        <w:tc>
          <w:tcPr>
            <w:tcW w:w="1634" w:type="dxa"/>
            <w:gridSpan w:val="2"/>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65" w:line="228" w:lineRule="auto"/>
              <w:ind w:left="39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评分因素</w:t>
            </w:r>
          </w:p>
        </w:tc>
        <w:tc>
          <w:tcPr>
            <w:tcW w:w="1371" w:type="dxa"/>
            <w:gridSpan w:val="2"/>
            <w:vAlign w:val="center"/>
          </w:tcPr>
          <w:p>
            <w:pPr>
              <w:kinsoku w:val="0"/>
              <w:autoSpaceDE w:val="0"/>
              <w:autoSpaceDN w:val="0"/>
              <w:adjustRightInd w:val="0"/>
              <w:snapToGrid w:val="0"/>
              <w:spacing w:before="139" w:line="379" w:lineRule="exact"/>
              <w:jc w:val="center"/>
              <w:textAlignment w:val="baseline"/>
              <w:rPr>
                <w:rFonts w:ascii="宋体" w:hAnsi="宋体" w:eastAsia="宋体" w:cs="宋体"/>
                <w:snapToGrid w:val="0"/>
                <w:color w:val="000000"/>
                <w:kern w:val="0"/>
                <w:sz w:val="20"/>
                <w:szCs w:val="20"/>
                <w:lang w:val="en-US" w:eastAsia="en-US" w:bidi="ar-SA"/>
              </w:rPr>
            </w:pPr>
            <w:r>
              <w:rPr>
                <w:rFonts w:hint="eastAsia" w:ascii="宋体" w:hAnsi="宋体" w:cs="宋体"/>
                <w:snapToGrid w:val="0"/>
                <w:color w:val="000000"/>
                <w:spacing w:val="9"/>
                <w:kern w:val="0"/>
                <w:sz w:val="20"/>
                <w:szCs w:val="20"/>
                <w:lang w:val="en-US" w:eastAsia="en-US" w:bidi="ar-SA"/>
                <w14:textOutline w14:w="3795" w14:cap="sq" w14:cmpd="sng">
                  <w14:solidFill>
                    <w14:srgbClr w14:val="000000"/>
                  </w14:solidFill>
                  <w14:prstDash w14:val="solid"/>
                  <w14:bevel/>
                </w14:textOutline>
              </w:rPr>
              <w:t>评分因素权重分值</w:t>
            </w:r>
          </w:p>
        </w:tc>
        <w:tc>
          <w:tcPr>
            <w:tcW w:w="5039"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65" w:line="228" w:lineRule="auto"/>
              <w:jc w:val="center"/>
              <w:textAlignment w:val="baseline"/>
              <w:rPr>
                <w:rFonts w:ascii="Arial" w:hAnsi="Arial" w:eastAsia="Arial" w:cs="Arial"/>
                <w:snapToGrid w:val="0"/>
                <w:color w:val="000000"/>
                <w:kern w:val="0"/>
                <w:sz w:val="21"/>
                <w:szCs w:val="21"/>
                <w:lang w:eastAsia="en-US"/>
              </w:rPr>
            </w:pPr>
            <w:r>
              <w:rPr>
                <w:rFonts w:hint="eastAsia" w:ascii="宋体" w:hAnsi="宋体" w:cs="宋体"/>
                <w:snapToGrid w:val="0"/>
                <w:color w:val="000000"/>
                <w:spacing w:val="9"/>
                <w:kern w:val="0"/>
                <w:sz w:val="20"/>
                <w:szCs w:val="20"/>
                <w:lang w:val="en-US" w:eastAsia="zh-CN" w:bidi="ar-SA"/>
                <w14:textOutline w14:w="3795"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64" w:type="dxa"/>
            <w:vAlign w:val="center"/>
          </w:tcPr>
          <w:p>
            <w:pPr>
              <w:kinsoku w:val="0"/>
              <w:autoSpaceDE w:val="0"/>
              <w:autoSpaceDN w:val="0"/>
              <w:adjustRightInd w:val="0"/>
              <w:snapToGrid w:val="0"/>
              <w:spacing w:before="146" w:line="216" w:lineRule="auto"/>
              <w:ind w:left="112"/>
              <w:jc w:val="center"/>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3"/>
                <w:kern w:val="0"/>
                <w:sz w:val="20"/>
                <w:szCs w:val="20"/>
                <w:lang w:val="en-US" w:eastAsia="en-US" w:bidi="ar-SA"/>
              </w:rPr>
              <w:t>2.2.</w:t>
            </w:r>
            <w:r>
              <w:rPr>
                <w:rFonts w:hint="eastAsia" w:ascii="Times New Roman" w:hAnsi="Times New Roman" w:eastAsia="宋体" w:cs="Times New Roman"/>
                <w:snapToGrid w:val="0"/>
                <w:color w:val="000000"/>
                <w:spacing w:val="3"/>
                <w:kern w:val="0"/>
                <w:sz w:val="20"/>
                <w:szCs w:val="20"/>
                <w:lang w:val="en-US" w:eastAsia="zh-CN" w:bidi="ar-SA"/>
              </w:rPr>
              <w:t>6</w:t>
            </w:r>
          </w:p>
        </w:tc>
        <w:tc>
          <w:tcPr>
            <w:tcW w:w="1634" w:type="dxa"/>
            <w:gridSpan w:val="2"/>
            <w:vAlign w:val="center"/>
          </w:tcPr>
          <w:p>
            <w:pPr>
              <w:kinsoku w:val="0"/>
              <w:autoSpaceDE w:val="0"/>
              <w:autoSpaceDN w:val="0"/>
              <w:adjustRightInd w:val="0"/>
              <w:snapToGrid w:val="0"/>
              <w:spacing w:before="146" w:line="216" w:lineRule="auto"/>
              <w:ind w:left="400"/>
              <w:jc w:val="left"/>
              <w:textAlignment w:val="baseline"/>
              <w:rPr>
                <w:rFonts w:ascii="宋体" w:hAnsi="宋体" w:eastAsia="宋体" w:cs="宋体"/>
                <w:snapToGrid w:val="0"/>
                <w:color w:val="000000"/>
                <w:kern w:val="0"/>
                <w:sz w:val="20"/>
                <w:szCs w:val="20"/>
                <w:lang w:val="en-US" w:eastAsia="en-US" w:bidi="ar-SA"/>
              </w:rPr>
            </w:pPr>
            <w:r>
              <w:rPr>
                <w:rFonts w:hint="eastAsia" w:ascii="宋体" w:hAnsi="宋体" w:cs="宋体"/>
                <w:snapToGrid w:val="0"/>
                <w:color w:val="000000"/>
                <w:spacing w:val="7"/>
                <w:kern w:val="0"/>
                <w:sz w:val="20"/>
                <w:szCs w:val="20"/>
                <w:lang w:val="en-US" w:eastAsia="zh-CN" w:bidi="ar-SA"/>
              </w:rPr>
              <w:t>设计及服务</w:t>
            </w:r>
            <w:r>
              <w:rPr>
                <w:rFonts w:ascii="宋体" w:hAnsi="宋体" w:eastAsia="宋体" w:cs="宋体"/>
                <w:snapToGrid w:val="0"/>
                <w:color w:val="000000"/>
                <w:spacing w:val="7"/>
                <w:kern w:val="0"/>
                <w:sz w:val="20"/>
                <w:szCs w:val="20"/>
                <w:lang w:val="en-US" w:eastAsia="en-US" w:bidi="ar-SA"/>
              </w:rPr>
              <w:t>方案</w:t>
            </w:r>
          </w:p>
        </w:tc>
        <w:tc>
          <w:tcPr>
            <w:tcW w:w="1371" w:type="dxa"/>
            <w:gridSpan w:val="2"/>
            <w:vAlign w:val="center"/>
          </w:tcPr>
          <w:p>
            <w:pPr>
              <w:tabs>
                <w:tab w:val="left" w:pos="684"/>
              </w:tabs>
              <w:kinsoku w:val="0"/>
              <w:autoSpaceDE w:val="0"/>
              <w:autoSpaceDN w:val="0"/>
              <w:adjustRightInd w:val="0"/>
              <w:snapToGrid w:val="0"/>
              <w:spacing w:before="146" w:line="216" w:lineRule="auto"/>
              <w:jc w:val="center"/>
              <w:textAlignment w:val="baseline"/>
              <w:rPr>
                <w:rFonts w:hint="default" w:ascii="宋体" w:hAnsi="宋体" w:eastAsia="宋体" w:cs="宋体"/>
                <w:snapToGrid w:val="0"/>
                <w:color w:val="000000"/>
                <w:kern w:val="0"/>
                <w:sz w:val="20"/>
                <w:szCs w:val="20"/>
                <w:highlight w:val="none"/>
                <w:lang w:val="en-US" w:eastAsia="en-US" w:bidi="ar-SA"/>
              </w:rPr>
            </w:pPr>
            <w:r>
              <w:rPr>
                <w:rFonts w:hint="eastAsia" w:ascii="宋体" w:hAnsi="宋体" w:cs="宋体"/>
                <w:snapToGrid w:val="0"/>
                <w:color w:val="000000"/>
                <w:kern w:val="0"/>
                <w:sz w:val="20"/>
                <w:szCs w:val="20"/>
                <w:highlight w:val="none"/>
                <w:u w:val="none"/>
                <w:lang w:val="en-US" w:eastAsia="zh-CN" w:bidi="ar-SA"/>
              </w:rPr>
              <w:t>20分</w:t>
            </w:r>
          </w:p>
        </w:tc>
        <w:tc>
          <w:tcPr>
            <w:tcW w:w="503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评标委员会根据投标人编制</w:t>
            </w:r>
            <w:r>
              <w:rPr>
                <w:rFonts w:hint="eastAsia" w:ascii="宋体" w:hAnsi="宋体" w:cs="宋体"/>
                <w:snapToGrid w:val="0"/>
                <w:color w:val="000000"/>
                <w:spacing w:val="7"/>
                <w:kern w:val="0"/>
                <w:sz w:val="20"/>
                <w:szCs w:val="20"/>
                <w:highlight w:val="none"/>
                <w:lang w:val="en-US" w:eastAsia="zh-CN" w:bidi="ar-SA"/>
              </w:rPr>
              <w:t>的设计及</w:t>
            </w:r>
            <w:r>
              <w:rPr>
                <w:rFonts w:hint="eastAsia" w:ascii="宋体" w:hAnsi="宋体" w:eastAsia="宋体" w:cs="宋体"/>
                <w:snapToGrid w:val="0"/>
                <w:color w:val="000000"/>
                <w:spacing w:val="7"/>
                <w:kern w:val="0"/>
                <w:sz w:val="20"/>
                <w:szCs w:val="20"/>
                <w:highlight w:val="none"/>
                <w:lang w:val="en-US" w:eastAsia="zh-CN" w:bidi="ar-SA"/>
              </w:rPr>
              <w:t>服务方案进行综合评审：</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服务方案（10分）：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280" w:lineRule="auto"/>
              <w:ind w:left="10" w:leftChars="0" w:right="18" w:rightChars="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（1）服务方案内容全面科学、项目组人员</w:t>
            </w:r>
            <w:r>
              <w:rPr>
                <w:rFonts w:hint="eastAsia" w:ascii="宋体" w:hAnsi="宋体" w:cs="宋体"/>
                <w:snapToGrid w:val="0"/>
                <w:color w:val="000000"/>
                <w:spacing w:val="7"/>
                <w:kern w:val="0"/>
                <w:sz w:val="20"/>
                <w:szCs w:val="20"/>
                <w:highlight w:val="none"/>
                <w:lang w:val="en-US" w:eastAsia="zh-CN" w:bidi="ar-SA"/>
              </w:rPr>
              <w:t>配备齐全（其中国家注册电气工程师不少于2名，提供注册证书及人员6个月社保证明）</w:t>
            </w:r>
            <w:r>
              <w:rPr>
                <w:rFonts w:hint="eastAsia" w:ascii="宋体" w:hAnsi="宋体" w:eastAsia="宋体" w:cs="宋体"/>
                <w:snapToGrid w:val="0"/>
                <w:color w:val="000000"/>
                <w:spacing w:val="7"/>
                <w:kern w:val="0"/>
                <w:sz w:val="20"/>
                <w:szCs w:val="20"/>
                <w:highlight w:val="none"/>
                <w:lang w:val="en-US" w:eastAsia="zh-CN" w:bidi="ar-SA"/>
              </w:rPr>
              <w:t>、责任划定科学，</w:t>
            </w:r>
            <w:r>
              <w:rPr>
                <w:rFonts w:hint="eastAsia" w:ascii="宋体" w:hAnsi="宋体" w:cs="宋体"/>
                <w:snapToGrid w:val="0"/>
                <w:color w:val="000000"/>
                <w:spacing w:val="7"/>
                <w:kern w:val="0"/>
                <w:sz w:val="20"/>
                <w:szCs w:val="20"/>
                <w:highlight w:val="none"/>
                <w:lang w:val="en-US" w:eastAsia="zh-CN" w:bidi="ar-SA"/>
              </w:rPr>
              <w:t>重难点</w:t>
            </w:r>
            <w:r>
              <w:rPr>
                <w:rFonts w:hint="eastAsia" w:ascii="宋体" w:hAnsi="宋体" w:eastAsia="宋体" w:cs="宋体"/>
                <w:snapToGrid w:val="0"/>
                <w:color w:val="000000"/>
                <w:spacing w:val="7"/>
                <w:kern w:val="0"/>
                <w:sz w:val="20"/>
                <w:szCs w:val="20"/>
                <w:highlight w:val="none"/>
                <w:lang w:val="en-US" w:eastAsia="zh-CN" w:bidi="ar-SA"/>
              </w:rPr>
              <w:t>阐述详细，服务质量保证措施、质量控制措施科学合理的，得</w:t>
            </w:r>
            <w:r>
              <w:rPr>
                <w:rFonts w:hint="eastAsia" w:ascii="宋体" w:hAnsi="宋体" w:cs="宋体"/>
                <w:snapToGrid w:val="0"/>
                <w:color w:val="000000"/>
                <w:spacing w:val="7"/>
                <w:kern w:val="0"/>
                <w:sz w:val="20"/>
                <w:szCs w:val="20"/>
                <w:highlight w:val="none"/>
                <w:lang w:val="en-US" w:eastAsia="zh-CN" w:bidi="ar-SA"/>
              </w:rPr>
              <w:t>10</w:t>
            </w:r>
            <w:r>
              <w:rPr>
                <w:rFonts w:hint="eastAsia" w:ascii="宋体" w:hAnsi="宋体" w:eastAsia="宋体" w:cs="宋体"/>
                <w:snapToGrid w:val="0"/>
                <w:color w:val="000000"/>
                <w:spacing w:val="7"/>
                <w:kern w:val="0"/>
                <w:sz w:val="20"/>
                <w:szCs w:val="20"/>
                <w:highlight w:val="none"/>
                <w:lang w:val="en-US" w:eastAsia="zh-CN" w:bidi="ar-SA"/>
              </w:rPr>
              <w:t>-</w:t>
            </w:r>
            <w:r>
              <w:rPr>
                <w:rFonts w:hint="eastAsia" w:ascii="宋体" w:hAnsi="宋体" w:cs="宋体"/>
                <w:snapToGrid w:val="0"/>
                <w:color w:val="000000"/>
                <w:spacing w:val="7"/>
                <w:kern w:val="0"/>
                <w:sz w:val="20"/>
                <w:szCs w:val="20"/>
                <w:highlight w:val="none"/>
                <w:lang w:val="en-US" w:eastAsia="zh-CN" w:bidi="ar-SA"/>
              </w:rPr>
              <w:t>6</w:t>
            </w:r>
            <w:r>
              <w:rPr>
                <w:rFonts w:hint="eastAsia" w:ascii="宋体" w:hAnsi="宋体" w:eastAsia="宋体" w:cs="宋体"/>
                <w:snapToGrid w:val="0"/>
                <w:color w:val="000000"/>
                <w:spacing w:val="7"/>
                <w:kern w:val="0"/>
                <w:sz w:val="20"/>
                <w:szCs w:val="20"/>
                <w:highlight w:val="none"/>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（2）服务方案内容</w:t>
            </w:r>
            <w:r>
              <w:rPr>
                <w:rFonts w:hint="eastAsia" w:ascii="宋体" w:hAnsi="宋体" w:cs="宋体"/>
                <w:snapToGrid w:val="0"/>
                <w:color w:val="000000"/>
                <w:spacing w:val="7"/>
                <w:kern w:val="0"/>
                <w:sz w:val="20"/>
                <w:szCs w:val="20"/>
                <w:highlight w:val="none"/>
                <w:lang w:val="en-US" w:eastAsia="zh-CN" w:bidi="ar-SA"/>
              </w:rPr>
              <w:t>较为</w:t>
            </w:r>
            <w:r>
              <w:rPr>
                <w:rFonts w:hint="eastAsia" w:ascii="宋体" w:hAnsi="宋体" w:eastAsia="宋体" w:cs="宋体"/>
                <w:snapToGrid w:val="0"/>
                <w:color w:val="000000"/>
                <w:spacing w:val="7"/>
                <w:kern w:val="0"/>
                <w:sz w:val="20"/>
                <w:szCs w:val="20"/>
                <w:highlight w:val="none"/>
                <w:lang w:val="en-US" w:eastAsia="zh-CN" w:bidi="ar-SA"/>
              </w:rPr>
              <w:t>全面科学、项目组人员配备齐全（其中国家注</w:t>
            </w:r>
            <w:bookmarkStart w:id="121" w:name="_GoBack"/>
            <w:bookmarkEnd w:id="121"/>
            <w:r>
              <w:rPr>
                <w:rFonts w:hint="eastAsia" w:ascii="宋体" w:hAnsi="宋体" w:eastAsia="宋体" w:cs="宋体"/>
                <w:snapToGrid w:val="0"/>
                <w:color w:val="000000"/>
                <w:spacing w:val="7"/>
                <w:kern w:val="0"/>
                <w:sz w:val="20"/>
                <w:szCs w:val="20"/>
                <w:highlight w:val="none"/>
                <w:lang w:val="en-US" w:eastAsia="zh-CN" w:bidi="ar-SA"/>
              </w:rPr>
              <w:t>册电气工程师不少于1名，提供注册证书及人员6个月社保证明）、责任划定科学，重难点阐述详细，服务质量保证措施、质量控制措施科学合理的，得</w:t>
            </w:r>
            <w:r>
              <w:rPr>
                <w:rFonts w:hint="eastAsia" w:ascii="宋体" w:hAnsi="宋体" w:cs="宋体"/>
                <w:snapToGrid w:val="0"/>
                <w:color w:val="000000"/>
                <w:spacing w:val="7"/>
                <w:kern w:val="0"/>
                <w:sz w:val="20"/>
                <w:szCs w:val="20"/>
                <w:highlight w:val="none"/>
                <w:lang w:val="en-US" w:eastAsia="zh-CN" w:bidi="ar-SA"/>
              </w:rPr>
              <w:t>5</w:t>
            </w:r>
            <w:r>
              <w:rPr>
                <w:rFonts w:hint="eastAsia" w:ascii="宋体" w:hAnsi="宋体" w:eastAsia="宋体" w:cs="宋体"/>
                <w:snapToGrid w:val="0"/>
                <w:color w:val="000000"/>
                <w:spacing w:val="7"/>
                <w:kern w:val="0"/>
                <w:sz w:val="20"/>
                <w:szCs w:val="20"/>
                <w:highlight w:val="none"/>
                <w:lang w:val="en-US" w:eastAsia="zh-CN" w:bidi="ar-SA"/>
              </w:rPr>
              <w:t>-</w:t>
            </w:r>
            <w:r>
              <w:rPr>
                <w:rFonts w:hint="eastAsia" w:ascii="宋体" w:hAnsi="宋体" w:cs="宋体"/>
                <w:snapToGrid w:val="0"/>
                <w:color w:val="000000"/>
                <w:spacing w:val="7"/>
                <w:kern w:val="0"/>
                <w:sz w:val="20"/>
                <w:szCs w:val="20"/>
                <w:highlight w:val="none"/>
                <w:lang w:val="en-US" w:eastAsia="zh-CN" w:bidi="ar-SA"/>
              </w:rPr>
              <w:t>3</w:t>
            </w:r>
            <w:r>
              <w:rPr>
                <w:rFonts w:hint="eastAsia" w:ascii="宋体" w:hAnsi="宋体" w:eastAsia="宋体" w:cs="宋体"/>
                <w:snapToGrid w:val="0"/>
                <w:color w:val="000000"/>
                <w:spacing w:val="7"/>
                <w:kern w:val="0"/>
                <w:sz w:val="20"/>
                <w:szCs w:val="20"/>
                <w:highlight w:val="none"/>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（3）服务方案及保证措施一般的，得</w:t>
            </w:r>
            <w:r>
              <w:rPr>
                <w:rFonts w:hint="eastAsia" w:ascii="宋体" w:hAnsi="宋体" w:cs="宋体"/>
                <w:snapToGrid w:val="0"/>
                <w:color w:val="000000"/>
                <w:spacing w:val="7"/>
                <w:kern w:val="0"/>
                <w:sz w:val="20"/>
                <w:szCs w:val="20"/>
                <w:highlight w:val="none"/>
                <w:lang w:val="en-US" w:eastAsia="zh-CN" w:bidi="ar-SA"/>
              </w:rPr>
              <w:t>2</w:t>
            </w:r>
            <w:r>
              <w:rPr>
                <w:rFonts w:hint="eastAsia" w:ascii="宋体" w:hAnsi="宋体" w:eastAsia="宋体" w:cs="宋体"/>
                <w:snapToGrid w:val="0"/>
                <w:color w:val="000000"/>
                <w:spacing w:val="7"/>
                <w:kern w:val="0"/>
                <w:sz w:val="20"/>
                <w:szCs w:val="20"/>
                <w:highlight w:val="none"/>
                <w:lang w:val="en-US" w:eastAsia="zh-CN" w:bidi="ar-SA"/>
              </w:rPr>
              <w:t>-</w:t>
            </w:r>
            <w:r>
              <w:rPr>
                <w:rFonts w:hint="eastAsia" w:ascii="宋体" w:hAnsi="宋体" w:cs="宋体"/>
                <w:snapToGrid w:val="0"/>
                <w:color w:val="000000"/>
                <w:spacing w:val="7"/>
                <w:kern w:val="0"/>
                <w:sz w:val="20"/>
                <w:szCs w:val="20"/>
                <w:highlight w:val="none"/>
                <w:lang w:val="en-US" w:eastAsia="zh-CN" w:bidi="ar-SA"/>
              </w:rPr>
              <w:t>1</w:t>
            </w:r>
            <w:r>
              <w:rPr>
                <w:rFonts w:hint="eastAsia" w:ascii="宋体" w:hAnsi="宋体" w:eastAsia="宋体" w:cs="宋体"/>
                <w:snapToGrid w:val="0"/>
                <w:color w:val="000000"/>
                <w:spacing w:val="7"/>
                <w:kern w:val="0"/>
                <w:sz w:val="20"/>
                <w:szCs w:val="20"/>
                <w:highlight w:val="none"/>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（4）差或未提供不得分。</w:t>
            </w:r>
          </w:p>
          <w:p>
            <w:pPr>
              <w:pStyle w:val="2"/>
              <w:ind w:left="0" w:leftChars="0" w:firstLine="0" w:firstLineChars="0"/>
              <w:rPr>
                <w:rFonts w:hint="eastAsia" w:ascii="宋体" w:hAnsi="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2、项目设计方案及图纸（10分）：</w:t>
            </w:r>
          </w:p>
          <w:p>
            <w:pPr>
              <w:pStyle w:val="2"/>
              <w:ind w:left="0" w:leftChars="0" w:firstLine="0" w:firstLineChars="0"/>
              <w:rPr>
                <w:rFonts w:hint="default" w:ascii="宋体" w:hAnsi="宋体" w:eastAsia="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 xml:space="preserve">  不限于：项目的总体规划、一座开闭所、四座公建配电房和两座自管配电房的高低压一二次系统、平面布置、配电房剖面、小区电力管网、住宅干线图。</w:t>
            </w:r>
          </w:p>
          <w:p>
            <w:pPr>
              <w:pStyle w:val="2"/>
              <w:ind w:left="0" w:leftChars="0" w:firstLine="0" w:firstLineChars="0"/>
              <w:rPr>
                <w:rFonts w:hint="eastAsia" w:ascii="宋体" w:hAnsi="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（1）设计完整、详细、合理，得10~6分；</w:t>
            </w:r>
          </w:p>
          <w:p>
            <w:pPr>
              <w:pStyle w:val="2"/>
              <w:ind w:left="0" w:leftChars="0" w:firstLine="0" w:firstLineChars="0"/>
              <w:rPr>
                <w:rFonts w:hint="eastAsia" w:ascii="宋体" w:hAnsi="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（2）设计较为完整、详细、合理，得5~3分；</w:t>
            </w:r>
          </w:p>
          <w:p>
            <w:pPr>
              <w:pStyle w:val="2"/>
              <w:ind w:left="0" w:leftChars="0" w:firstLine="0" w:firstLineChars="0"/>
              <w:rPr>
                <w:rFonts w:hint="default" w:ascii="宋体" w:hAnsi="宋体" w:cs="宋体"/>
                <w:snapToGrid w:val="0"/>
                <w:color w:val="000000"/>
                <w:spacing w:val="7"/>
                <w:kern w:val="0"/>
                <w:sz w:val="20"/>
                <w:szCs w:val="20"/>
                <w:highlight w:val="none"/>
                <w:lang w:val="en-US" w:eastAsia="en-US" w:bidi="ar-SA"/>
              </w:rPr>
            </w:pPr>
            <w:r>
              <w:rPr>
                <w:rFonts w:hint="eastAsia" w:ascii="宋体" w:hAnsi="宋体" w:cs="宋体"/>
                <w:snapToGrid w:val="0"/>
                <w:color w:val="000000"/>
                <w:spacing w:val="7"/>
                <w:kern w:val="0"/>
                <w:sz w:val="20"/>
                <w:szCs w:val="20"/>
                <w:highlight w:val="none"/>
                <w:lang w:val="en-US" w:eastAsia="zh-CN" w:bidi="ar-SA"/>
              </w:rPr>
              <w:t>（3）设计不完整、有漏项等，得2~0分；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164" w:type="dxa"/>
            <w:vAlign w:val="center"/>
          </w:tcPr>
          <w:p>
            <w:pPr>
              <w:kinsoku w:val="0"/>
              <w:autoSpaceDE w:val="0"/>
              <w:autoSpaceDN w:val="0"/>
              <w:adjustRightInd w:val="0"/>
              <w:snapToGrid w:val="0"/>
              <w:spacing w:before="146" w:line="216" w:lineRule="auto"/>
              <w:ind w:left="112"/>
              <w:jc w:val="center"/>
              <w:textAlignment w:val="baseline"/>
              <w:rPr>
                <w:rFonts w:hint="default" w:ascii="Times New Roman" w:hAnsi="Times New Roman" w:eastAsia="宋体" w:cs="Times New Roman"/>
                <w:snapToGrid w:val="0"/>
                <w:color w:val="000000"/>
                <w:spacing w:val="3"/>
                <w:kern w:val="0"/>
                <w:sz w:val="20"/>
                <w:szCs w:val="20"/>
                <w:lang w:val="en-US" w:eastAsia="zh-CN" w:bidi="ar-SA"/>
              </w:rPr>
            </w:pPr>
            <w:r>
              <w:rPr>
                <w:rFonts w:hint="eastAsia" w:ascii="Times New Roman" w:hAnsi="Times New Roman" w:eastAsia="宋体" w:cs="Times New Roman"/>
                <w:snapToGrid w:val="0"/>
                <w:color w:val="000000"/>
                <w:spacing w:val="3"/>
                <w:kern w:val="0"/>
                <w:sz w:val="20"/>
                <w:szCs w:val="20"/>
                <w:lang w:val="en-US" w:eastAsia="zh-CN" w:bidi="ar-SA"/>
              </w:rPr>
              <w:t>2.2.7</w:t>
            </w:r>
          </w:p>
        </w:tc>
        <w:tc>
          <w:tcPr>
            <w:tcW w:w="1634" w:type="dxa"/>
            <w:gridSpan w:val="2"/>
            <w:vAlign w:val="center"/>
          </w:tcPr>
          <w:p>
            <w:pPr>
              <w:kinsoku w:val="0"/>
              <w:autoSpaceDE w:val="0"/>
              <w:autoSpaceDN w:val="0"/>
              <w:adjustRightInd w:val="0"/>
              <w:snapToGrid w:val="0"/>
              <w:spacing w:before="146" w:line="216" w:lineRule="auto"/>
              <w:ind w:left="400"/>
              <w:jc w:val="left"/>
              <w:textAlignment w:val="baseline"/>
              <w:rPr>
                <w:rFonts w:hint="default" w:ascii="宋体" w:hAnsi="宋体" w:eastAsia="宋体" w:cs="宋体"/>
                <w:snapToGrid w:val="0"/>
                <w:color w:val="000000"/>
                <w:spacing w:val="7"/>
                <w:kern w:val="0"/>
                <w:sz w:val="20"/>
                <w:szCs w:val="20"/>
                <w:lang w:val="en-US" w:eastAsia="zh-CN" w:bidi="ar-SA"/>
              </w:rPr>
            </w:pPr>
            <w:r>
              <w:rPr>
                <w:rFonts w:hint="eastAsia" w:ascii="宋体" w:hAnsi="宋体" w:cs="宋体"/>
                <w:snapToGrid w:val="0"/>
                <w:color w:val="000000"/>
                <w:spacing w:val="7"/>
                <w:kern w:val="0"/>
                <w:sz w:val="20"/>
                <w:szCs w:val="20"/>
                <w:lang w:val="en-US" w:eastAsia="zh-CN" w:bidi="ar-SA"/>
              </w:rPr>
              <w:t>企业业绩</w:t>
            </w:r>
          </w:p>
        </w:tc>
        <w:tc>
          <w:tcPr>
            <w:tcW w:w="1371" w:type="dxa"/>
            <w:gridSpan w:val="2"/>
            <w:vAlign w:val="center"/>
          </w:tcPr>
          <w:p>
            <w:pPr>
              <w:tabs>
                <w:tab w:val="left" w:pos="684"/>
              </w:tabs>
              <w:kinsoku w:val="0"/>
              <w:autoSpaceDE w:val="0"/>
              <w:autoSpaceDN w:val="0"/>
              <w:adjustRightInd w:val="0"/>
              <w:snapToGrid w:val="0"/>
              <w:spacing w:before="146" w:line="216" w:lineRule="auto"/>
              <w:jc w:val="center"/>
              <w:textAlignment w:val="baseline"/>
              <w:rPr>
                <w:rFonts w:hint="default" w:ascii="宋体" w:hAnsi="宋体" w:cs="宋体"/>
                <w:snapToGrid w:val="0"/>
                <w:color w:val="000000"/>
                <w:kern w:val="0"/>
                <w:sz w:val="20"/>
                <w:szCs w:val="20"/>
                <w:highlight w:val="none"/>
                <w:u w:val="none"/>
                <w:lang w:val="en-US" w:eastAsia="zh-CN" w:bidi="ar-SA"/>
              </w:rPr>
            </w:pPr>
            <w:r>
              <w:rPr>
                <w:rFonts w:hint="eastAsia" w:ascii="宋体" w:hAnsi="宋体" w:cs="宋体"/>
                <w:snapToGrid w:val="0"/>
                <w:color w:val="000000"/>
                <w:kern w:val="0"/>
                <w:sz w:val="20"/>
                <w:szCs w:val="20"/>
                <w:highlight w:val="none"/>
                <w:u w:val="none"/>
                <w:lang w:val="en-US" w:eastAsia="zh-CN" w:bidi="ar-SA"/>
              </w:rPr>
              <w:t>10分</w:t>
            </w:r>
          </w:p>
        </w:tc>
        <w:tc>
          <w:tcPr>
            <w:tcW w:w="503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en-US" w:bidi="ar-SA"/>
              </w:rPr>
            </w:pPr>
            <w:r>
              <w:rPr>
                <w:rFonts w:hint="eastAsia" w:ascii="宋体" w:hAnsi="宋体" w:eastAsia="宋体" w:cs="宋体"/>
                <w:snapToGrid w:val="0"/>
                <w:color w:val="000000"/>
                <w:spacing w:val="7"/>
                <w:kern w:val="0"/>
                <w:sz w:val="20"/>
                <w:szCs w:val="20"/>
                <w:highlight w:val="none"/>
                <w:lang w:val="en-US" w:eastAsia="zh-CN" w:bidi="ar-SA"/>
              </w:rPr>
              <w:t>1、自20</w:t>
            </w:r>
            <w:r>
              <w:rPr>
                <w:rFonts w:hint="eastAsia" w:ascii="宋体" w:hAnsi="宋体" w:cs="宋体"/>
                <w:snapToGrid w:val="0"/>
                <w:color w:val="000000"/>
                <w:spacing w:val="7"/>
                <w:kern w:val="0"/>
                <w:sz w:val="20"/>
                <w:szCs w:val="20"/>
                <w:highlight w:val="none"/>
                <w:lang w:val="en-US" w:eastAsia="zh-CN" w:bidi="ar-SA"/>
              </w:rPr>
              <w:t>21</w:t>
            </w:r>
            <w:r>
              <w:rPr>
                <w:rFonts w:hint="eastAsia" w:ascii="宋体" w:hAnsi="宋体" w:eastAsia="宋体" w:cs="宋体"/>
                <w:snapToGrid w:val="0"/>
                <w:color w:val="000000"/>
                <w:spacing w:val="7"/>
                <w:kern w:val="0"/>
                <w:sz w:val="20"/>
                <w:szCs w:val="20"/>
                <w:highlight w:val="none"/>
                <w:lang w:val="en-US" w:eastAsia="zh-CN" w:bidi="ar-SA"/>
              </w:rPr>
              <w:t>年1</w:t>
            </w:r>
            <w:r>
              <w:rPr>
                <w:rFonts w:hint="eastAsia" w:ascii="宋体" w:hAnsi="宋体" w:cs="宋体"/>
                <w:snapToGrid w:val="0"/>
                <w:color w:val="000000"/>
                <w:spacing w:val="7"/>
                <w:kern w:val="0"/>
                <w:sz w:val="20"/>
                <w:szCs w:val="20"/>
                <w:highlight w:val="none"/>
                <w:lang w:val="en-US" w:eastAsia="zh-CN" w:bidi="ar-SA"/>
              </w:rPr>
              <w:t>月</w:t>
            </w:r>
            <w:r>
              <w:rPr>
                <w:rFonts w:hint="eastAsia" w:ascii="宋体" w:hAnsi="宋体" w:eastAsia="宋体" w:cs="宋体"/>
                <w:snapToGrid w:val="0"/>
                <w:color w:val="000000"/>
                <w:spacing w:val="7"/>
                <w:kern w:val="0"/>
                <w:sz w:val="20"/>
                <w:szCs w:val="20"/>
                <w:highlight w:val="none"/>
                <w:lang w:val="en-US" w:eastAsia="zh-CN" w:bidi="ar-SA"/>
              </w:rPr>
              <w:t>1日</w:t>
            </w:r>
            <w:r>
              <w:rPr>
                <w:rFonts w:hint="eastAsia" w:ascii="宋体" w:hAnsi="宋体" w:cs="宋体"/>
                <w:snapToGrid w:val="0"/>
                <w:color w:val="000000"/>
                <w:spacing w:val="7"/>
                <w:kern w:val="0"/>
                <w:sz w:val="20"/>
                <w:szCs w:val="20"/>
                <w:highlight w:val="none"/>
                <w:lang w:val="en-US" w:eastAsia="zh-CN" w:bidi="ar-SA"/>
              </w:rPr>
              <w:t>至</w:t>
            </w:r>
            <w:r>
              <w:rPr>
                <w:rFonts w:hint="eastAsia" w:ascii="宋体" w:hAnsi="宋体" w:eastAsia="宋体" w:cs="宋体"/>
                <w:snapToGrid w:val="0"/>
                <w:color w:val="000000"/>
                <w:spacing w:val="7"/>
                <w:kern w:val="0"/>
                <w:sz w:val="20"/>
                <w:szCs w:val="20"/>
                <w:highlight w:val="none"/>
                <w:lang w:val="en-US" w:eastAsia="zh-CN" w:bidi="ar-SA"/>
              </w:rPr>
              <w:t>2023年</w:t>
            </w:r>
            <w:r>
              <w:rPr>
                <w:rFonts w:hint="eastAsia" w:ascii="宋体" w:hAnsi="宋体" w:cs="宋体"/>
                <w:snapToGrid w:val="0"/>
                <w:color w:val="000000"/>
                <w:spacing w:val="7"/>
                <w:kern w:val="0"/>
                <w:sz w:val="20"/>
                <w:szCs w:val="20"/>
                <w:highlight w:val="none"/>
                <w:lang w:val="en-US" w:eastAsia="zh-CN" w:bidi="ar-SA"/>
              </w:rPr>
              <w:t>12月31日</w:t>
            </w:r>
            <w:r>
              <w:rPr>
                <w:rFonts w:hint="eastAsia" w:ascii="宋体" w:hAnsi="宋体" w:eastAsia="宋体" w:cs="宋体"/>
                <w:snapToGrid w:val="0"/>
                <w:color w:val="000000"/>
                <w:spacing w:val="7"/>
                <w:kern w:val="0"/>
                <w:sz w:val="20"/>
                <w:szCs w:val="20"/>
                <w:highlight w:val="none"/>
                <w:lang w:val="en-US" w:eastAsia="zh-CN" w:bidi="ar-SA"/>
              </w:rPr>
              <w:t>（以合同签订时间为准），投标人具有</w:t>
            </w:r>
            <w:r>
              <w:rPr>
                <w:rFonts w:hint="eastAsia" w:ascii="宋体" w:hAnsi="宋体" w:cs="宋体"/>
                <w:snapToGrid w:val="0"/>
                <w:color w:val="000000"/>
                <w:spacing w:val="7"/>
                <w:kern w:val="0"/>
                <w:sz w:val="20"/>
                <w:szCs w:val="20"/>
                <w:highlight w:val="none"/>
                <w:lang w:val="en-US" w:eastAsia="zh-CN" w:bidi="ar-SA"/>
              </w:rPr>
              <w:t>供电工程规划及施工图设计服务合同额不小于20万</w:t>
            </w:r>
            <w:r>
              <w:rPr>
                <w:rFonts w:hint="eastAsia" w:ascii="宋体" w:hAnsi="宋体" w:eastAsia="宋体" w:cs="宋体"/>
                <w:snapToGrid w:val="0"/>
                <w:color w:val="000000"/>
                <w:spacing w:val="7"/>
                <w:kern w:val="0"/>
                <w:sz w:val="20"/>
                <w:szCs w:val="20"/>
                <w:highlight w:val="none"/>
                <w:lang w:val="en-US" w:eastAsia="zh-CN" w:bidi="ar-SA"/>
              </w:rPr>
              <w:t>元及以上</w:t>
            </w:r>
            <w:r>
              <w:rPr>
                <w:rFonts w:hint="eastAsia" w:ascii="宋体" w:hAnsi="宋体" w:cs="宋体"/>
                <w:snapToGrid w:val="0"/>
                <w:color w:val="000000"/>
                <w:spacing w:val="7"/>
                <w:kern w:val="0"/>
                <w:sz w:val="20"/>
                <w:szCs w:val="20"/>
                <w:highlight w:val="none"/>
                <w:lang w:val="en-US" w:eastAsia="zh-CN" w:bidi="ar-SA"/>
              </w:rPr>
              <w:t>的</w:t>
            </w:r>
            <w:r>
              <w:rPr>
                <w:rFonts w:hint="eastAsia" w:ascii="宋体" w:hAnsi="宋体" w:eastAsia="宋体" w:cs="宋体"/>
                <w:snapToGrid w:val="0"/>
                <w:color w:val="000000"/>
                <w:spacing w:val="7"/>
                <w:kern w:val="0"/>
                <w:sz w:val="20"/>
                <w:szCs w:val="20"/>
                <w:highlight w:val="none"/>
                <w:lang w:val="en-US" w:eastAsia="zh-CN" w:bidi="ar-SA"/>
              </w:rPr>
              <w:t>房建类</w:t>
            </w:r>
            <w:r>
              <w:rPr>
                <w:rFonts w:hint="eastAsia" w:ascii="宋体" w:hAnsi="宋体" w:cs="宋体"/>
                <w:snapToGrid w:val="0"/>
                <w:color w:val="000000"/>
                <w:spacing w:val="7"/>
                <w:kern w:val="0"/>
                <w:sz w:val="20"/>
                <w:szCs w:val="20"/>
                <w:highlight w:val="none"/>
                <w:lang w:val="en-US" w:eastAsia="zh-CN" w:bidi="ar-SA"/>
              </w:rPr>
              <w:t>项目的</w:t>
            </w:r>
            <w:r>
              <w:rPr>
                <w:rFonts w:hint="eastAsia" w:ascii="宋体" w:hAnsi="宋体" w:eastAsia="宋体" w:cs="宋体"/>
                <w:snapToGrid w:val="0"/>
                <w:color w:val="000000"/>
                <w:spacing w:val="7"/>
                <w:kern w:val="0"/>
                <w:sz w:val="20"/>
                <w:szCs w:val="20"/>
                <w:highlight w:val="none"/>
                <w:lang w:val="en-US" w:eastAsia="zh-CN" w:bidi="ar-SA"/>
              </w:rPr>
              <w:t>业绩。每个业绩得</w:t>
            </w:r>
            <w:r>
              <w:rPr>
                <w:rFonts w:hint="eastAsia" w:ascii="宋体" w:hAnsi="宋体" w:cs="宋体"/>
                <w:snapToGrid w:val="0"/>
                <w:color w:val="000000"/>
                <w:spacing w:val="7"/>
                <w:kern w:val="0"/>
                <w:sz w:val="20"/>
                <w:szCs w:val="20"/>
                <w:highlight w:val="none"/>
                <w:lang w:val="en-US" w:eastAsia="zh-CN" w:bidi="ar-SA"/>
              </w:rPr>
              <w:t>5</w:t>
            </w:r>
            <w:r>
              <w:rPr>
                <w:rFonts w:hint="eastAsia" w:ascii="宋体" w:hAnsi="宋体" w:eastAsia="宋体" w:cs="宋体"/>
                <w:snapToGrid w:val="0"/>
                <w:color w:val="000000"/>
                <w:spacing w:val="7"/>
                <w:kern w:val="0"/>
                <w:sz w:val="20"/>
                <w:szCs w:val="20"/>
                <w:highlight w:val="none"/>
                <w:lang w:val="en-US" w:eastAsia="zh-CN" w:bidi="ar-SA"/>
              </w:rPr>
              <w:t>分，本项满分</w:t>
            </w:r>
            <w:r>
              <w:rPr>
                <w:rFonts w:hint="eastAsia" w:ascii="宋体" w:hAnsi="宋体" w:cs="宋体"/>
                <w:snapToGrid w:val="0"/>
                <w:color w:val="000000"/>
                <w:spacing w:val="7"/>
                <w:kern w:val="0"/>
                <w:sz w:val="20"/>
                <w:szCs w:val="20"/>
                <w:highlight w:val="none"/>
                <w:lang w:val="en-US" w:eastAsia="zh-CN" w:bidi="ar-SA"/>
              </w:rPr>
              <w:t>10</w:t>
            </w:r>
            <w:r>
              <w:rPr>
                <w:rFonts w:hint="eastAsia" w:ascii="宋体" w:hAnsi="宋体" w:eastAsia="宋体" w:cs="宋体"/>
                <w:snapToGrid w:val="0"/>
                <w:color w:val="000000"/>
                <w:spacing w:val="7"/>
                <w:kern w:val="0"/>
                <w:sz w:val="20"/>
                <w:szCs w:val="20"/>
                <w:highlight w:val="none"/>
                <w:lang w:val="en-US" w:eastAsia="zh-CN" w:bidi="ar-SA"/>
              </w:rPr>
              <w:t>分。</w:t>
            </w:r>
            <w:r>
              <w:rPr>
                <w:rFonts w:hint="eastAsia"/>
                <w:b/>
                <w:bCs/>
                <w:sz w:val="20"/>
                <w:szCs w:val="20"/>
                <w:highlight w:val="none"/>
                <w:vertAlign w:val="baseline"/>
              </w:rPr>
              <w:t>须提供</w:t>
            </w:r>
            <w:r>
              <w:rPr>
                <w:rFonts w:hint="eastAsia" w:cs="Times New Roman" w:asciiTheme="minorEastAsia" w:hAnsiTheme="minorEastAsia" w:eastAsiaTheme="minorEastAsia"/>
                <w:b/>
                <w:bCs/>
                <w:sz w:val="20"/>
                <w:szCs w:val="20"/>
                <w:highlight w:val="none"/>
                <w:lang w:val="en-US" w:eastAsia="zh-CN"/>
              </w:rPr>
              <w:t>业绩合同扫描件，上述证明材料需体现评审因素（签订日期，合同金额，服务内容等）。如上述材料无法体现评审因素，可提供相关证明材料。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9" w:hRule="atLeast"/>
        </w:trPr>
        <w:tc>
          <w:tcPr>
            <w:tcW w:w="1164" w:type="dxa"/>
            <w:vAlign w:val="center"/>
          </w:tcPr>
          <w:p>
            <w:pPr>
              <w:kinsoku w:val="0"/>
              <w:autoSpaceDE w:val="0"/>
              <w:autoSpaceDN w:val="0"/>
              <w:adjustRightInd w:val="0"/>
              <w:snapToGrid w:val="0"/>
              <w:spacing w:before="65" w:line="241" w:lineRule="auto"/>
              <w:jc w:val="center"/>
              <w:textAlignment w:val="baseline"/>
              <w:rPr>
                <w:rFonts w:hint="default" w:ascii="宋体" w:hAnsi="宋体" w:eastAsia="宋体" w:cs="宋体"/>
                <w:snapToGrid w:val="0"/>
                <w:color w:val="000000"/>
                <w:kern w:val="0"/>
                <w:sz w:val="20"/>
                <w:szCs w:val="20"/>
                <w:lang w:val="en-US" w:eastAsia="zh-CN" w:bidi="ar-SA"/>
              </w:rPr>
            </w:pPr>
            <w:r>
              <w:rPr>
                <w:rFonts w:hint="eastAsia" w:ascii="宋体" w:hAnsi="宋体" w:cs="宋体"/>
                <w:snapToGrid w:val="0"/>
                <w:color w:val="000000"/>
                <w:kern w:val="0"/>
                <w:sz w:val="20"/>
                <w:szCs w:val="20"/>
                <w:lang w:val="en-US" w:eastAsia="zh-CN" w:bidi="ar-SA"/>
              </w:rPr>
              <w:t>2.2.8</w:t>
            </w:r>
          </w:p>
        </w:tc>
        <w:tc>
          <w:tcPr>
            <w:tcW w:w="1634" w:type="dxa"/>
            <w:gridSpan w:val="2"/>
            <w:vAlign w:val="center"/>
          </w:tcPr>
          <w:p>
            <w:pPr>
              <w:kinsoku w:val="0"/>
              <w:autoSpaceDE w:val="0"/>
              <w:autoSpaceDN w:val="0"/>
              <w:adjustRightInd w:val="0"/>
              <w:snapToGrid w:val="0"/>
              <w:spacing w:before="65" w:line="227"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评审价</w:t>
            </w:r>
          </w:p>
        </w:tc>
        <w:tc>
          <w:tcPr>
            <w:tcW w:w="1371" w:type="dxa"/>
            <w:gridSpan w:val="2"/>
            <w:vAlign w:val="center"/>
          </w:tcPr>
          <w:p>
            <w:pPr>
              <w:tabs>
                <w:tab w:val="left" w:pos="684"/>
              </w:tabs>
              <w:kinsoku w:val="0"/>
              <w:autoSpaceDE w:val="0"/>
              <w:autoSpaceDN w:val="0"/>
              <w:adjustRightInd w:val="0"/>
              <w:snapToGrid w:val="0"/>
              <w:spacing w:before="65" w:line="229" w:lineRule="auto"/>
              <w:jc w:val="center"/>
              <w:textAlignment w:val="baseline"/>
              <w:rPr>
                <w:rFonts w:ascii="宋体" w:hAnsi="宋体" w:eastAsia="宋体" w:cs="宋体"/>
                <w:snapToGrid w:val="0"/>
                <w:color w:val="000000"/>
                <w:kern w:val="0"/>
                <w:sz w:val="20"/>
                <w:szCs w:val="20"/>
                <w:lang w:val="en-US" w:eastAsia="en-US" w:bidi="ar-SA"/>
              </w:rPr>
            </w:pPr>
            <w:r>
              <w:rPr>
                <w:rFonts w:hint="eastAsia" w:ascii="宋体" w:hAnsi="宋体" w:cs="宋体"/>
                <w:snapToGrid w:val="0"/>
                <w:color w:val="000000"/>
                <w:kern w:val="0"/>
                <w:sz w:val="20"/>
                <w:szCs w:val="20"/>
                <w:u w:val="none"/>
                <w:lang w:val="en-US" w:eastAsia="zh-CN" w:bidi="ar-SA"/>
              </w:rPr>
              <w:t>70</w:t>
            </w:r>
            <w:r>
              <w:rPr>
                <w:rFonts w:ascii="宋体" w:hAnsi="宋体" w:eastAsia="宋体" w:cs="宋体"/>
                <w:snapToGrid w:val="0"/>
                <w:color w:val="000000"/>
                <w:kern w:val="0"/>
                <w:sz w:val="20"/>
                <w:szCs w:val="20"/>
                <w:u w:val="none"/>
                <w:lang w:val="en-US" w:eastAsia="en-US" w:bidi="ar-SA"/>
              </w:rPr>
              <w:t>分</w:t>
            </w:r>
          </w:p>
        </w:tc>
        <w:tc>
          <w:tcPr>
            <w:tcW w:w="5039" w:type="dxa"/>
            <w:vAlign w:val="top"/>
          </w:tcPr>
          <w:p>
            <w:pPr>
              <w:kinsoku w:val="0"/>
              <w:autoSpaceDE w:val="0"/>
              <w:autoSpaceDN w:val="0"/>
              <w:adjustRightInd w:val="0"/>
              <w:snapToGrid w:val="0"/>
              <w:spacing w:before="140" w:line="227"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评审价得分计算公式示例：</w:t>
            </w:r>
          </w:p>
          <w:p>
            <w:pPr>
              <w:kinsoku w:val="0"/>
              <w:autoSpaceDE w:val="0"/>
              <w:autoSpaceDN w:val="0"/>
              <w:adjustRightInd w:val="0"/>
              <w:snapToGrid w:val="0"/>
              <w:spacing w:before="135" w:line="379" w:lineRule="exact"/>
              <w:ind w:left="1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3"/>
                <w:sz w:val="20"/>
                <w:szCs w:val="20"/>
                <w:lang w:val="en-US" w:eastAsia="en-US" w:bidi="ar-SA"/>
              </w:rPr>
              <w:t>（</w:t>
            </w:r>
            <w:r>
              <w:rPr>
                <w:rFonts w:ascii="Times New Roman" w:hAnsi="Times New Roman" w:eastAsia="Times New Roman" w:cs="Times New Roman"/>
                <w:snapToGrid w:val="0"/>
                <w:color w:val="000000"/>
                <w:spacing w:val="8"/>
                <w:kern w:val="0"/>
                <w:position w:val="13"/>
                <w:sz w:val="20"/>
                <w:szCs w:val="20"/>
                <w:lang w:val="en-US" w:eastAsia="en-US" w:bidi="ar-SA"/>
              </w:rPr>
              <w:t>1</w:t>
            </w:r>
            <w:r>
              <w:rPr>
                <w:rFonts w:ascii="宋体" w:hAnsi="宋体" w:eastAsia="宋体" w:cs="宋体"/>
                <w:snapToGrid w:val="0"/>
                <w:color w:val="000000"/>
                <w:spacing w:val="8"/>
                <w:kern w:val="0"/>
                <w:position w:val="13"/>
                <w:sz w:val="20"/>
                <w:szCs w:val="20"/>
                <w:lang w:val="en-US" w:eastAsia="en-US" w:bidi="ar-SA"/>
              </w:rPr>
              <w:t>）如果供应商的评审价&gt;评审基准价，则评审价得分=F－偏差率× 100× E1；</w:t>
            </w:r>
          </w:p>
          <w:p>
            <w:pPr>
              <w:kinsoku w:val="0"/>
              <w:autoSpaceDE w:val="0"/>
              <w:autoSpaceDN w:val="0"/>
              <w:adjustRightInd w:val="0"/>
              <w:snapToGrid w:val="0"/>
              <w:spacing w:before="131" w:line="382" w:lineRule="exact"/>
              <w:ind w:left="123"/>
              <w:jc w:val="left"/>
              <w:textAlignment w:val="baseline"/>
              <w:rPr>
                <w:rFonts w:ascii="宋体" w:hAnsi="宋体" w:eastAsia="宋体" w:cs="宋体"/>
                <w:snapToGrid w:val="0"/>
                <w:color w:val="000000"/>
                <w:spacing w:val="9"/>
                <w:kern w:val="0"/>
                <w:position w:val="13"/>
                <w:sz w:val="20"/>
                <w:szCs w:val="20"/>
                <w:lang w:val="en-US" w:eastAsia="en-US" w:bidi="ar-SA"/>
              </w:rPr>
            </w:pPr>
            <w:r>
              <w:rPr>
                <w:rFonts w:ascii="宋体" w:hAnsi="宋体" w:eastAsia="宋体" w:cs="宋体"/>
                <w:snapToGrid w:val="0"/>
                <w:color w:val="000000"/>
                <w:spacing w:val="9"/>
                <w:kern w:val="0"/>
                <w:position w:val="13"/>
                <w:sz w:val="20"/>
                <w:szCs w:val="20"/>
                <w:lang w:val="en-US" w:eastAsia="en-US" w:bidi="ar-SA"/>
              </w:rPr>
              <w:t>（</w:t>
            </w:r>
            <w:r>
              <w:rPr>
                <w:rFonts w:ascii="Times New Roman" w:hAnsi="Times New Roman" w:eastAsia="Times New Roman" w:cs="Times New Roman"/>
                <w:snapToGrid w:val="0"/>
                <w:color w:val="000000"/>
                <w:spacing w:val="9"/>
                <w:kern w:val="0"/>
                <w:position w:val="13"/>
                <w:sz w:val="20"/>
                <w:szCs w:val="20"/>
                <w:lang w:val="en-US" w:eastAsia="en-US" w:bidi="ar-SA"/>
              </w:rPr>
              <w:t>2</w:t>
            </w:r>
            <w:r>
              <w:rPr>
                <w:rFonts w:ascii="宋体" w:hAnsi="宋体" w:eastAsia="宋体" w:cs="宋体"/>
                <w:snapToGrid w:val="0"/>
                <w:color w:val="000000"/>
                <w:spacing w:val="9"/>
                <w:kern w:val="0"/>
                <w:position w:val="13"/>
                <w:sz w:val="20"/>
                <w:szCs w:val="20"/>
                <w:lang w:val="en-US" w:eastAsia="en-US" w:bidi="ar-SA"/>
              </w:rPr>
              <w:t>）如果供应商的评审价≤评审基准价，则评审价得分=F＋偏差率× 100× E2。</w:t>
            </w:r>
          </w:p>
          <w:p>
            <w:pPr>
              <w:kinsoku w:val="0"/>
              <w:autoSpaceDE w:val="0"/>
              <w:autoSpaceDN w:val="0"/>
              <w:adjustRightInd w:val="0"/>
              <w:snapToGrid w:val="0"/>
              <w:spacing w:before="131" w:line="382" w:lineRule="exact"/>
              <w:ind w:left="1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position w:val="13"/>
                <w:sz w:val="20"/>
                <w:szCs w:val="20"/>
                <w:lang w:val="en-US" w:eastAsia="en-US" w:bidi="ar-SA"/>
              </w:rPr>
              <w:t>其中：</w:t>
            </w:r>
            <w:r>
              <w:rPr>
                <w:rFonts w:hint="eastAsia" w:ascii="宋体" w:hAnsi="宋体" w:eastAsia="宋体" w:cs="宋体"/>
                <w:snapToGrid w:val="0"/>
                <w:color w:val="000000"/>
                <w:spacing w:val="9"/>
                <w:kern w:val="0"/>
                <w:position w:val="13"/>
                <w:sz w:val="20"/>
                <w:szCs w:val="20"/>
                <w:lang w:val="en-US" w:eastAsia="en-US" w:bidi="ar-SA"/>
              </w:rPr>
              <w:t>F 是评标价所占的权重分值。E1 是评标价每高于评标基准价一个百分点的扣分值，E2 是评标价每低于评标基准价一个百分点的扣分值。E1=</w:t>
            </w:r>
            <w:r>
              <w:rPr>
                <w:rFonts w:hint="eastAsia" w:ascii="宋体" w:hAnsi="宋体" w:cs="宋体"/>
                <w:snapToGrid w:val="0"/>
                <w:color w:val="000000"/>
                <w:spacing w:val="9"/>
                <w:kern w:val="0"/>
                <w:position w:val="13"/>
                <w:sz w:val="20"/>
                <w:szCs w:val="20"/>
                <w:lang w:val="en-US" w:eastAsia="zh-CN" w:bidi="ar-SA"/>
              </w:rPr>
              <w:t>0.2</w:t>
            </w:r>
            <w:r>
              <w:rPr>
                <w:rFonts w:hint="eastAsia" w:ascii="宋体" w:hAnsi="宋体" w:eastAsia="宋体" w:cs="宋体"/>
                <w:snapToGrid w:val="0"/>
                <w:color w:val="000000"/>
                <w:spacing w:val="9"/>
                <w:kern w:val="0"/>
                <w:position w:val="13"/>
                <w:sz w:val="20"/>
                <w:szCs w:val="20"/>
                <w:lang w:val="en-US" w:eastAsia="en-US" w:bidi="ar-SA"/>
              </w:rPr>
              <w:t>、E2=</w:t>
            </w:r>
            <w:r>
              <w:rPr>
                <w:rFonts w:hint="eastAsia" w:ascii="宋体" w:hAnsi="宋体" w:cs="宋体"/>
                <w:snapToGrid w:val="0"/>
                <w:color w:val="000000"/>
                <w:spacing w:val="9"/>
                <w:kern w:val="0"/>
                <w:position w:val="13"/>
                <w:sz w:val="20"/>
                <w:szCs w:val="20"/>
                <w:lang w:val="en-US" w:eastAsia="zh-CN" w:bidi="ar-SA"/>
              </w:rPr>
              <w:t>0.</w:t>
            </w:r>
            <w:r>
              <w:rPr>
                <w:rFonts w:hint="eastAsia" w:ascii="宋体" w:hAnsi="宋体" w:eastAsia="宋体" w:cs="宋体"/>
                <w:snapToGrid w:val="0"/>
                <w:color w:val="000000"/>
                <w:spacing w:val="9"/>
                <w:kern w:val="0"/>
                <w:position w:val="13"/>
                <w:sz w:val="20"/>
                <w:szCs w:val="20"/>
                <w:lang w:val="en-US" w:eastAsia="en-US" w:bidi="ar-SA"/>
              </w:rPr>
              <w:t>1。 当评标价得分为负时，均按 0 分计算。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208" w:type="dxa"/>
            <w:gridSpan w:val="6"/>
            <w:vAlign w:val="top"/>
          </w:tcPr>
          <w:p>
            <w:pPr>
              <w:kinsoku w:val="0"/>
              <w:autoSpaceDE w:val="0"/>
              <w:autoSpaceDN w:val="0"/>
              <w:adjustRightInd w:val="0"/>
              <w:snapToGrid w:val="0"/>
              <w:spacing w:before="124" w:line="228" w:lineRule="auto"/>
              <w:ind w:left="126"/>
              <w:jc w:val="left"/>
              <w:textAlignment w:val="baseline"/>
              <w:outlineLvl w:val="1"/>
              <w:rPr>
                <w:rFonts w:hint="eastAsia" w:ascii="Arial" w:hAnsi="Arial" w:eastAsia="宋体" w:cs="Arial"/>
                <w:snapToGrid w:val="0"/>
                <w:color w:val="000000"/>
                <w:kern w:val="0"/>
                <w:sz w:val="21"/>
                <w:szCs w:val="21"/>
                <w:lang w:val="en-US" w:eastAsia="zh-CN"/>
              </w:rPr>
            </w:pPr>
            <w:r>
              <w:rPr>
                <w:rFonts w:ascii="宋体" w:hAnsi="宋体" w:eastAsia="宋体" w:cs="宋体"/>
                <w:snapToGrid w:val="0"/>
                <w:color w:val="000000"/>
                <w:spacing w:val="7"/>
                <w:kern w:val="0"/>
                <w:sz w:val="20"/>
                <w:szCs w:val="20"/>
                <w:lang w:val="en-US" w:eastAsia="en-US" w:bidi="ar-SA"/>
              </w:rPr>
              <w:t>需要补充的其他内容：</w:t>
            </w:r>
            <w:r>
              <w:rPr>
                <w:rFonts w:hint="eastAsia" w:ascii="宋体" w:hAnsi="宋体" w:cs="宋体"/>
                <w:snapToGrid w:val="0"/>
                <w:color w:val="000000"/>
                <w:spacing w:val="7"/>
                <w:kern w:val="0"/>
                <w:sz w:val="20"/>
                <w:szCs w:val="20"/>
                <w:lang w:val="en-US" w:eastAsia="zh-CN" w:bidi="ar-SA"/>
              </w:rPr>
              <w:t>/</w:t>
            </w:r>
          </w:p>
          <w:p>
            <w:pPr>
              <w:widowControl/>
              <w:kinsoku w:val="0"/>
              <w:autoSpaceDE w:val="0"/>
              <w:autoSpaceDN w:val="0"/>
              <w:adjustRightInd w:val="0"/>
              <w:snapToGrid w:val="0"/>
              <w:spacing w:line="23" w:lineRule="exact"/>
              <w:ind w:firstLine="131"/>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szCs w:val="21"/>
                <w:lang w:eastAsia="en-US"/>
              </w:rPr>
              <w:drawing>
                <wp:inline distT="0" distB="0" distL="0" distR="0">
                  <wp:extent cx="250190" cy="139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250436" cy="14466"/>
                          </a:xfrm>
                          <a:prstGeom prst="rect">
                            <a:avLst/>
                          </a:prstGeom>
                        </pic:spPr>
                      </pic:pic>
                    </a:graphicData>
                  </a:graphic>
                </wp:inline>
              </w:drawing>
            </w:r>
          </w:p>
        </w:tc>
      </w:tr>
    </w:tbl>
    <w:p>
      <w:pPr>
        <w:widowControl/>
        <w:jc w:val="left"/>
        <w:rPr>
          <w:rFonts w:hint="default"/>
          <w:highlight w:val="none"/>
          <w:lang w:val="en-US" w:eastAsia="zh-CN"/>
        </w:rPr>
      </w:pPr>
    </w:p>
    <w:p>
      <w:pPr>
        <w:pStyle w:val="12"/>
        <w:rPr>
          <w:rFonts w:hint="default"/>
          <w:highlight w:val="none"/>
          <w:lang w:val="en-US" w:eastAsia="zh-CN"/>
        </w:rPr>
      </w:pPr>
    </w:p>
    <w:p>
      <w:pPr>
        <w:rPr>
          <w:rFonts w:hint="default"/>
          <w:highlight w:val="none"/>
          <w:lang w:val="en-US" w:eastAsia="zh-CN"/>
        </w:rPr>
      </w:pPr>
    </w:p>
    <w:p>
      <w:pPr>
        <w:pStyle w:val="12"/>
        <w:rPr>
          <w:rFonts w:hint="default"/>
          <w:highlight w:val="none"/>
          <w:lang w:val="en-US" w:eastAsia="zh-CN"/>
        </w:rPr>
      </w:pPr>
    </w:p>
    <w:p>
      <w:pPr>
        <w:rPr>
          <w:rFonts w:hint="default"/>
          <w:highlight w:val="none"/>
          <w:lang w:val="en-US" w:eastAsia="zh-CN"/>
        </w:rPr>
      </w:pPr>
    </w:p>
    <w:p>
      <w:pPr>
        <w:pStyle w:val="12"/>
        <w:rPr>
          <w:rFonts w:hint="default"/>
          <w:highlight w:val="none"/>
          <w:lang w:val="en-US" w:eastAsia="zh-CN"/>
        </w:rPr>
      </w:pPr>
    </w:p>
    <w:p>
      <w:pPr>
        <w:rPr>
          <w:rFonts w:hint="default"/>
          <w:highlight w:val="none"/>
          <w:lang w:val="en-US" w:eastAsia="zh-CN"/>
        </w:rPr>
      </w:pPr>
    </w:p>
    <w:p>
      <w:pPr>
        <w:pStyle w:val="12"/>
        <w:rPr>
          <w:rFonts w:hint="default"/>
          <w:lang w:val="en-US" w:eastAsia="zh-CN"/>
        </w:rPr>
      </w:pPr>
    </w:p>
    <w:p>
      <w:pPr>
        <w:rPr>
          <w:rFonts w:hint="eastAsia" w:ascii="黑体" w:hAnsi="黑体" w:eastAsia="黑体" w:cs="黑体"/>
          <w:snapToGrid w:val="0"/>
          <w:color w:val="000000"/>
          <w:kern w:val="0"/>
          <w:sz w:val="24"/>
          <w:szCs w:val="24"/>
          <w:lang w:eastAsia="en-US"/>
        </w:rPr>
      </w:pPr>
      <w:bookmarkStart w:id="110" w:name="_Toc10962"/>
      <w:bookmarkStart w:id="111" w:name="_Toc5562"/>
      <w:r>
        <w:rPr>
          <w:rFonts w:hint="eastAsia" w:ascii="黑体" w:hAnsi="黑体" w:eastAsia="黑体" w:cs="黑体"/>
          <w:snapToGrid w:val="0"/>
          <w:color w:val="000000"/>
          <w:spacing w:val="-7"/>
          <w:kern w:val="0"/>
          <w:sz w:val="24"/>
          <w:szCs w:val="24"/>
          <w:lang w:eastAsia="en-US"/>
        </w:rPr>
        <w:t>1.</w:t>
      </w:r>
      <w:r>
        <w:rPr>
          <w:rFonts w:hint="eastAsia" w:ascii="黑体" w:hAnsi="黑体" w:eastAsia="黑体" w:cs="黑体"/>
          <w:snapToGrid w:val="0"/>
          <w:color w:val="000000"/>
          <w:spacing w:val="6"/>
          <w:kern w:val="0"/>
          <w:sz w:val="24"/>
          <w:szCs w:val="24"/>
          <w:lang w:eastAsia="en-US"/>
        </w:rPr>
        <w:t xml:space="preserve">  </w:t>
      </w:r>
      <w:r>
        <w:rPr>
          <w:rFonts w:hint="eastAsia" w:ascii="黑体" w:hAnsi="黑体" w:eastAsia="黑体" w:cs="黑体"/>
          <w:snapToGrid w:val="0"/>
          <w:color w:val="000000"/>
          <w:spacing w:val="-7"/>
          <w:kern w:val="0"/>
          <w:sz w:val="24"/>
          <w:szCs w:val="24"/>
          <w:lang w:eastAsia="en-US"/>
        </w:rPr>
        <w:t>评审方法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napToGrid w:val="0"/>
          <w:color w:val="000000"/>
          <w:spacing w:val="5"/>
          <w:kern w:val="0"/>
          <w:sz w:val="20"/>
          <w:szCs w:val="20"/>
          <w:lang w:eastAsia="en-US"/>
        </w:rPr>
      </w:pPr>
      <w:r>
        <w:rPr>
          <w:rFonts w:hint="eastAsia" w:ascii="宋体" w:hAnsi="宋体" w:eastAsia="宋体" w:cs="宋体"/>
          <w:snapToGrid w:val="0"/>
          <w:color w:val="000000"/>
          <w:spacing w:val="5"/>
          <w:kern w:val="0"/>
          <w:sz w:val="20"/>
          <w:szCs w:val="20"/>
          <w:lang w:eastAsia="en-US"/>
        </w:rPr>
        <w:t>本次评审采用综合评分法。评审小组对满足询比文件实质性要求的响应文件按照本章 第 2.2 款的规定的评分标准进行打分，按照得分由高到低依次推荐成交候选人。如得分相同的，按照评审办法前附表中的规定确定成交候选人顺序。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1"/>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1"/>
          <w:kern w:val="0"/>
          <w:sz w:val="24"/>
          <w:szCs w:val="24"/>
          <w:lang w:eastAsia="en-US"/>
        </w:rPr>
        <w:t xml:space="preserve">2.  </w:t>
      </w:r>
      <w:r>
        <w:rPr>
          <w:rFonts w:ascii="黑体" w:hAnsi="黑体" w:eastAsia="黑体" w:cs="黑体"/>
          <w:snapToGrid w:val="0"/>
          <w:color w:val="000000"/>
          <w:spacing w:val="-1"/>
          <w:kern w:val="0"/>
          <w:sz w:val="24"/>
          <w:szCs w:val="24"/>
          <w:lang w:eastAsia="en-US"/>
        </w:rPr>
        <w:t>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4"/>
          <w:kern w:val="0"/>
          <w:sz w:val="24"/>
          <w:szCs w:val="24"/>
          <w:lang w:eastAsia="en-US"/>
        </w:rPr>
        <w:t>2.</w:t>
      </w:r>
      <w:r>
        <w:rPr>
          <w:rFonts w:ascii="Times New Roman" w:hAnsi="Times New Roman" w:eastAsia="Times New Roman" w:cs="Times New Roman"/>
          <w:snapToGrid w:val="0"/>
          <w:color w:val="000000"/>
          <w:spacing w:val="-23"/>
          <w:kern w:val="0"/>
          <w:sz w:val="24"/>
          <w:szCs w:val="24"/>
          <w:lang w:eastAsia="en-US"/>
        </w:rPr>
        <w:t xml:space="preserve"> </w:t>
      </w:r>
      <w:r>
        <w:rPr>
          <w:rFonts w:ascii="Times New Roman" w:hAnsi="Times New Roman" w:eastAsia="Times New Roman" w:cs="Times New Roman"/>
          <w:snapToGrid w:val="0"/>
          <w:color w:val="000000"/>
          <w:spacing w:val="-4"/>
          <w:kern w:val="0"/>
          <w:sz w:val="24"/>
          <w:szCs w:val="24"/>
          <w:lang w:eastAsia="en-US"/>
        </w:rPr>
        <w:t xml:space="preserve">1  </w:t>
      </w:r>
      <w:r>
        <w:rPr>
          <w:rFonts w:ascii="黑体" w:hAnsi="黑体" w:eastAsia="黑体" w:cs="黑体"/>
          <w:snapToGrid w:val="0"/>
          <w:color w:val="000000"/>
          <w:spacing w:val="-4"/>
          <w:kern w:val="0"/>
          <w:sz w:val="24"/>
          <w:szCs w:val="24"/>
          <w:lang w:eastAsia="en-US"/>
        </w:rPr>
        <w:t>初步评审标准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2.</w:t>
      </w:r>
      <w:r>
        <w:rPr>
          <w:rFonts w:ascii="Times New Roman" w:hAnsi="Times New Roman" w:eastAsia="Times New Roman" w:cs="Times New Roman"/>
          <w:snapToGrid w:val="0"/>
          <w:color w:val="000000"/>
          <w:spacing w:val="-21"/>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28"/>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宋体" w:hAnsi="宋体" w:eastAsia="宋体" w:cs="宋体"/>
          <w:snapToGrid w:val="0"/>
          <w:color w:val="000000"/>
          <w:spacing w:val="5"/>
          <w:kern w:val="0"/>
          <w:sz w:val="20"/>
          <w:szCs w:val="20"/>
          <w:lang w:eastAsia="en-US"/>
        </w:rPr>
        <w:t>形式评审标准：见评审办法前附表。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2.</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1.2  </w:t>
      </w:r>
      <w:r>
        <w:rPr>
          <w:rFonts w:ascii="宋体" w:hAnsi="宋体" w:eastAsia="宋体" w:cs="宋体"/>
          <w:snapToGrid w:val="0"/>
          <w:color w:val="000000"/>
          <w:spacing w:val="6"/>
          <w:kern w:val="0"/>
          <w:sz w:val="20"/>
          <w:szCs w:val="20"/>
          <w:lang w:eastAsia="en-US"/>
        </w:rPr>
        <w:t>资格评审标准：见评审办法前附表。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2.</w:t>
      </w:r>
      <w:r>
        <w:rPr>
          <w:rFonts w:ascii="Times New Roman" w:hAnsi="Times New Roman" w:eastAsia="Times New Roman" w:cs="Times New Roman"/>
          <w:snapToGrid w:val="0"/>
          <w:color w:val="000000"/>
          <w:spacing w:val="-17"/>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1.3  </w:t>
      </w:r>
      <w:r>
        <w:rPr>
          <w:rFonts w:ascii="宋体" w:hAnsi="宋体" w:eastAsia="宋体" w:cs="宋体"/>
          <w:snapToGrid w:val="0"/>
          <w:color w:val="000000"/>
          <w:spacing w:val="6"/>
          <w:kern w:val="0"/>
          <w:sz w:val="20"/>
          <w:szCs w:val="20"/>
          <w:lang w:eastAsia="en-US"/>
        </w:rPr>
        <w:t>响应性评审标准：见评审办法前附表。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1"/>
          <w:kern w:val="0"/>
          <w:sz w:val="24"/>
          <w:szCs w:val="24"/>
          <w:lang w:eastAsia="en-US"/>
        </w:rPr>
        <w:t xml:space="preserve">2.2  </w:t>
      </w:r>
      <w:r>
        <w:rPr>
          <w:rFonts w:ascii="黑体" w:hAnsi="黑体" w:eastAsia="黑体" w:cs="黑体"/>
          <w:snapToGrid w:val="0"/>
          <w:color w:val="000000"/>
          <w:spacing w:val="-1"/>
          <w:kern w:val="0"/>
          <w:sz w:val="24"/>
          <w:szCs w:val="24"/>
          <w:lang w:eastAsia="en-US"/>
        </w:rPr>
        <w:t>分值构成与评审标准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2.2.</w:t>
      </w:r>
      <w:r>
        <w:rPr>
          <w:rFonts w:ascii="Times New Roman" w:hAnsi="Times New Roman" w:eastAsia="Times New Roman" w:cs="Times New Roman"/>
          <w:snapToGrid w:val="0"/>
          <w:color w:val="000000"/>
          <w:spacing w:val="-20"/>
          <w:kern w:val="0"/>
          <w:sz w:val="20"/>
          <w:szCs w:val="20"/>
          <w:lang w:eastAsia="en-US"/>
        </w:rPr>
        <w:t xml:space="preserve"> </w:t>
      </w:r>
      <w:r>
        <w:rPr>
          <w:rFonts w:ascii="Times New Roman" w:hAnsi="Times New Roman" w:eastAsia="Times New Roman" w:cs="Times New Roman"/>
          <w:snapToGrid w:val="0"/>
          <w:color w:val="000000"/>
          <w:spacing w:val="2"/>
          <w:kern w:val="0"/>
          <w:sz w:val="20"/>
          <w:szCs w:val="20"/>
          <w:lang w:eastAsia="en-US"/>
        </w:rPr>
        <w:t xml:space="preserve">1 </w:t>
      </w:r>
      <w:r>
        <w:rPr>
          <w:rFonts w:ascii="宋体" w:hAnsi="宋体" w:eastAsia="宋体" w:cs="宋体"/>
          <w:snapToGrid w:val="0"/>
          <w:color w:val="000000"/>
          <w:spacing w:val="2"/>
          <w:kern w:val="0"/>
          <w:sz w:val="20"/>
          <w:szCs w:val="20"/>
          <w:lang w:eastAsia="en-US"/>
        </w:rPr>
        <w:t>分值构成：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（1）业绩：见评审办法前附表；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（2）项目管理机构：见评审办法前附表；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（3）技术方案：见评审办法前附表；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（4）评审价：见评审办法前附表。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napToGrid w:val="0"/>
          <w:color w:val="000000"/>
          <w:kern w:val="0"/>
          <w:sz w:val="20"/>
          <w:szCs w:val="20"/>
          <w:lang w:eastAsia="zh-CN"/>
        </w:rPr>
      </w:pPr>
      <w:r>
        <w:rPr>
          <w:rFonts w:ascii="Times New Roman" w:hAnsi="Times New Roman" w:eastAsia="Times New Roman" w:cs="Times New Roman"/>
          <w:snapToGrid w:val="0"/>
          <w:color w:val="000000"/>
          <w:spacing w:val="6"/>
          <w:kern w:val="0"/>
          <w:sz w:val="20"/>
          <w:szCs w:val="20"/>
          <w:lang w:eastAsia="en-US"/>
        </w:rPr>
        <w:t xml:space="preserve">2.2.2  </w:t>
      </w:r>
      <w:r>
        <w:rPr>
          <w:rFonts w:ascii="宋体" w:hAnsi="宋体" w:eastAsia="宋体" w:cs="宋体"/>
          <w:snapToGrid w:val="0"/>
          <w:color w:val="000000"/>
          <w:spacing w:val="6"/>
          <w:kern w:val="0"/>
          <w:sz w:val="20"/>
          <w:szCs w:val="20"/>
          <w:lang w:eastAsia="en-US"/>
        </w:rPr>
        <w:t>评审基准价计算</w:t>
      </w:r>
      <w:r>
        <w:rPr>
          <w:rFonts w:hint="eastAsia" w:ascii="宋体" w:hAnsi="宋体" w:eastAsia="宋体" w:cs="宋体"/>
          <w:snapToGrid w:val="0"/>
          <w:color w:val="000000"/>
          <w:spacing w:val="6"/>
          <w:kern w:val="0"/>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评审基准价计算方法：见评审办法前附表。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napToGrid w:val="0"/>
          <w:color w:val="000000"/>
          <w:kern w:val="0"/>
          <w:sz w:val="20"/>
          <w:szCs w:val="20"/>
          <w:lang w:eastAsia="zh-CN"/>
        </w:rPr>
      </w:pPr>
      <w:r>
        <w:rPr>
          <w:rFonts w:ascii="Times New Roman" w:hAnsi="Times New Roman" w:eastAsia="Times New Roman" w:cs="Times New Roman"/>
          <w:snapToGrid w:val="0"/>
          <w:color w:val="000000"/>
          <w:spacing w:val="6"/>
          <w:kern w:val="0"/>
          <w:sz w:val="20"/>
          <w:szCs w:val="20"/>
          <w:lang w:eastAsia="en-US"/>
        </w:rPr>
        <w:t xml:space="preserve">2.2.3  </w:t>
      </w:r>
      <w:r>
        <w:rPr>
          <w:rFonts w:ascii="宋体" w:hAnsi="宋体" w:eastAsia="宋体" w:cs="宋体"/>
          <w:snapToGrid w:val="0"/>
          <w:color w:val="000000"/>
          <w:spacing w:val="6"/>
          <w:kern w:val="0"/>
          <w:sz w:val="20"/>
          <w:szCs w:val="20"/>
          <w:lang w:eastAsia="en-US"/>
        </w:rPr>
        <w:t>评审价的偏差率计算</w:t>
      </w:r>
      <w:r>
        <w:rPr>
          <w:rFonts w:hint="eastAsia" w:ascii="宋体" w:hAnsi="宋体" w:eastAsia="宋体" w:cs="宋体"/>
          <w:snapToGrid w:val="0"/>
          <w:color w:val="000000"/>
          <w:spacing w:val="6"/>
          <w:kern w:val="0"/>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position w:val="18"/>
          <w:sz w:val="20"/>
          <w:szCs w:val="20"/>
          <w:lang w:eastAsia="en-US"/>
        </w:rPr>
        <w:t>评审价的偏差率计算公式：见评审办法前附表。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2.2.4 </w:t>
      </w:r>
      <w:r>
        <w:rPr>
          <w:rFonts w:ascii="宋体" w:hAnsi="宋体" w:eastAsia="宋体" w:cs="宋体"/>
          <w:snapToGrid w:val="0"/>
          <w:color w:val="000000"/>
          <w:spacing w:val="4"/>
          <w:kern w:val="0"/>
          <w:sz w:val="20"/>
          <w:szCs w:val="20"/>
          <w:lang w:eastAsia="en-US"/>
        </w:rPr>
        <w:t>评分标准：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（1）业绩评分标准：见评审办法前附表；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（2）项目管理机构评分标准：见评审办法前附表；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（3）技术方案评分标准：见评审办法前附表；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（4）评审价评分标准：见评审办法前附表。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1"/>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2"/>
          <w:kern w:val="0"/>
          <w:sz w:val="24"/>
          <w:szCs w:val="24"/>
          <w:lang w:eastAsia="en-US"/>
        </w:rPr>
        <w:t xml:space="preserve">3. </w:t>
      </w:r>
      <w:r>
        <w:rPr>
          <w:rFonts w:hint="eastAsia" w:ascii="Times New Roman" w:hAnsi="Times New Roman" w:eastAsia="宋体" w:cs="Times New Roman"/>
          <w:snapToGrid w:val="0"/>
          <w:color w:val="000000"/>
          <w:spacing w:val="-2"/>
          <w:kern w:val="0"/>
          <w:sz w:val="24"/>
          <w:szCs w:val="24"/>
          <w:lang w:val="en-US" w:eastAsia="zh-CN"/>
        </w:rPr>
        <w:t xml:space="preserve"> </w:t>
      </w:r>
      <w:r>
        <w:rPr>
          <w:rFonts w:ascii="黑体" w:hAnsi="黑体" w:eastAsia="黑体" w:cs="黑体"/>
          <w:snapToGrid w:val="0"/>
          <w:color w:val="000000"/>
          <w:spacing w:val="-2"/>
          <w:kern w:val="0"/>
          <w:sz w:val="24"/>
          <w:szCs w:val="24"/>
          <w:lang w:eastAsia="en-US"/>
        </w:rPr>
        <w:t>评审程序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5"/>
          <w:kern w:val="0"/>
          <w:sz w:val="24"/>
          <w:szCs w:val="24"/>
          <w:lang w:eastAsia="en-US"/>
        </w:rPr>
        <w:t>3.</w:t>
      </w:r>
      <w:r>
        <w:rPr>
          <w:rFonts w:ascii="Times New Roman" w:hAnsi="Times New Roman" w:eastAsia="Times New Roman" w:cs="Times New Roman"/>
          <w:snapToGrid w:val="0"/>
          <w:color w:val="000000"/>
          <w:spacing w:val="-26"/>
          <w:kern w:val="0"/>
          <w:sz w:val="24"/>
          <w:szCs w:val="24"/>
          <w:lang w:eastAsia="en-US"/>
        </w:rPr>
        <w:t xml:space="preserve"> </w:t>
      </w:r>
      <w:r>
        <w:rPr>
          <w:rFonts w:ascii="Times New Roman" w:hAnsi="Times New Roman" w:eastAsia="Times New Roman" w:cs="Times New Roman"/>
          <w:snapToGrid w:val="0"/>
          <w:color w:val="000000"/>
          <w:spacing w:val="-5"/>
          <w:kern w:val="0"/>
          <w:sz w:val="24"/>
          <w:szCs w:val="24"/>
          <w:lang w:eastAsia="en-US"/>
        </w:rPr>
        <w:t>1</w:t>
      </w:r>
      <w:r>
        <w:rPr>
          <w:rFonts w:hint="eastAsia" w:ascii="Times New Roman" w:hAnsi="Times New Roman" w:eastAsia="宋体" w:cs="Times New Roman"/>
          <w:snapToGrid w:val="0"/>
          <w:color w:val="000000"/>
          <w:spacing w:val="-5"/>
          <w:kern w:val="0"/>
          <w:sz w:val="24"/>
          <w:szCs w:val="24"/>
          <w:lang w:val="en-US" w:eastAsia="zh-CN"/>
        </w:rPr>
        <w:t xml:space="preserve">  </w:t>
      </w:r>
      <w:r>
        <w:rPr>
          <w:rFonts w:ascii="黑体" w:hAnsi="黑体" w:eastAsia="黑体" w:cs="黑体"/>
          <w:snapToGrid w:val="0"/>
          <w:color w:val="000000"/>
          <w:spacing w:val="-5"/>
          <w:kern w:val="0"/>
          <w:sz w:val="24"/>
          <w:szCs w:val="24"/>
          <w:lang w:eastAsia="en-US"/>
        </w:rPr>
        <w:t>初步评审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 1. 1 评审小组依据本章第 2. 1. 1 项、第 2. 1.2 项、第 2. 1.3 项规定的标准对响应文件进行评审。有一项不符合评审标准的，评审小组应否决其响应文件。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3.1.2  响应文件中填报的报价、服务期、质量标准、安全目标前后不一致，且报价函中填写的内容满足询比文件要求时，按细微偏差处理，并以报价函填报的为准。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 1.3  报价存在以下细微偏差的，评审小组按以上原则对报价进行处理，并要求供应商书面澄清确认，供应商拒不澄清确认的，评审小组应当否决其报价。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（1）报价有算术错误的，评审小组按以下原则对报价进行修正，修正的价格经供应商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书面确认后具有约束力。供应商不接受修正价格的，评审小组应否决其报价。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①响应文件中的大写金额与小写金额不一致的，以大写金额为准；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②总价金额与依据单价计算出的结果不一致的，以单价金额为准修正总价，但单价金额小数点有明显错误的除外；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③当单价与数量相乘不等于合价时，以单价计算为准，如果单价有明显的小数点位置差错，应以标出的合价为准，同时对单价予以修正；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④当各子目的合价累计不等于总价时，应以各子目合价累计数为准，修正总价。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（2）报价清单中的报价有其他错误的，评审小组按以下原则对报价进行修正，修正的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价格经供应商书面确认后具有约束力。供应商不接受修正价格的，评审小组应否决其报价。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①在采购人给定的清单中漏报了某个子目的单价、合价或总额价，或所报单价、合价 或总额价减少了报价范围，则漏报的子目单价、合价和总额价或单价、合价和总额价中减少的报价内容视为已含入其他子目的单价、合价和总额价之中。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②在采购人给定的清单中多报了某个子目的单价、合价或总额价，或所报单价、合价 或总额价增加了报价范围，则从报价中扣除多报的子目报价或子目报价中增加了报价范围的部分报价。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③当单价与数量的乘积与合价（金额）虽然一致，但供应商修改了该子目的数量，则其合价按采购人给定的数量乘以供应商所报单价予以修正。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④当各子目的合价累计不等于总价时，应以各子目合价累计数为准，修正总价。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3.1.4  修正后的最终报价若超过最高限价（如有），评审小组应否决其报价。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3.1.5  修正后的最终报价参与评审价得分的计算，并作为签订合同的依据。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2"/>
          <w:kern w:val="0"/>
          <w:sz w:val="24"/>
          <w:szCs w:val="24"/>
          <w:lang w:eastAsia="en-US"/>
        </w:rPr>
        <w:t xml:space="preserve">3.2  </w:t>
      </w:r>
      <w:r>
        <w:rPr>
          <w:rFonts w:ascii="黑体" w:hAnsi="黑体" w:eastAsia="黑体" w:cs="黑体"/>
          <w:snapToGrid w:val="0"/>
          <w:color w:val="000000"/>
          <w:spacing w:val="-2"/>
          <w:kern w:val="0"/>
          <w:sz w:val="24"/>
          <w:szCs w:val="24"/>
          <w:lang w:eastAsia="en-US"/>
        </w:rPr>
        <w:t>详细评审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3.2. 1  评审小组按本章第 2.2 款规定的量化因素和分值进行打分，并计算出综合评估得分。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（1）按本章第 2.2.4( 1)目规定的评审因素和分值对业绩计算出得分I；</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（2）按本章第 2.2.4(2)目规定的评审因素和分值对项目管理机构计算出得分II；</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（3）按本章第 2.2.4(3)目规定的评审因素和分值对技术方案计算出得分III；</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（4）按本章第 2.2.4(4)目规定的评审因素和分值对评审价计算出得分IV。</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3.2.2  评分分值计算保留小数点后两位，小数点后第三位“ 四舍五入”。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3.2.3  评审小组成员对供应商综合评分=I+II+III+IV，供应商最终得分为各评审小组成员评分的算数平均值。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1"/>
          <w:kern w:val="0"/>
          <w:sz w:val="24"/>
          <w:szCs w:val="24"/>
          <w:lang w:eastAsia="en-US"/>
        </w:rPr>
        <w:t xml:space="preserve">3.3  </w:t>
      </w:r>
      <w:r>
        <w:rPr>
          <w:rFonts w:ascii="黑体" w:hAnsi="黑体" w:eastAsia="黑体" w:cs="黑体"/>
          <w:snapToGrid w:val="0"/>
          <w:color w:val="000000"/>
          <w:spacing w:val="-1"/>
          <w:kern w:val="0"/>
          <w:sz w:val="24"/>
          <w:szCs w:val="24"/>
          <w:lang w:eastAsia="en-US"/>
        </w:rPr>
        <w:t>否决响应文件的其他情形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评审小组应对在评审过程中发现供应商存在串通报价、弄虚作假、行贿等违法行为的，评审小组应否决其响应文件。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3"/>
          <w:kern w:val="0"/>
          <w:sz w:val="24"/>
          <w:szCs w:val="24"/>
          <w:lang w:eastAsia="en-US"/>
        </w:rPr>
        <w:t>3.4</w:t>
      </w:r>
      <w:r>
        <w:rPr>
          <w:rFonts w:ascii="Times New Roman" w:hAnsi="Times New Roman" w:eastAsia="Times New Roman" w:cs="Times New Roman"/>
          <w:snapToGrid w:val="0"/>
          <w:color w:val="000000"/>
          <w:spacing w:val="9"/>
          <w:kern w:val="0"/>
          <w:sz w:val="24"/>
          <w:szCs w:val="24"/>
          <w:lang w:eastAsia="en-US"/>
        </w:rPr>
        <w:t xml:space="preserve">  </w:t>
      </w:r>
      <w:r>
        <w:rPr>
          <w:rFonts w:ascii="黑体" w:hAnsi="黑体" w:eastAsia="黑体" w:cs="黑体"/>
          <w:snapToGrid w:val="0"/>
          <w:color w:val="000000"/>
          <w:spacing w:val="-3"/>
          <w:kern w:val="0"/>
          <w:sz w:val="24"/>
          <w:szCs w:val="24"/>
          <w:lang w:eastAsia="en-US"/>
        </w:rPr>
        <w:t>响应文件的澄清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 xml:space="preserve">3.4.1 </w:t>
      </w:r>
      <w:r>
        <w:rPr>
          <w:rFonts w:hint="eastAsia" w:ascii="宋体" w:hAnsi="宋体" w:cs="宋体"/>
          <w:snapToGrid w:val="0"/>
          <w:color w:val="000000"/>
          <w:spacing w:val="5"/>
          <w:kern w:val="0"/>
          <w:sz w:val="20"/>
          <w:szCs w:val="20"/>
          <w:lang w:val="en-US" w:eastAsia="zh-CN"/>
        </w:rPr>
        <w:t xml:space="preserve"> </w:t>
      </w:r>
      <w:r>
        <w:rPr>
          <w:rFonts w:ascii="宋体" w:hAnsi="宋体" w:eastAsia="宋体" w:cs="宋体"/>
          <w:snapToGrid w:val="0"/>
          <w:color w:val="000000"/>
          <w:spacing w:val="5"/>
          <w:kern w:val="0"/>
          <w:sz w:val="20"/>
          <w:szCs w:val="20"/>
          <w:lang w:eastAsia="en-US"/>
        </w:rPr>
        <w:t>在评审过程中，评审小组可以书面形式要求供应商对响应文件中含义不明确、对 同类问题表述不一致或者有明显文字错误的内容做必要的澄清。评审小组不接受供应商主动提出的澄清。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3.4.2  澄清不得超出响应文件的范围且不得改变响应文件的实质性内容，并构成响应文件的组成部分。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2"/>
          <w:kern w:val="0"/>
          <w:sz w:val="24"/>
          <w:szCs w:val="24"/>
          <w:lang w:eastAsia="en-US"/>
        </w:rPr>
        <w:t xml:space="preserve">3.5  </w:t>
      </w:r>
      <w:r>
        <w:rPr>
          <w:rFonts w:ascii="黑体" w:hAnsi="黑体" w:eastAsia="黑体" w:cs="黑体"/>
          <w:snapToGrid w:val="0"/>
          <w:color w:val="000000"/>
          <w:spacing w:val="-2"/>
          <w:kern w:val="0"/>
          <w:sz w:val="24"/>
          <w:szCs w:val="24"/>
          <w:lang w:eastAsia="en-US"/>
        </w:rPr>
        <w:t>评审结果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评审小组完成评审后，应当向采购人提交评审报告。评审报告应当如实记载以下内容：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（一）采购项目基本情况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（二）采购过程回顾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（三）评审小组成员名单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（四）询比评审工作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1、评审办法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2、初步评审情况（资格审查、形式性审查、响应性审查）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3、详细评审情况（供应商的综合评分情况）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4、否决的供应商名单以及否决理由（如有）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5、推荐候选供应商排序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（五）需要说明的其他事项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（六）评审附表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1、响应文件开启记录表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2、评审表格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ascii="宋体" w:hAnsi="宋体" w:eastAsia="宋体" w:cs="宋体"/>
          <w:snapToGrid w:val="0"/>
          <w:color w:val="000000"/>
          <w:spacing w:val="6"/>
          <w:kern w:val="0"/>
          <w:sz w:val="20"/>
          <w:szCs w:val="20"/>
          <w:lang w:eastAsia="en-US"/>
        </w:rPr>
        <w:sectPr>
          <w:footerReference r:id="rId4" w:type="default"/>
          <w:pgSz w:w="11906" w:h="16839"/>
          <w:pgMar w:top="1431" w:right="1785" w:bottom="1378" w:left="1785" w:header="0" w:footer="1212" w:gutter="0"/>
          <w:pgNumType w:fmt="decimal"/>
          <w:cols w:space="720" w:num="1"/>
        </w:sectPr>
      </w:pPr>
    </w:p>
    <w:p>
      <w:pPr>
        <w:pStyle w:val="5"/>
        <w:keepNext/>
        <w:keepLines/>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b w:val="0"/>
          <w:bCs/>
          <w:lang w:val="en-US" w:eastAsia="zh-CN"/>
        </w:rPr>
        <w:t xml:space="preserve">第四章 </w:t>
      </w:r>
      <w:bookmarkEnd w:id="110"/>
      <w:bookmarkEnd w:id="111"/>
      <w:bookmarkStart w:id="112" w:name="_Toc183490802"/>
      <w:r>
        <w:rPr>
          <w:rFonts w:hint="eastAsia" w:ascii="方正小标宋简体" w:hAnsi="方正小标宋简体" w:eastAsia="方正小标宋简体" w:cs="方正小标宋简体"/>
          <w:b w:val="0"/>
          <w:bCs/>
          <w:lang w:val="en-US" w:eastAsia="zh-CN"/>
        </w:rPr>
        <w:t>合同协议</w:t>
      </w:r>
      <w:bookmarkEnd w:id="112"/>
      <w:r>
        <w:rPr>
          <w:rFonts w:hint="eastAsia" w:ascii="方正小标宋简体" w:hAnsi="方正小标宋简体" w:eastAsia="方正小标宋简体" w:cs="方正小标宋简体"/>
          <w:b w:val="0"/>
          <w:bCs/>
          <w:lang w:val="en-US" w:eastAsia="zh-CN"/>
        </w:rPr>
        <w:t>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8"/>
          <w:szCs w:val="28"/>
        </w:rPr>
      </w:pPr>
      <w:r>
        <w:rPr>
          <w:rFonts w:hint="eastAsia" w:ascii="仿宋" w:hAnsi="仿宋" w:eastAsia="仿宋" w:cs="仿宋"/>
          <w:b w:val="0"/>
          <w:bCs/>
          <w:sz w:val="28"/>
          <w:szCs w:val="28"/>
        </w:rPr>
        <w:t>委托人名称（甲 方）：</w:t>
      </w:r>
      <w:r>
        <w:rPr>
          <w:rFonts w:hint="eastAsia" w:ascii="仿宋" w:hAnsi="仿宋" w:eastAsia="仿宋" w:cs="仿宋"/>
          <w:b w:val="0"/>
          <w:bCs/>
          <w:sz w:val="28"/>
          <w:szCs w:val="28"/>
          <w:lang w:val="en-US" w:eastAsia="zh-CN"/>
        </w:rPr>
        <w:t>阜阳徽道置业有限公司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8"/>
          <w:szCs w:val="28"/>
          <w:lang w:val="en-US"/>
        </w:rPr>
      </w:pPr>
      <w:r>
        <w:rPr>
          <w:rFonts w:hint="eastAsia" w:ascii="仿宋" w:hAnsi="仿宋" w:eastAsia="仿宋" w:cs="仿宋"/>
          <w:b w:val="0"/>
          <w:bCs/>
          <w:sz w:val="28"/>
          <w:szCs w:val="28"/>
        </w:rPr>
        <w:t>受托人名称（乙 方）：</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兹由甲方委托乙方阜阳紫阳华苑项目供配电施工图设计服务，经双方协商共同遵守如下条款。</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一 </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 xml:space="preserve"> 委托项目情况</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rPr>
        <w:t xml:space="preserve">1、工程项目名称: </w:t>
      </w:r>
      <w:r>
        <w:rPr>
          <w:rFonts w:hint="eastAsia" w:ascii="仿宋" w:hAnsi="仿宋" w:eastAsia="仿宋" w:cs="仿宋"/>
          <w:b w:val="0"/>
          <w:bCs/>
          <w:sz w:val="28"/>
          <w:szCs w:val="28"/>
          <w:u w:val="single"/>
        </w:rPr>
        <w:t>阜阳紫阳华苑项目供配电施工图设计服务</w:t>
      </w:r>
      <w:r>
        <w:rPr>
          <w:rFonts w:hint="eastAsia" w:ascii="仿宋" w:hAnsi="仿宋" w:eastAsia="仿宋" w:cs="仿宋"/>
          <w:b w:val="0"/>
          <w:bCs/>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二 </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 xml:space="preserve"> 委托业务</w:t>
      </w:r>
      <w:r>
        <w:rPr>
          <w:rFonts w:hint="eastAsia" w:ascii="仿宋" w:hAnsi="仿宋" w:eastAsia="仿宋" w:cs="仿宋"/>
          <w:b/>
          <w:bCs w:val="0"/>
          <w:sz w:val="28"/>
          <w:szCs w:val="28"/>
          <w:lang w:eastAsia="zh-CN"/>
        </w:rPr>
        <w:t>内容及</w:t>
      </w:r>
      <w:r>
        <w:rPr>
          <w:rFonts w:hint="eastAsia" w:ascii="仿宋" w:hAnsi="仿宋" w:eastAsia="仿宋" w:cs="仿宋"/>
          <w:b/>
          <w:bCs w:val="0"/>
          <w:sz w:val="28"/>
          <w:szCs w:val="28"/>
        </w:rPr>
        <w:t>要求</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lang w:val="en-US" w:eastAsia="zh-CN"/>
        </w:rPr>
        <w:t>按照委托方要求根据国网阜阳市城郊供电公司设计的紫阳华苑项目居民区高压供电方案进行项目供电工程施工图设计，包含但不限于方案中涉及公变、专变及小区充电桩内容的施工图设计，直至满足供电公司方案要求并通过图审。</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三 </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双方责任</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甲方：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提供</w:t>
      </w:r>
      <w:r>
        <w:rPr>
          <w:rFonts w:hint="eastAsia" w:ascii="仿宋" w:hAnsi="仿宋" w:eastAsia="仿宋" w:cs="仿宋"/>
          <w:b w:val="0"/>
          <w:bCs/>
          <w:sz w:val="28"/>
          <w:szCs w:val="28"/>
          <w:lang w:eastAsia="zh-CN"/>
        </w:rPr>
        <w:t>乙方施工图设计中需要的项目总平面图（电子格式）</w:t>
      </w:r>
      <w:r>
        <w:rPr>
          <w:rFonts w:hint="eastAsia" w:ascii="仿宋" w:hAnsi="仿宋" w:eastAsia="仿宋" w:cs="仿宋"/>
          <w:b w:val="0"/>
          <w:bCs/>
          <w:sz w:val="28"/>
          <w:szCs w:val="28"/>
        </w:rPr>
        <w:t>图纸、国网阜阳市城郊供电公司设计的紫阳华苑项目居民区高压供电方案</w:t>
      </w:r>
      <w:r>
        <w:rPr>
          <w:rFonts w:hint="eastAsia" w:ascii="仿宋" w:hAnsi="仿宋" w:eastAsia="仿宋" w:cs="仿宋"/>
          <w:b w:val="0"/>
          <w:bCs/>
          <w:sz w:val="28"/>
          <w:szCs w:val="28"/>
          <w:highlight w:val="none"/>
        </w:rPr>
        <w:t>等资料</w:t>
      </w:r>
      <w:r>
        <w:rPr>
          <w:rFonts w:hint="eastAsia" w:ascii="仿宋" w:hAnsi="仿宋" w:eastAsia="仿宋" w:cs="仿宋"/>
          <w:b w:val="0"/>
          <w:bCs/>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（2）必要时需及时配合乙方踏勘现场，提供给乙方关于现场存在有关设计的其他内容；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（3）按时督促供电施工单位支付乙方施工图设计服务费用。</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2、乙方：</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1）</w:t>
      </w:r>
      <w:r>
        <w:rPr>
          <w:rFonts w:hint="eastAsia" w:ascii="仿宋" w:hAnsi="仿宋" w:eastAsia="仿宋" w:cs="仿宋"/>
          <w:b w:val="0"/>
          <w:bCs/>
          <w:sz w:val="28"/>
          <w:szCs w:val="28"/>
          <w:highlight w:val="none"/>
        </w:rPr>
        <w:t>收到甲方资料，根据国家及省、市有关法律、法规及</w:t>
      </w:r>
      <w:r>
        <w:rPr>
          <w:rFonts w:hint="eastAsia" w:ascii="仿宋" w:hAnsi="仿宋" w:eastAsia="仿宋" w:cs="仿宋"/>
          <w:b w:val="0"/>
          <w:bCs/>
          <w:sz w:val="28"/>
          <w:szCs w:val="28"/>
          <w:highlight w:val="none"/>
          <w:lang w:val="en-US" w:eastAsia="zh-CN"/>
        </w:rPr>
        <w:t>委托方</w:t>
      </w:r>
      <w:r>
        <w:rPr>
          <w:rFonts w:hint="eastAsia" w:ascii="仿宋" w:hAnsi="仿宋" w:eastAsia="仿宋" w:cs="仿宋"/>
          <w:b w:val="0"/>
          <w:bCs/>
          <w:sz w:val="28"/>
          <w:szCs w:val="28"/>
          <w:highlight w:val="none"/>
        </w:rPr>
        <w:t>要求,依据合法性、真实性、准确性的原则</w:t>
      </w:r>
      <w:r>
        <w:rPr>
          <w:rFonts w:hint="eastAsia" w:ascii="仿宋" w:hAnsi="仿宋" w:eastAsia="仿宋" w:cs="仿宋"/>
          <w:b w:val="0"/>
          <w:bCs/>
          <w:sz w:val="28"/>
          <w:szCs w:val="28"/>
          <w:highlight w:val="none"/>
          <w:lang w:eastAsia="zh-CN"/>
        </w:rPr>
        <w:t>进行供配电施工图设计</w:t>
      </w:r>
      <w:r>
        <w:rPr>
          <w:rFonts w:hint="eastAsia" w:ascii="仿宋" w:hAnsi="仿宋" w:eastAsia="仿宋" w:cs="仿宋"/>
          <w:b w:val="0"/>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rPr>
      </w:pP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val="en-US" w:eastAsia="zh-CN"/>
        </w:rPr>
        <w:t>2</w:t>
      </w:r>
      <w:r>
        <w:rPr>
          <w:rFonts w:hint="eastAsia" w:ascii="仿宋" w:hAnsi="仿宋" w:eastAsia="仿宋" w:cs="仿宋"/>
          <w:b w:val="0"/>
          <w:bCs/>
          <w:sz w:val="28"/>
          <w:szCs w:val="28"/>
          <w:highlight w:val="none"/>
        </w:rPr>
        <w:t>）按照要求及时</w:t>
      </w:r>
      <w:r>
        <w:rPr>
          <w:rFonts w:hint="eastAsia" w:ascii="仿宋" w:hAnsi="仿宋" w:eastAsia="仿宋" w:cs="仿宋"/>
          <w:b w:val="0"/>
          <w:bCs/>
          <w:sz w:val="28"/>
          <w:szCs w:val="28"/>
          <w:highlight w:val="none"/>
          <w:lang w:eastAsia="zh-CN"/>
        </w:rPr>
        <w:t>向委托方报告关于设计中遇到的技术问题并给予解决方案</w:t>
      </w:r>
      <w:r>
        <w:rPr>
          <w:rFonts w:hint="eastAsia" w:ascii="仿宋" w:hAnsi="仿宋" w:eastAsia="仿宋" w:cs="仿宋"/>
          <w:b w:val="0"/>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）乙方应对在完成业务过程中知悉的涉及甲方业务秘密及有关数据保密。</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3、合同双方对于过错责任发生争议时，委托人与</w:t>
      </w:r>
      <w:r>
        <w:rPr>
          <w:rFonts w:hint="eastAsia" w:ascii="仿宋" w:hAnsi="仿宋" w:eastAsia="仿宋" w:cs="仿宋"/>
          <w:b w:val="0"/>
          <w:bCs/>
          <w:sz w:val="28"/>
          <w:szCs w:val="28"/>
          <w:lang w:val="en-US" w:eastAsia="zh-CN"/>
        </w:rPr>
        <w:t>受托</w:t>
      </w:r>
      <w:r>
        <w:rPr>
          <w:rFonts w:hint="eastAsia" w:ascii="仿宋" w:hAnsi="仿宋" w:eastAsia="仿宋" w:cs="仿宋"/>
          <w:b w:val="0"/>
          <w:bCs/>
          <w:sz w:val="28"/>
          <w:szCs w:val="28"/>
        </w:rPr>
        <w:t>人应及时协商解决，如未能达成一致，可提请有关主管部门调解；协商或调解不成的，根据双方约定，提交合肥仲裁委员会仲裁。</w:t>
      </w:r>
    </w:p>
    <w:p>
      <w:pPr>
        <w:pStyle w:val="12"/>
        <w:keepNext w:val="0"/>
        <w:keepLines w:val="0"/>
        <w:pageBreakBefore w:val="0"/>
        <w:widowControl w:val="0"/>
        <w:kinsoku/>
        <w:wordWrap/>
        <w:overflowPunct/>
        <w:topLinePunct w:val="0"/>
        <w:autoSpaceDE/>
        <w:autoSpaceDN/>
        <w:bidi w:val="0"/>
        <w:adjustRightInd/>
        <w:snapToGrid/>
        <w:spacing w:line="520" w:lineRule="exact"/>
        <w:ind w:firstLine="840" w:firstLineChars="300"/>
        <w:jc w:val="both"/>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特别说明：乙方须严格按照甲方任务通知单时间完成相关工作，延期一天乙方须缴纳500元/天违约金，延期三次予以清除出交控建工集团供应商库。</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四 </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委托业务</w:t>
      </w:r>
      <w:r>
        <w:rPr>
          <w:rFonts w:hint="eastAsia" w:ascii="仿宋" w:hAnsi="仿宋" w:eastAsia="仿宋" w:cs="仿宋"/>
          <w:b/>
          <w:bCs w:val="0"/>
          <w:sz w:val="28"/>
          <w:szCs w:val="28"/>
          <w:lang w:eastAsia="zh-CN"/>
        </w:rPr>
        <w:t>服务费</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rPr>
        <w:t xml:space="preserve">1、收费如下： </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阜阳紫阳华苑项目供配电施工图设计服务一次性全费用包干总价</w:t>
      </w:r>
      <w:r>
        <w:rPr>
          <w:rFonts w:hint="eastAsia" w:ascii="仿宋" w:hAnsi="仿宋" w:eastAsia="仿宋" w:cs="仿宋"/>
          <w:b w:val="0"/>
          <w:bCs/>
          <w:sz w:val="28"/>
          <w:szCs w:val="28"/>
          <w:highlight w:val="none"/>
          <w:u w:val="single"/>
          <w:lang w:val="en-US" w:eastAsia="zh-CN"/>
        </w:rPr>
        <w:t xml:space="preserve">      </w:t>
      </w:r>
      <w:r>
        <w:rPr>
          <w:rFonts w:hint="eastAsia" w:ascii="仿宋" w:hAnsi="仿宋" w:eastAsia="仿宋" w:cs="仿宋"/>
          <w:b w:val="0"/>
          <w:bCs/>
          <w:sz w:val="28"/>
          <w:szCs w:val="28"/>
          <w:highlight w:val="none"/>
          <w:u w:val="none"/>
          <w:lang w:val="en-US" w:eastAsia="zh-CN"/>
        </w:rPr>
        <w:t>元。</w:t>
      </w:r>
      <w:r>
        <w:rPr>
          <w:rFonts w:hint="eastAsia" w:ascii="仿宋" w:hAnsi="仿宋" w:eastAsia="仿宋" w:cs="仿宋"/>
          <w:b w:val="0"/>
          <w:bCs/>
          <w:sz w:val="28"/>
          <w:szCs w:val="28"/>
          <w:highlight w:val="none"/>
          <w:lang w:val="en-US" w:eastAsia="zh-CN"/>
        </w:rPr>
        <w:t>（总价包含</w:t>
      </w:r>
      <w:r>
        <w:rPr>
          <w:rFonts w:hint="eastAsia" w:ascii="仿宋" w:hAnsi="仿宋" w:eastAsia="仿宋" w:cs="仿宋"/>
          <w:b w:val="0"/>
          <w:bCs/>
          <w:sz w:val="28"/>
          <w:szCs w:val="28"/>
          <w:highlight w:val="none"/>
          <w:u w:val="single"/>
          <w:lang w:val="en-US" w:eastAsia="zh-CN"/>
        </w:rPr>
        <w:t xml:space="preserve">    </w:t>
      </w:r>
      <w:r>
        <w:rPr>
          <w:rFonts w:hint="eastAsia" w:ascii="仿宋" w:hAnsi="仿宋" w:eastAsia="仿宋" w:cs="仿宋"/>
          <w:b w:val="0"/>
          <w:bCs/>
          <w:sz w:val="28"/>
          <w:szCs w:val="28"/>
          <w:highlight w:val="none"/>
          <w:u w:val="none"/>
          <w:lang w:val="en-US" w:eastAsia="zh-CN"/>
        </w:rPr>
        <w:t>%增值税专用发票</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sz w:val="28"/>
          <w:szCs w:val="28"/>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570" w:firstLineChars="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结算</w:t>
      </w:r>
      <w:r>
        <w:rPr>
          <w:rFonts w:hint="eastAsia" w:ascii="仿宋" w:hAnsi="仿宋" w:eastAsia="仿宋" w:cs="仿宋"/>
          <w:b w:val="0"/>
          <w:bCs/>
          <w:sz w:val="28"/>
          <w:szCs w:val="28"/>
          <w:highlight w:val="none"/>
          <w:lang w:eastAsia="zh-CN"/>
        </w:rPr>
        <w:t>及付款</w:t>
      </w:r>
      <w:r>
        <w:rPr>
          <w:rFonts w:hint="eastAsia" w:ascii="仿宋" w:hAnsi="仿宋" w:eastAsia="仿宋" w:cs="仿宋"/>
          <w:b w:val="0"/>
          <w:bCs/>
          <w:sz w:val="28"/>
          <w:szCs w:val="28"/>
          <w:highlight w:val="none"/>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70" w:leftChars="0"/>
        <w:textAlignment w:val="auto"/>
        <w:rPr>
          <w:rFonts w:hint="eastAsia" w:ascii="仿宋" w:hAnsi="仿宋" w:eastAsia="仿宋" w:cs="仿宋"/>
          <w:b w:val="0"/>
          <w:bCs/>
          <w:sz w:val="28"/>
          <w:szCs w:val="28"/>
        </w:rPr>
      </w:pPr>
      <w:r>
        <w:rPr>
          <w:rFonts w:hint="eastAsia" w:ascii="仿宋" w:hAnsi="仿宋" w:eastAsia="仿宋" w:cs="仿宋"/>
          <w:b w:val="0"/>
          <w:bCs/>
          <w:sz w:val="28"/>
          <w:szCs w:val="28"/>
          <w:highlight w:val="none"/>
          <w:lang w:eastAsia="zh-CN"/>
        </w:rPr>
        <w:t>施工图设计完成并将电子版图纸提供于委托方，经委托方审查满足本项目供电方案中要求的设计参数和标准后</w:t>
      </w:r>
      <w:r>
        <w:rPr>
          <w:rFonts w:hint="eastAsia" w:ascii="仿宋" w:hAnsi="仿宋" w:eastAsia="仿宋" w:cs="仿宋"/>
          <w:b w:val="0"/>
          <w:bCs/>
          <w:sz w:val="28"/>
          <w:szCs w:val="28"/>
          <w:highlight w:val="none"/>
          <w:lang w:val="en-US" w:eastAsia="zh-CN"/>
        </w:rPr>
        <w:t>10个工作日内，委托方开展本项目供电工程施工招标，有本项目供电工程</w:t>
      </w:r>
      <w:r>
        <w:rPr>
          <w:rFonts w:hint="eastAsia" w:ascii="仿宋" w:hAnsi="仿宋" w:eastAsia="仿宋" w:cs="仿宋"/>
          <w:b w:val="0"/>
          <w:bCs/>
          <w:sz w:val="28"/>
          <w:szCs w:val="28"/>
          <w:highlight w:val="none"/>
          <w:lang w:eastAsia="zh-CN"/>
        </w:rPr>
        <w:t>中标单位中标公示以后在合同签订前支付于设计人80%服务费，余款20%服务费在供电施工图经供电部位认可，设计人出具六套完整施工图蓝图后支付完毕。每期付款前由设计人开具付款额全额增值税专用发票于供电工程中标单位</w:t>
      </w:r>
      <w:r>
        <w:rPr>
          <w:rFonts w:hint="eastAsia" w:ascii="仿宋" w:hAnsi="仿宋" w:eastAsia="仿宋" w:cs="仿宋"/>
          <w:b w:val="0"/>
          <w:bCs/>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乙方户名：</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账    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bCs w:val="0"/>
          <w:sz w:val="28"/>
          <w:szCs w:val="28"/>
        </w:rPr>
      </w:pPr>
      <w:r>
        <w:rPr>
          <w:rFonts w:hint="eastAsia" w:ascii="仿宋" w:hAnsi="仿宋" w:eastAsia="仿宋" w:cs="仿宋"/>
          <w:b w:val="0"/>
          <w:bCs/>
          <w:sz w:val="28"/>
          <w:szCs w:val="28"/>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五 </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 xml:space="preserve"> 其他需要说明的事项</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设计方对提供的施工图设计成果的真实性、准确性、合理性、合法性负责。</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本协议一式二份，委托方、受托方双方各持一份。</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仿宋" w:hAnsi="仿宋" w:eastAsia="仿宋" w:cs="仿宋"/>
          <w:b w:val="0"/>
          <w:bCs/>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eastAsia="zh-CN"/>
        </w:rPr>
        <w:t>委托方</w:t>
      </w:r>
      <w:r>
        <w:rPr>
          <w:rFonts w:hint="eastAsia" w:ascii="仿宋" w:hAnsi="仿宋" w:eastAsia="仿宋" w:cs="仿宋"/>
          <w:b w:val="0"/>
          <w:bCs/>
          <w:sz w:val="28"/>
          <w:szCs w:val="28"/>
        </w:rPr>
        <w:t xml:space="preserve">（单位公章）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   </w:t>
      </w:r>
      <w:r>
        <w:rPr>
          <w:rFonts w:hint="eastAsia" w:ascii="仿宋" w:hAnsi="仿宋" w:eastAsia="仿宋" w:cs="仿宋"/>
          <w:b w:val="0"/>
          <w:bCs/>
          <w:sz w:val="28"/>
          <w:szCs w:val="28"/>
          <w:lang w:eastAsia="zh-CN"/>
        </w:rPr>
        <w:t>受托方</w:t>
      </w:r>
      <w:r>
        <w:rPr>
          <w:rFonts w:hint="eastAsia" w:ascii="仿宋" w:hAnsi="仿宋" w:eastAsia="仿宋" w:cs="仿宋"/>
          <w:b w:val="0"/>
          <w:bCs/>
          <w:sz w:val="28"/>
          <w:szCs w:val="28"/>
        </w:rPr>
        <w:t xml:space="preserve">（单位公章）                  </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联系人：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   联系人：</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电  话：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 电  话：</w:t>
      </w:r>
    </w:p>
    <w:p>
      <w:pPr>
        <w:pageBreakBefore w:val="0"/>
        <w:kinsoku/>
        <w:wordWrap/>
        <w:overflowPunct/>
        <w:topLinePunct w:val="0"/>
        <w:autoSpaceDE/>
        <w:autoSpaceDN/>
        <w:bidi w:val="0"/>
        <w:adjustRightInd/>
        <w:snapToGrid/>
        <w:spacing w:line="520" w:lineRule="exact"/>
        <w:textAlignment w:val="auto"/>
        <w:rPr>
          <w:rFonts w:hint="eastAsia" w:ascii="Calibri" w:hAnsi="Calibri" w:eastAsia="方正小标宋_GBK" w:cs="Times New Roman"/>
          <w:b w:val="0"/>
          <w:bCs/>
          <w:kern w:val="44"/>
          <w:sz w:val="36"/>
          <w:szCs w:val="24"/>
          <w:lang w:val="en-US" w:eastAsia="zh-CN" w:bidi="ar-SA"/>
        </w:rPr>
      </w:pPr>
      <w:bookmarkStart w:id="113" w:name="_Toc39"/>
    </w:p>
    <w:p>
      <w:pPr>
        <w:pStyle w:val="5"/>
        <w:keepNext/>
        <w:keepLines/>
        <w:pageBreakBefore w:val="0"/>
        <w:widowControl w:val="0"/>
        <w:kinsoku/>
        <w:wordWrap/>
        <w:overflowPunct/>
        <w:topLinePunct w:val="0"/>
        <w:autoSpaceDE/>
        <w:autoSpaceDN/>
        <w:bidi w:val="0"/>
        <w:adjustRightInd/>
        <w:snapToGrid/>
        <w:spacing w:line="240" w:lineRule="auto"/>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第五章  报价</w:t>
      </w:r>
      <w:bookmarkEnd w:id="113"/>
      <w:r>
        <w:rPr>
          <w:rFonts w:hint="eastAsia" w:ascii="方正小标宋简体" w:hAnsi="方正小标宋简体" w:eastAsia="方正小标宋简体" w:cs="方正小标宋简体"/>
          <w:b w:val="0"/>
          <w:bCs/>
          <w:lang w:val="en-US" w:eastAsia="zh-CN"/>
        </w:rPr>
        <w:t>表</w:t>
      </w:r>
    </w:p>
    <w:p>
      <w:pPr>
        <w:pStyle w:val="12"/>
        <w:numPr>
          <w:ilvl w:val="0"/>
          <w:numId w:val="0"/>
        </w:numPr>
        <w:ind w:leftChars="0"/>
        <w:jc w:val="both"/>
        <w:rPr>
          <w:rFonts w:hint="eastAsia"/>
          <w:lang w:val="en-US" w:eastAsia="zh-CN"/>
        </w:rPr>
      </w:pPr>
    </w:p>
    <w:tbl>
      <w:tblPr>
        <w:tblStyle w:val="15"/>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78"/>
        <w:gridCol w:w="1785"/>
        <w:gridCol w:w="1665"/>
        <w:gridCol w:w="18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80" w:hRule="atLeast"/>
          <w:jc w:val="center"/>
        </w:trPr>
        <w:tc>
          <w:tcPr>
            <w:tcW w:w="267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项目名称</w:t>
            </w:r>
          </w:p>
        </w:tc>
        <w:tc>
          <w:tcPr>
            <w:tcW w:w="17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总建筑面积</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6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设计服务费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单价报价</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（元/㎡）</w:t>
            </w:r>
          </w:p>
        </w:tc>
        <w:tc>
          <w:tcPr>
            <w:tcW w:w="18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合价</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（元）</w:t>
            </w:r>
          </w:p>
        </w:tc>
        <w:tc>
          <w:tcPr>
            <w:tcW w:w="10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267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阜阳紫阳华苑项目供配电施工图设计服务</w:t>
            </w:r>
          </w:p>
        </w:tc>
        <w:tc>
          <w:tcPr>
            <w:tcW w:w="17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156783.35</w:t>
            </w:r>
          </w:p>
        </w:tc>
        <w:tc>
          <w:tcPr>
            <w:tcW w:w="16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8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267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合计</w:t>
            </w:r>
          </w:p>
        </w:tc>
        <w:tc>
          <w:tcPr>
            <w:tcW w:w="17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8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8956" w:type="dxa"/>
            <w:gridSpan w:val="5"/>
            <w:tcBorders>
              <w:tl2br w:val="nil"/>
              <w:tr2bl w:val="nil"/>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b w:val="0"/>
                <w:bCs w:val="0"/>
                <w:i w:val="0"/>
                <w:iCs w:val="0"/>
                <w:color w:val="000000"/>
                <w:kern w:val="0"/>
                <w:sz w:val="24"/>
                <w:szCs w:val="24"/>
                <w:u w:val="singl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最终优惠后全费用包干总价【</w:t>
            </w:r>
            <w:r>
              <w:rPr>
                <w:rFonts w:hint="eastAsia" w:ascii="宋体" w:hAnsi="宋体" w:eastAsia="宋体" w:cs="宋体"/>
                <w:b w:val="0"/>
                <w:bCs w:val="0"/>
                <w:i w:val="0"/>
                <w:iCs w:val="0"/>
                <w:color w:val="000000"/>
                <w:kern w:val="0"/>
                <w:sz w:val="24"/>
                <w:szCs w:val="24"/>
                <w:u w:val="singl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】万元（精确到万元），包含的增值税税率为【</w:t>
            </w:r>
            <w:r>
              <w:rPr>
                <w:rFonts w:hint="eastAsia" w:ascii="宋体" w:hAnsi="宋体" w:eastAsia="宋体" w:cs="宋体"/>
                <w:b w:val="0"/>
                <w:bCs w:val="0"/>
                <w:i w:val="0"/>
                <w:iCs w:val="0"/>
                <w:color w:val="000000"/>
                <w:kern w:val="0"/>
                <w:sz w:val="24"/>
                <w:szCs w:val="24"/>
                <w:u w:val="singl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kern w:val="44"/>
          <w:sz w:val="24"/>
          <w:szCs w:val="20"/>
          <w:lang w:val="en-US" w:eastAsia="zh-CN" w:bidi="ar-SA"/>
        </w:rPr>
      </w:pPr>
    </w:p>
    <w:p>
      <w:pPr>
        <w:spacing w:line="360" w:lineRule="auto"/>
        <w:ind w:firstLine="480" w:firstLineChars="200"/>
        <w:jc w:val="both"/>
        <w:rPr>
          <w:rFonts w:hint="eastAsia" w:ascii="宋体" w:hAnsi="宋体" w:eastAsia="宋体" w:cs="宋体"/>
          <w:b w:val="0"/>
          <w:bCs/>
          <w:kern w:val="44"/>
          <w:sz w:val="24"/>
          <w:szCs w:val="20"/>
          <w:lang w:val="en-US" w:eastAsia="zh-CN" w:bidi="ar-SA"/>
        </w:rPr>
      </w:pPr>
      <w:bookmarkStart w:id="114" w:name="_Toc17911"/>
      <w:r>
        <w:rPr>
          <w:rFonts w:hint="eastAsia" w:ascii="宋体" w:hAnsi="宋体" w:eastAsia="宋体" w:cs="宋体"/>
          <w:b w:val="0"/>
          <w:bCs/>
          <w:kern w:val="44"/>
          <w:sz w:val="24"/>
          <w:szCs w:val="20"/>
          <w:lang w:val="en-US" w:eastAsia="zh-CN" w:bidi="ar-SA"/>
        </w:rPr>
        <w:t xml:space="preserve">备注：我方保证按询价文件及合同要求完成设计服务任务，如有违约，同意按合同文件相关罚则。 </w:t>
      </w:r>
    </w:p>
    <w:p>
      <w:pPr>
        <w:spacing w:line="360" w:lineRule="auto"/>
        <w:jc w:val="both"/>
        <w:rPr>
          <w:rFonts w:hint="eastAsia" w:ascii="宋体" w:hAnsi="宋体" w:eastAsia="宋体" w:cs="宋体"/>
          <w:b w:val="0"/>
          <w:bCs/>
          <w:kern w:val="44"/>
          <w:sz w:val="24"/>
          <w:szCs w:val="20"/>
          <w:lang w:val="en-US" w:eastAsia="zh-CN" w:bidi="ar-SA"/>
        </w:rPr>
      </w:pPr>
    </w:p>
    <w:p>
      <w:pPr>
        <w:spacing w:line="360" w:lineRule="auto"/>
        <w:jc w:val="both"/>
        <w:rPr>
          <w:rFonts w:hint="eastAsia" w:ascii="宋体" w:hAnsi="宋体" w:eastAsia="宋体" w:cs="宋体"/>
          <w:b w:val="0"/>
          <w:bCs/>
          <w:kern w:val="44"/>
          <w:sz w:val="24"/>
          <w:szCs w:val="20"/>
          <w:lang w:val="en-US" w:eastAsia="zh-CN" w:bidi="ar-SA"/>
        </w:rPr>
      </w:pPr>
      <w:r>
        <w:rPr>
          <w:rFonts w:hint="eastAsia" w:ascii="宋体" w:hAnsi="宋体" w:eastAsia="宋体" w:cs="宋体"/>
          <w:b w:val="0"/>
          <w:bCs/>
          <w:kern w:val="44"/>
          <w:sz w:val="24"/>
          <w:szCs w:val="20"/>
          <w:lang w:val="en-US" w:eastAsia="zh-CN" w:bidi="ar-SA"/>
        </w:rPr>
        <w:t xml:space="preserve">报价单位（公章）： </w:t>
      </w:r>
    </w:p>
    <w:p>
      <w:pPr>
        <w:spacing w:line="360" w:lineRule="auto"/>
        <w:jc w:val="both"/>
        <w:rPr>
          <w:rFonts w:hint="eastAsia" w:ascii="宋体" w:hAnsi="宋体" w:eastAsia="宋体" w:cs="宋体"/>
          <w:b w:val="0"/>
          <w:bCs/>
          <w:kern w:val="44"/>
          <w:sz w:val="24"/>
          <w:szCs w:val="20"/>
          <w:lang w:val="en-US" w:eastAsia="zh-CN" w:bidi="ar-SA"/>
        </w:rPr>
      </w:pPr>
    </w:p>
    <w:p>
      <w:pPr>
        <w:spacing w:line="360" w:lineRule="auto"/>
        <w:jc w:val="both"/>
        <w:rPr>
          <w:rFonts w:hint="eastAsia" w:ascii="宋体" w:hAnsi="宋体" w:eastAsia="宋体" w:cs="宋体"/>
          <w:b w:val="0"/>
          <w:bCs/>
          <w:kern w:val="44"/>
          <w:sz w:val="24"/>
          <w:szCs w:val="20"/>
          <w:lang w:val="en-US" w:eastAsia="zh-CN" w:bidi="ar-SA"/>
        </w:rPr>
      </w:pPr>
      <w:r>
        <w:rPr>
          <w:rFonts w:hint="eastAsia" w:ascii="宋体" w:hAnsi="宋体" w:eastAsia="宋体" w:cs="宋体"/>
          <w:b w:val="0"/>
          <w:bCs/>
          <w:kern w:val="44"/>
          <w:sz w:val="24"/>
          <w:szCs w:val="20"/>
          <w:lang w:val="en-US" w:eastAsia="zh-CN" w:bidi="ar-SA"/>
        </w:rPr>
        <w:t xml:space="preserve">法定代表人或授权代表人签字：  </w:t>
      </w:r>
    </w:p>
    <w:p>
      <w:pPr>
        <w:spacing w:line="360" w:lineRule="auto"/>
        <w:jc w:val="both"/>
        <w:rPr>
          <w:rFonts w:hint="eastAsia" w:ascii="宋体" w:hAnsi="宋体" w:eastAsia="宋体" w:cs="宋体"/>
          <w:b w:val="0"/>
          <w:bCs/>
          <w:kern w:val="44"/>
          <w:sz w:val="24"/>
          <w:szCs w:val="20"/>
          <w:lang w:val="en-US" w:eastAsia="zh-CN" w:bidi="ar-SA"/>
        </w:rPr>
      </w:pPr>
    </w:p>
    <w:p>
      <w:pPr>
        <w:spacing w:line="360" w:lineRule="auto"/>
        <w:jc w:val="both"/>
        <w:rPr>
          <w:rFonts w:hint="eastAsia" w:ascii="宋体" w:hAnsi="宋体" w:eastAsia="宋体" w:cs="宋体"/>
          <w:b w:val="0"/>
          <w:bCs/>
          <w:kern w:val="44"/>
          <w:sz w:val="24"/>
          <w:szCs w:val="20"/>
          <w:lang w:val="en-US" w:eastAsia="zh-CN" w:bidi="ar-SA"/>
        </w:rPr>
      </w:pPr>
      <w:r>
        <w:rPr>
          <w:rFonts w:hint="eastAsia" w:ascii="宋体" w:hAnsi="宋体" w:eastAsia="宋体" w:cs="宋体"/>
          <w:b w:val="0"/>
          <w:bCs/>
          <w:kern w:val="44"/>
          <w:sz w:val="24"/>
          <w:szCs w:val="20"/>
          <w:lang w:val="en-US" w:eastAsia="zh-CN" w:bidi="ar-SA"/>
        </w:rPr>
        <w:t xml:space="preserve">联系电话：                                              </w:t>
      </w:r>
    </w:p>
    <w:p>
      <w:pPr>
        <w:spacing w:line="360" w:lineRule="auto"/>
        <w:jc w:val="both"/>
        <w:rPr>
          <w:rFonts w:hint="eastAsia" w:ascii="宋体" w:hAnsi="宋体" w:eastAsia="宋体" w:cs="宋体"/>
          <w:b w:val="0"/>
          <w:bCs/>
          <w:kern w:val="44"/>
          <w:sz w:val="24"/>
          <w:szCs w:val="20"/>
          <w:lang w:val="en-US" w:eastAsia="zh-CN" w:bidi="ar-SA"/>
        </w:rPr>
      </w:pPr>
    </w:p>
    <w:p>
      <w:pPr>
        <w:spacing w:line="360" w:lineRule="auto"/>
        <w:jc w:val="both"/>
        <w:rPr>
          <w:rFonts w:hint="eastAsia" w:ascii="宋体" w:hAnsi="宋体" w:eastAsia="宋体" w:cs="宋体"/>
          <w:b w:val="0"/>
          <w:bCs/>
          <w:kern w:val="44"/>
          <w:sz w:val="24"/>
          <w:szCs w:val="20"/>
          <w:lang w:val="en-US" w:eastAsia="zh-CN" w:bidi="ar-SA"/>
        </w:rPr>
      </w:pPr>
      <w:r>
        <w:rPr>
          <w:rFonts w:hint="eastAsia" w:ascii="宋体" w:hAnsi="宋体" w:eastAsia="宋体" w:cs="宋体"/>
          <w:b w:val="0"/>
          <w:bCs/>
          <w:kern w:val="44"/>
          <w:sz w:val="24"/>
          <w:szCs w:val="20"/>
          <w:lang w:val="en-US" w:eastAsia="zh-CN" w:bidi="ar-SA"/>
        </w:rPr>
        <w:t>日期：      年      月      日</w:t>
      </w:r>
    </w:p>
    <w:p>
      <w:pPr>
        <w:spacing w:line="360" w:lineRule="auto"/>
        <w:jc w:val="both"/>
        <w:rPr>
          <w:rFonts w:hint="eastAsia" w:ascii="Calibri" w:hAnsi="Calibri" w:eastAsia="方正小标宋_GBK" w:cs="Times New Roman"/>
          <w:b/>
          <w:kern w:val="44"/>
          <w:sz w:val="36"/>
          <w:szCs w:val="24"/>
          <w:lang w:val="en-US" w:eastAsia="zh-CN" w:bidi="ar-SA"/>
        </w:rPr>
      </w:pPr>
      <w:r>
        <w:rPr>
          <w:rFonts w:hint="eastAsia" w:ascii="Calibri" w:hAnsi="Calibri" w:eastAsia="方正小标宋_GBK" w:cs="Times New Roman"/>
          <w:b/>
          <w:kern w:val="44"/>
          <w:sz w:val="36"/>
          <w:szCs w:val="24"/>
          <w:lang w:val="en-US" w:eastAsia="zh-CN" w:bidi="ar-SA"/>
        </w:rPr>
        <w:br w:type="page"/>
      </w:r>
    </w:p>
    <w:p>
      <w:pPr>
        <w:pStyle w:val="5"/>
        <w:keepNext/>
        <w:keepLines/>
        <w:pageBreakBefore w:val="0"/>
        <w:widowControl w:val="0"/>
        <w:kinsoku/>
        <w:wordWrap/>
        <w:overflowPunct/>
        <w:topLinePunct w:val="0"/>
        <w:autoSpaceDE/>
        <w:autoSpaceDN/>
        <w:bidi w:val="0"/>
        <w:adjustRightInd/>
        <w:snapToGrid/>
        <w:spacing w:line="240" w:lineRule="auto"/>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第六章 </w:t>
      </w:r>
      <w:bookmarkEnd w:id="114"/>
      <w:bookmarkStart w:id="115" w:name="_Toc26697"/>
      <w:r>
        <w:rPr>
          <w:rFonts w:hint="eastAsia" w:ascii="方正小标宋简体" w:hAnsi="方正小标宋简体" w:eastAsia="方正小标宋简体" w:cs="方正小标宋简体"/>
          <w:b w:val="0"/>
          <w:bCs/>
          <w:lang w:val="en-US" w:eastAsia="zh-CN"/>
        </w:rPr>
        <w:t>技术标准和要求</w:t>
      </w:r>
      <w:bookmarkEnd w:id="115"/>
    </w:p>
    <w:p>
      <w:pPr>
        <w:numPr>
          <w:ilvl w:val="0"/>
          <w:numId w:val="0"/>
        </w:num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eastAsia="宋体"/>
          <w:sz w:val="24"/>
          <w:szCs w:val="32"/>
          <w:highlight w:val="none"/>
          <w:lang w:eastAsia="zh-CN"/>
        </w:rPr>
      </w:pPr>
      <w:r>
        <w:rPr>
          <w:rFonts w:hint="eastAsia" w:ascii="宋体" w:hAnsi="宋体"/>
          <w:sz w:val="24"/>
          <w:szCs w:val="24"/>
          <w:highlight w:val="none"/>
        </w:rPr>
        <w:t>1、</w:t>
      </w:r>
      <w:r>
        <w:rPr>
          <w:rFonts w:hint="eastAsia" w:ascii="宋体" w:hAnsi="宋体"/>
          <w:sz w:val="24"/>
          <w:szCs w:val="24"/>
          <w:highlight w:val="none"/>
          <w:lang w:eastAsia="zh-CN"/>
        </w:rPr>
        <w:t>详见国网阜阳市城郊供电公司《紫阳华苑项目居民区高压供电方案》</w:t>
      </w:r>
    </w:p>
    <w:p>
      <w:pPr>
        <w:rPr>
          <w:rFonts w:hint="eastAsia"/>
          <w:lang w:val="en-US" w:eastAsia="zh-CN"/>
        </w:rPr>
      </w:pPr>
    </w:p>
    <w:p>
      <w:pPr>
        <w:rPr>
          <w:rFonts w:hint="eastAsia" w:ascii="仿宋_GB2312" w:hAnsi="仿宋_GB2312" w:eastAsia="仿宋_GB2312" w:cs="仿宋_GB2312"/>
          <w:color w:val="000000"/>
          <w:kern w:val="0"/>
          <w:sz w:val="24"/>
          <w:szCs w:val="24"/>
          <w:lang w:val="en-US" w:eastAsia="zh-CN" w:bidi="ar"/>
        </w:rPr>
      </w:pPr>
    </w:p>
    <w:p>
      <w:pPr>
        <w:pStyle w:val="12"/>
        <w:rPr>
          <w:rFonts w:hint="eastAsia" w:ascii="仿宋_GB2312" w:hAnsi="仿宋_GB2312" w:eastAsia="仿宋_GB2312" w:cs="仿宋_GB2312"/>
          <w:color w:val="000000"/>
          <w:kern w:val="0"/>
          <w:sz w:val="24"/>
          <w:szCs w:val="24"/>
          <w:lang w:val="en-US" w:eastAsia="zh-CN" w:bidi="ar"/>
        </w:rPr>
      </w:pPr>
    </w:p>
    <w:p>
      <w:pPr>
        <w:rPr>
          <w:rFonts w:hint="eastAsia" w:ascii="仿宋_GB2312" w:hAnsi="仿宋_GB2312" w:eastAsia="仿宋_GB2312" w:cs="仿宋_GB2312"/>
          <w:color w:val="000000"/>
          <w:kern w:val="0"/>
          <w:sz w:val="24"/>
          <w:szCs w:val="24"/>
          <w:lang w:val="en-US" w:eastAsia="zh-CN" w:bidi="ar"/>
        </w:rPr>
      </w:pPr>
    </w:p>
    <w:p>
      <w:pPr>
        <w:pStyle w:val="12"/>
        <w:rPr>
          <w:rFonts w:hint="eastAsia" w:ascii="仿宋_GB2312" w:hAnsi="仿宋_GB2312" w:eastAsia="仿宋_GB2312" w:cs="仿宋_GB2312"/>
          <w:color w:val="000000"/>
          <w:kern w:val="0"/>
          <w:sz w:val="24"/>
          <w:szCs w:val="24"/>
          <w:lang w:val="en-US" w:eastAsia="zh-CN" w:bidi="ar"/>
        </w:rPr>
      </w:pPr>
    </w:p>
    <w:p>
      <w:pPr>
        <w:pStyle w:val="5"/>
        <w:bidi w:val="0"/>
        <w:jc w:val="both"/>
        <w:outlineLvl w:val="9"/>
        <w:rPr>
          <w:rFonts w:hint="eastAsia"/>
          <w:lang w:val="en-US" w:eastAsia="zh-CN"/>
        </w:rPr>
      </w:pPr>
    </w:p>
    <w:p>
      <w:pPr>
        <w:pStyle w:val="5"/>
        <w:bidi w:val="0"/>
        <w:outlineLvl w:val="9"/>
        <w:rPr>
          <w:rFonts w:hint="eastAsia"/>
          <w:lang w:val="en-US" w:eastAsia="zh-CN"/>
        </w:rPr>
      </w:pPr>
    </w:p>
    <w:p>
      <w:pPr>
        <w:rPr>
          <w:rFonts w:hint="eastAsia"/>
          <w:lang w:val="en-US" w:eastAsia="zh-CN"/>
        </w:rPr>
      </w:pPr>
      <w:bookmarkStart w:id="116" w:name="_Toc5760"/>
      <w:r>
        <w:rPr>
          <w:rFonts w:hint="eastAsia"/>
          <w:lang w:val="en-US" w:eastAsia="zh-CN"/>
        </w:rPr>
        <w:br w:type="page"/>
      </w:r>
    </w:p>
    <w:p>
      <w:pPr>
        <w:pStyle w:val="5"/>
        <w:numPr>
          <w:ilvl w:val="0"/>
          <w:numId w:val="0"/>
        </w:numPr>
        <w:bidi w:val="0"/>
        <w:rPr>
          <w:rFonts w:hint="eastAsia"/>
          <w:lang w:val="en-US" w:eastAsia="zh-CN"/>
        </w:rPr>
      </w:pPr>
      <w:r>
        <w:rPr>
          <w:rFonts w:hint="eastAsia" w:ascii="Calibri" w:hAnsi="Calibri" w:eastAsia="方正小标宋_GBK" w:cs="Times New Roman"/>
          <w:b/>
          <w:kern w:val="44"/>
          <w:sz w:val="36"/>
          <w:szCs w:val="24"/>
          <w:lang w:val="en-US" w:eastAsia="zh-CN" w:bidi="ar-SA"/>
        </w:rPr>
        <w:t>第</w:t>
      </w:r>
      <w:r>
        <w:rPr>
          <w:rFonts w:hint="eastAsia" w:cs="Times New Roman"/>
          <w:b/>
          <w:kern w:val="44"/>
          <w:sz w:val="36"/>
          <w:szCs w:val="24"/>
          <w:lang w:val="en-US" w:eastAsia="zh-CN" w:bidi="ar-SA"/>
        </w:rPr>
        <w:t>七</w:t>
      </w:r>
      <w:r>
        <w:rPr>
          <w:rFonts w:hint="eastAsia" w:ascii="Calibri" w:hAnsi="Calibri" w:eastAsia="方正小标宋_GBK" w:cs="Times New Roman"/>
          <w:b/>
          <w:kern w:val="44"/>
          <w:sz w:val="36"/>
          <w:szCs w:val="24"/>
          <w:lang w:val="en-US" w:eastAsia="zh-CN" w:bidi="ar-SA"/>
        </w:rPr>
        <w:t>章</w:t>
      </w:r>
      <w:r>
        <w:rPr>
          <w:rFonts w:hint="eastAsia" w:cs="Times New Roman"/>
          <w:b/>
          <w:kern w:val="44"/>
          <w:sz w:val="36"/>
          <w:szCs w:val="24"/>
          <w:lang w:val="en-US" w:eastAsia="zh-CN" w:bidi="ar-SA"/>
        </w:rPr>
        <w:t xml:space="preserve"> </w:t>
      </w:r>
      <w:r>
        <w:rPr>
          <w:rFonts w:hint="eastAsia"/>
          <w:lang w:val="en-US" w:eastAsia="zh-CN"/>
        </w:rPr>
        <w:t>响应文件格式</w:t>
      </w:r>
      <w:bookmarkEnd w:id="116"/>
    </w:p>
    <w:p>
      <w:pPr>
        <w:widowControl w:val="0"/>
        <w:numPr>
          <w:ilvl w:val="0"/>
          <w:numId w:val="0"/>
        </w:numPr>
        <w:jc w:val="both"/>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rPr>
          <w:rFonts w:hint="eastAsia" w:ascii="方正小标宋_GBK" w:hAnsi="方正小标宋_GBK" w:eastAsia="方正小标宋_GBK" w:cs="方正小标宋_GBK"/>
          <w:b w:val="0"/>
          <w:bCs/>
          <w:w w:val="100"/>
          <w:sz w:val="36"/>
          <w:szCs w:val="36"/>
          <w:u w:val="single"/>
        </w:rPr>
      </w:pPr>
      <w:r>
        <w:rPr>
          <w:rFonts w:hint="eastAsia" w:ascii="方正小标宋_GBK" w:hAnsi="方正小标宋_GBK" w:eastAsia="方正小标宋_GBK" w:cs="方正小标宋_GBK"/>
          <w:b w:val="0"/>
          <w:bCs/>
          <w:w w:val="100"/>
          <w:sz w:val="36"/>
          <w:szCs w:val="36"/>
          <w:u w:val="single"/>
        </w:rPr>
        <w:br w:type="page"/>
      </w:r>
    </w:p>
    <w:p>
      <w:pPr>
        <w:pStyle w:val="7"/>
        <w:tabs>
          <w:tab w:val="left" w:pos="2079"/>
          <w:tab w:val="left" w:pos="4599"/>
        </w:tabs>
        <w:spacing w:before="70"/>
        <w:ind w:right="1"/>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w w:val="100"/>
          <w:sz w:val="36"/>
          <w:szCs w:val="36"/>
          <w:u w:val="single"/>
        </w:rPr>
        <w:t xml:space="preserve"> </w:t>
      </w:r>
      <w:r>
        <w:rPr>
          <w:rFonts w:hint="eastAsia" w:ascii="方正小标宋_GBK" w:hAnsi="方正小标宋_GBK" w:eastAsia="方正小标宋_GBK" w:cs="方正小标宋_GBK"/>
          <w:b w:val="0"/>
          <w:bCs/>
          <w:sz w:val="36"/>
          <w:szCs w:val="36"/>
          <w:u w:val="single"/>
        </w:rPr>
        <w:tab/>
      </w:r>
      <w:r>
        <w:rPr>
          <w:rFonts w:hint="eastAsia" w:ascii="方正小标宋_GBK" w:hAnsi="方正小标宋_GBK" w:eastAsia="方正小标宋_GBK" w:cs="方正小标宋_GBK"/>
          <w:b w:val="0"/>
          <w:bCs/>
          <w:sz w:val="36"/>
          <w:szCs w:val="36"/>
          <w:u w:val="single"/>
          <w:lang w:val="en-US" w:eastAsia="zh-CN"/>
        </w:rPr>
        <w:t xml:space="preserve">                            </w:t>
      </w:r>
      <w:r>
        <w:rPr>
          <w:rFonts w:hint="eastAsia" w:ascii="方正小标宋_GBK" w:hAnsi="方正小标宋_GBK" w:eastAsia="方正小标宋_GBK" w:cs="方正小标宋_GBK"/>
          <w:b w:val="0"/>
          <w:bCs/>
          <w:sz w:val="36"/>
          <w:szCs w:val="36"/>
        </w:rPr>
        <w:t>（</w:t>
      </w:r>
      <w:r>
        <w:rPr>
          <w:rFonts w:hint="eastAsia" w:ascii="方正小标宋_GBK" w:hAnsi="方正小标宋_GBK" w:eastAsia="方正小标宋_GBK" w:cs="方正小标宋_GBK"/>
          <w:b w:val="0"/>
          <w:bCs/>
          <w:spacing w:val="-3"/>
          <w:sz w:val="36"/>
          <w:szCs w:val="36"/>
        </w:rPr>
        <w:t>项</w:t>
      </w:r>
      <w:r>
        <w:rPr>
          <w:rFonts w:hint="eastAsia" w:ascii="方正小标宋_GBK" w:hAnsi="方正小标宋_GBK" w:eastAsia="方正小标宋_GBK" w:cs="方正小标宋_GBK"/>
          <w:b w:val="0"/>
          <w:bCs/>
          <w:sz w:val="36"/>
          <w:szCs w:val="36"/>
        </w:rPr>
        <w:t>目名</w:t>
      </w:r>
      <w:r>
        <w:rPr>
          <w:rFonts w:hint="eastAsia" w:ascii="方正小标宋_GBK" w:hAnsi="方正小标宋_GBK" w:eastAsia="方正小标宋_GBK" w:cs="方正小标宋_GBK"/>
          <w:b w:val="0"/>
          <w:bCs/>
          <w:spacing w:val="-3"/>
          <w:sz w:val="36"/>
          <w:szCs w:val="36"/>
        </w:rPr>
        <w:t>称</w:t>
      </w:r>
      <w:r>
        <w:rPr>
          <w:rFonts w:hint="eastAsia" w:ascii="方正小标宋_GBK" w:hAnsi="方正小标宋_GBK" w:eastAsia="方正小标宋_GBK" w:cs="方正小标宋_GBK"/>
          <w:b w:val="0"/>
          <w:bCs/>
          <w:sz w:val="36"/>
          <w:szCs w:val="36"/>
        </w:rPr>
        <w:t>）</w:t>
      </w:r>
    </w:p>
    <w:p>
      <w:pPr>
        <w:pStyle w:val="12"/>
        <w:rPr>
          <w:rFonts w:ascii="黑体"/>
          <w:sz w:val="30"/>
        </w:rPr>
      </w:pPr>
    </w:p>
    <w:p>
      <w:pPr>
        <w:pStyle w:val="12"/>
        <w:rPr>
          <w:rFonts w:ascii="黑体"/>
          <w:sz w:val="30"/>
        </w:rPr>
      </w:pPr>
    </w:p>
    <w:p>
      <w:pPr>
        <w:pStyle w:val="12"/>
        <w:rPr>
          <w:rFonts w:ascii="黑体"/>
          <w:sz w:val="30"/>
        </w:rPr>
      </w:pPr>
    </w:p>
    <w:p>
      <w:pPr>
        <w:pStyle w:val="12"/>
        <w:spacing w:before="2"/>
        <w:rPr>
          <w:rFonts w:ascii="黑体"/>
          <w:sz w:val="43"/>
        </w:rPr>
      </w:pPr>
    </w:p>
    <w:p>
      <w:pPr>
        <w:spacing w:before="149"/>
        <w:ind w:left="0" w:right="1" w:firstLine="0"/>
        <w:jc w:val="center"/>
        <w:rPr>
          <w:rFonts w:hint="eastAsia" w:ascii="黑体" w:eastAsia="黑体"/>
          <w:sz w:val="44"/>
          <w:lang w:val="en-US" w:eastAsia="zh-CN"/>
        </w:rPr>
      </w:pPr>
      <w:bookmarkStart w:id="117" w:name="投标文件（商务文件）"/>
      <w:bookmarkEnd w:id="117"/>
      <w:r>
        <w:rPr>
          <w:rFonts w:hint="eastAsia" w:ascii="黑体" w:eastAsia="黑体"/>
          <w:sz w:val="44"/>
          <w:lang w:val="en-US" w:eastAsia="zh-CN"/>
        </w:rPr>
        <w:t>响应文件</w:t>
      </w: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jc w:val="both"/>
        <w:rPr>
          <w:rFonts w:ascii="黑体"/>
          <w:sz w:val="32"/>
        </w:rPr>
      </w:pPr>
    </w:p>
    <w:p>
      <w:pPr>
        <w:pStyle w:val="12"/>
        <w:spacing w:before="3"/>
        <w:rPr>
          <w:rFonts w:ascii="黑体"/>
          <w:sz w:val="24"/>
        </w:rPr>
      </w:pPr>
    </w:p>
    <w:p>
      <w:pPr>
        <w:tabs>
          <w:tab w:val="left" w:pos="5459"/>
        </w:tabs>
        <w:spacing w:before="1"/>
        <w:ind w:left="0" w:right="1" w:firstLine="0"/>
        <w:jc w:val="center"/>
        <w:rPr>
          <w:rFonts w:hint="eastAsia" w:ascii="黑体" w:eastAsia="黑体"/>
          <w:sz w:val="28"/>
        </w:rPr>
      </w:pPr>
      <w:r>
        <w:rPr>
          <w:rFonts w:hint="eastAsia" w:ascii="黑体" w:eastAsia="黑体"/>
          <w:sz w:val="28"/>
          <w:lang w:val="en-US" w:eastAsia="zh-CN"/>
        </w:rPr>
        <w:t>供应商</w:t>
      </w:r>
      <w:r>
        <w:rPr>
          <w:rFonts w:hint="eastAsia" w:ascii="黑体" w:eastAsia="黑体"/>
          <w:sz w:val="28"/>
        </w:rPr>
        <w:t>：</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w:t>
      </w:r>
      <w:r>
        <w:rPr>
          <w:rFonts w:hint="eastAsia" w:ascii="黑体" w:eastAsia="黑体"/>
          <w:spacing w:val="-3"/>
          <w:sz w:val="28"/>
        </w:rPr>
        <w:t>盖</w:t>
      </w:r>
      <w:r>
        <w:rPr>
          <w:rFonts w:hint="eastAsia" w:ascii="黑体" w:eastAsia="黑体"/>
          <w:sz w:val="28"/>
        </w:rPr>
        <w:t>单位</w:t>
      </w:r>
      <w:r>
        <w:rPr>
          <w:rFonts w:hint="eastAsia" w:ascii="黑体" w:eastAsia="黑体"/>
          <w:spacing w:val="-3"/>
          <w:sz w:val="28"/>
        </w:rPr>
        <w:t>章</w:t>
      </w:r>
      <w:r>
        <w:rPr>
          <w:rFonts w:hint="eastAsia" w:ascii="黑体" w:eastAsia="黑体"/>
          <w:sz w:val="28"/>
        </w:rPr>
        <w:t>）</w:t>
      </w:r>
    </w:p>
    <w:p>
      <w:pPr>
        <w:pStyle w:val="12"/>
        <w:rPr>
          <w:rFonts w:ascii="黑体"/>
          <w:sz w:val="20"/>
        </w:rPr>
      </w:pPr>
    </w:p>
    <w:p>
      <w:pPr>
        <w:pStyle w:val="12"/>
        <w:rPr>
          <w:rFonts w:ascii="黑体"/>
          <w:sz w:val="20"/>
        </w:rPr>
      </w:pPr>
    </w:p>
    <w:p>
      <w:pPr>
        <w:pStyle w:val="12"/>
        <w:spacing w:before="5"/>
        <w:rPr>
          <w:rFonts w:ascii="黑体"/>
          <w:sz w:val="26"/>
        </w:rPr>
      </w:pPr>
    </w:p>
    <w:p>
      <w:pPr>
        <w:tabs>
          <w:tab w:val="left" w:pos="1260"/>
          <w:tab w:val="left" w:pos="2801"/>
          <w:tab w:val="left" w:pos="4342"/>
        </w:tabs>
        <w:spacing w:before="62"/>
        <w:ind w:left="0" w:right="1" w:firstLine="0"/>
        <w:jc w:val="center"/>
        <w:rPr>
          <w:rFonts w:hint="eastAsia" w:ascii="黑体" w:eastAsia="黑体"/>
          <w:sz w:val="28"/>
        </w:rPr>
      </w:pPr>
      <w:r>
        <w:rPr>
          <w:rFonts w:ascii="Times New Roman" w:eastAsia="Times New Roman"/>
          <w:w w:val="100"/>
          <w:sz w:val="28"/>
          <w:u w:val="single"/>
        </w:rPr>
        <w:t xml:space="preserve"> </w:t>
      </w:r>
      <w:r>
        <w:rPr>
          <w:rFonts w:ascii="Times New Roman" w:eastAsia="Times New Roman"/>
          <w:sz w:val="28"/>
          <w:u w:val="single"/>
        </w:rPr>
        <w:tab/>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日</w:t>
      </w:r>
    </w:p>
    <w:p>
      <w:pPr>
        <w:spacing w:after="0"/>
        <w:jc w:val="center"/>
        <w:rPr>
          <w:rFonts w:hint="eastAsia" w:ascii="黑体" w:eastAsia="黑体"/>
          <w:sz w:val="28"/>
        </w:rPr>
        <w:sectPr>
          <w:footerReference r:id="rId5" w:type="default"/>
          <w:pgSz w:w="11910" w:h="16840"/>
          <w:pgMar w:top="1340" w:right="1180" w:bottom="1040" w:left="1180" w:header="897" w:footer="849" w:gutter="0"/>
          <w:pgBorders>
            <w:top w:val="none" w:sz="0" w:space="0"/>
            <w:left w:val="none" w:sz="0" w:space="0"/>
            <w:bottom w:val="none" w:sz="0" w:space="0"/>
            <w:right w:val="none" w:sz="0" w:space="0"/>
          </w:pgBorders>
          <w:pgNumType w:fmt="decimal"/>
          <w:cols w:space="720" w:num="1"/>
        </w:sectPr>
      </w:pPr>
    </w:p>
    <w:p>
      <w:pPr>
        <w:rPr>
          <w:b/>
          <w:sz w:val="15"/>
          <w:highlight w:val="green"/>
        </w:rPr>
      </w:pPr>
    </w:p>
    <w:p>
      <w:pPr>
        <w:pStyle w:val="12"/>
        <w:rPr>
          <w:highlight w:val="green"/>
        </w:rPr>
      </w:pPr>
    </w:p>
    <w:p>
      <w:pPr>
        <w:tabs>
          <w:tab w:val="left" w:pos="559"/>
        </w:tabs>
        <w:spacing w:before="61"/>
        <w:ind w:left="0" w:right="0" w:firstLine="0"/>
        <w:jc w:val="center"/>
        <w:rPr>
          <w:rFonts w:hint="eastAsia" w:ascii="黑体" w:eastAsia="黑体"/>
          <w:sz w:val="28"/>
          <w:highlight w:val="none"/>
        </w:rPr>
      </w:pPr>
      <w:bookmarkStart w:id="118" w:name="一、投标函"/>
      <w:bookmarkEnd w:id="118"/>
      <w:r>
        <w:rPr>
          <w:rFonts w:hint="eastAsia" w:ascii="黑体" w:eastAsia="黑体"/>
          <w:sz w:val="28"/>
          <w:highlight w:val="none"/>
        </w:rPr>
        <w:t>目</w:t>
      </w:r>
      <w:r>
        <w:rPr>
          <w:rFonts w:hint="eastAsia" w:ascii="黑体" w:eastAsia="黑体"/>
          <w:sz w:val="28"/>
          <w:highlight w:val="none"/>
        </w:rPr>
        <w:tab/>
      </w:r>
      <w:r>
        <w:rPr>
          <w:rFonts w:hint="eastAsia" w:ascii="黑体" w:eastAsia="黑体"/>
          <w:sz w:val="28"/>
          <w:highlight w:val="none"/>
        </w:rPr>
        <w:t>录</w:t>
      </w:r>
    </w:p>
    <w:p>
      <w:pPr>
        <w:pStyle w:val="12"/>
        <w:rPr>
          <w:rFonts w:ascii="黑体"/>
          <w:sz w:val="20"/>
          <w:highlight w:val="green"/>
        </w:rPr>
      </w:pPr>
    </w:p>
    <w:p>
      <w:pPr>
        <w:pStyle w:val="12"/>
        <w:jc w:val="left"/>
        <w:rPr>
          <w:rFonts w:ascii="黑体"/>
          <w:sz w:val="20"/>
          <w:highlight w:val="green"/>
        </w:rPr>
      </w:pPr>
    </w:p>
    <w:p>
      <w:pPr>
        <w:pStyle w:val="12"/>
        <w:spacing w:before="9"/>
        <w:jc w:val="left"/>
        <w:rPr>
          <w:rFonts w:ascii="黑体"/>
          <w:sz w:val="16"/>
          <w:highlight w:val="green"/>
        </w:rPr>
      </w:pPr>
    </w:p>
    <w:p>
      <w:pPr>
        <w:pStyle w:val="12"/>
        <w:keepNext w:val="0"/>
        <w:keepLines w:val="0"/>
        <w:pageBreakBefore w:val="0"/>
        <w:widowControl w:val="0"/>
        <w:kinsoku/>
        <w:wordWrap/>
        <w:overflowPunct/>
        <w:topLinePunct w:val="0"/>
        <w:autoSpaceDE/>
        <w:autoSpaceDN/>
        <w:bidi w:val="0"/>
        <w:adjustRightInd/>
        <w:snapToGrid/>
        <w:spacing w:after="0"/>
        <w:ind w:left="0" w:right="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sz w:val="28"/>
          <w:szCs w:val="28"/>
          <w:highlight w:val="none"/>
          <w:lang w:val="en-US" w:eastAsia="zh-CN"/>
        </w:rPr>
        <w:t>报价</w:t>
      </w:r>
      <w:r>
        <w:rPr>
          <w:rFonts w:hint="eastAsia" w:ascii="仿宋_GB2312" w:hAnsi="仿宋_GB2312" w:eastAsia="仿宋_GB2312" w:cs="仿宋_GB2312"/>
          <w:sz w:val="28"/>
          <w:szCs w:val="28"/>
          <w:highlight w:val="none"/>
          <w:lang w:eastAsia="zh-CN"/>
        </w:rPr>
        <w:t>函</w:t>
      </w:r>
    </w:p>
    <w:p>
      <w:pPr>
        <w:pStyle w:val="12"/>
        <w:keepNext w:val="0"/>
        <w:keepLines w:val="0"/>
        <w:pageBreakBefore w:val="0"/>
        <w:widowControl w:val="0"/>
        <w:kinsoku/>
        <w:wordWrap/>
        <w:overflowPunct/>
        <w:topLinePunct w:val="0"/>
        <w:autoSpaceDE/>
        <w:autoSpaceDN/>
        <w:bidi w:val="0"/>
        <w:adjustRightInd/>
        <w:snapToGrid/>
        <w:spacing w:after="0"/>
        <w:ind w:left="0" w:right="0"/>
        <w:jc w:val="left"/>
        <w:textAlignment w:val="auto"/>
        <w:rPr>
          <w:rFonts w:hint="eastAsia" w:ascii="仿宋_GB2312" w:hAnsi="仿宋_GB2312" w:eastAsia="仿宋_GB2312" w:cs="仿宋_GB2312"/>
          <w:sz w:val="28"/>
          <w:szCs w:val="28"/>
          <w:highlight w:val="none"/>
        </w:rPr>
      </w:pPr>
    </w:p>
    <w:p>
      <w:pPr>
        <w:pStyle w:val="12"/>
        <w:keepNext w:val="0"/>
        <w:keepLines w:val="0"/>
        <w:pageBreakBefore w:val="0"/>
        <w:widowControl w:val="0"/>
        <w:kinsoku/>
        <w:wordWrap/>
        <w:overflowPunct/>
        <w:topLinePunct w:val="0"/>
        <w:autoSpaceDE/>
        <w:autoSpaceDN/>
        <w:bidi w:val="0"/>
        <w:adjustRightInd/>
        <w:snapToGrid/>
        <w:spacing w:after="0" w:line="535" w:lineRule="auto"/>
        <w:ind w:left="0" w:right="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二、法定代表人身份证明或授权委托书</w:t>
      </w:r>
    </w:p>
    <w:p>
      <w:pPr>
        <w:pStyle w:val="12"/>
        <w:keepNext w:val="0"/>
        <w:keepLines w:val="0"/>
        <w:pageBreakBefore w:val="0"/>
        <w:widowControl w:val="0"/>
        <w:kinsoku/>
        <w:wordWrap/>
        <w:overflowPunct/>
        <w:topLinePunct w:val="0"/>
        <w:autoSpaceDE/>
        <w:autoSpaceDN/>
        <w:bidi w:val="0"/>
        <w:adjustRightInd/>
        <w:snapToGrid/>
        <w:spacing w:after="0"/>
        <w:ind w:left="0" w:right="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信誉情况</w:t>
      </w:r>
    </w:p>
    <w:p>
      <w:pPr>
        <w:pStyle w:val="12"/>
        <w:keepNext w:val="0"/>
        <w:keepLines w:val="0"/>
        <w:pageBreakBefore w:val="0"/>
        <w:widowControl w:val="0"/>
        <w:kinsoku/>
        <w:wordWrap/>
        <w:overflowPunct/>
        <w:topLinePunct w:val="0"/>
        <w:autoSpaceDE/>
        <w:autoSpaceDN/>
        <w:bidi w:val="0"/>
        <w:adjustRightInd/>
        <w:snapToGrid/>
        <w:spacing w:after="0"/>
        <w:ind w:left="0" w:right="0"/>
        <w:jc w:val="left"/>
        <w:textAlignment w:val="auto"/>
        <w:rPr>
          <w:rFonts w:hint="eastAsia" w:ascii="仿宋_GB2312" w:hAnsi="仿宋_GB2312" w:eastAsia="仿宋_GB2312" w:cs="仿宋_GB2312"/>
          <w:sz w:val="28"/>
          <w:szCs w:val="28"/>
          <w:highlight w:val="none"/>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35" w:lineRule="auto"/>
        <w:ind w:right="0" w:rightChars="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四</w:t>
      </w:r>
      <w:r>
        <w:rPr>
          <w:rFonts w:hint="eastAsia" w:ascii="仿宋_GB2312" w:hAnsi="仿宋_GB2312" w:eastAsia="仿宋_GB2312" w:cs="仿宋_GB2312"/>
          <w:sz w:val="28"/>
          <w:szCs w:val="28"/>
          <w:highlight w:val="none"/>
        </w:rPr>
        <w:t>、其他资料</w:t>
      </w:r>
      <w:r>
        <w:rPr>
          <w:rFonts w:hint="eastAsia" w:ascii="仿宋_GB2312" w:hAnsi="仿宋_GB2312" w:eastAsia="仿宋_GB2312" w:cs="仿宋_GB2312"/>
          <w:sz w:val="28"/>
          <w:szCs w:val="28"/>
          <w:highlight w:val="none"/>
          <w:lang w:eastAsia="zh-CN"/>
        </w:rPr>
        <w:t>（服务方案、人员配置和业绩合同等相关资料）</w:t>
      </w:r>
    </w:p>
    <w:p>
      <w:pPr>
        <w:keepNext w:val="0"/>
        <w:keepLines w:val="0"/>
        <w:pageBreakBefore w:val="0"/>
        <w:widowControl w:val="0"/>
        <w:kinsoku/>
        <w:wordWrap/>
        <w:overflowPunct/>
        <w:topLinePunct w:val="0"/>
        <w:autoSpaceDE/>
        <w:autoSpaceDN/>
        <w:bidi w:val="0"/>
        <w:adjustRightInd/>
        <w:snapToGrid/>
        <w:spacing w:after="0" w:line="535" w:lineRule="auto"/>
        <w:ind w:left="0" w:right="0"/>
        <w:jc w:val="left"/>
        <w:textAlignment w:val="auto"/>
        <w:sectPr>
          <w:pgSz w:w="11910" w:h="16840"/>
          <w:pgMar w:top="1340" w:right="1180" w:bottom="1040" w:left="1180" w:header="897" w:footer="849" w:gutter="0"/>
          <w:pgBorders>
            <w:top w:val="none" w:sz="0" w:space="0"/>
            <w:left w:val="none" w:sz="0" w:space="0"/>
            <w:bottom w:val="none" w:sz="0" w:space="0"/>
            <w:right w:val="none" w:sz="0" w:space="0"/>
          </w:pgBorders>
          <w:pgNumType w:fmt="decimal"/>
          <w:cols w:space="720" w:num="1"/>
        </w:sectPr>
      </w:pPr>
    </w:p>
    <w:p>
      <w:pPr>
        <w:pStyle w:val="8"/>
        <w:rPr>
          <w:rFonts w:hint="eastAsia" w:asciiTheme="minorEastAsia" w:hAnsiTheme="minorEastAsia" w:eastAsiaTheme="minorEastAsia" w:cstheme="minorEastAsia"/>
          <w:b/>
          <w:bCs/>
          <w:color w:val="auto"/>
          <w:sz w:val="30"/>
          <w:szCs w:val="30"/>
          <w:highlight w:val="none"/>
          <w:lang w:eastAsia="zh-CN"/>
        </w:rPr>
      </w:pPr>
      <w:r>
        <w:rPr>
          <w:rFonts w:hint="eastAsia" w:ascii="方正小标宋_GBK" w:hAnsi="方正小标宋_GBK" w:eastAsia="方正小标宋_GBK" w:cs="方正小标宋_GBK"/>
          <w:color w:val="auto"/>
          <w:sz w:val="30"/>
          <w:szCs w:val="30"/>
          <w:highlight w:val="none"/>
        </w:rPr>
        <w:t>一、</w:t>
      </w:r>
      <w:r>
        <w:rPr>
          <w:rFonts w:hint="eastAsia" w:asciiTheme="minorEastAsia" w:hAnsiTheme="minorEastAsia" w:eastAsiaTheme="minorEastAsia" w:cstheme="minorEastAsia"/>
          <w:b/>
          <w:bCs/>
          <w:color w:val="auto"/>
          <w:sz w:val="30"/>
          <w:szCs w:val="30"/>
          <w:highlight w:val="none"/>
          <w:lang w:val="en-US" w:eastAsia="zh-CN"/>
        </w:rPr>
        <w:t>报价</w:t>
      </w:r>
      <w:r>
        <w:rPr>
          <w:rFonts w:hint="eastAsia" w:asciiTheme="minorEastAsia" w:hAnsiTheme="minorEastAsia" w:eastAsiaTheme="minorEastAsia" w:cstheme="minorEastAsia"/>
          <w:b/>
          <w:bCs/>
          <w:color w:val="auto"/>
          <w:sz w:val="30"/>
          <w:szCs w:val="30"/>
          <w:highlight w:val="none"/>
          <w:lang w:eastAsia="zh-CN"/>
        </w:rPr>
        <w:t>函</w:t>
      </w:r>
    </w:p>
    <w:p>
      <w:pPr>
        <w:pStyle w:val="12"/>
        <w:spacing w:before="8"/>
        <w:rPr>
          <w:rFonts w:ascii="黑体"/>
          <w:sz w:val="18"/>
          <w:highlight w:val="none"/>
        </w:rPr>
      </w:pPr>
    </w:p>
    <w:p>
      <w:pPr>
        <w:pStyle w:val="12"/>
        <w:tabs>
          <w:tab w:val="left" w:pos="972"/>
        </w:tabs>
        <w:spacing w:before="77"/>
        <w:ind w:left="235"/>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w w:val="99"/>
          <w:sz w:val="28"/>
          <w:szCs w:val="28"/>
          <w:highlight w:val="none"/>
          <w:u w:val="single"/>
        </w:rPr>
        <w:t xml:space="preserve"> </w:t>
      </w:r>
      <w:r>
        <w:rPr>
          <w:rFonts w:hint="eastAsia" w:ascii="仿宋_GB2312" w:hAnsi="仿宋_GB2312" w:eastAsia="仿宋_GB2312" w:cs="仿宋_GB2312"/>
          <w:sz w:val="28"/>
          <w:szCs w:val="28"/>
          <w:highlight w:val="none"/>
          <w:u w:val="single"/>
        </w:rPr>
        <w:tab/>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名称）：</w:t>
      </w:r>
    </w:p>
    <w:p>
      <w:pPr>
        <w:pStyle w:val="21"/>
        <w:keepNext w:val="0"/>
        <w:keepLines w:val="0"/>
        <w:pageBreakBefore w:val="0"/>
        <w:widowControl w:val="0"/>
        <w:numPr>
          <w:ilvl w:val="0"/>
          <w:numId w:val="7"/>
        </w:numPr>
        <w:tabs>
          <w:tab w:val="left" w:pos="973"/>
          <w:tab w:val="left" w:pos="3161"/>
          <w:tab w:val="left" w:pos="4719"/>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我方已仔细研究</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ab/>
      </w: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pacing w:val="-16"/>
          <w:sz w:val="28"/>
          <w:szCs w:val="28"/>
        </w:rPr>
        <w:t>）</w:t>
      </w:r>
      <w:r>
        <w:rPr>
          <w:rFonts w:hint="eastAsia" w:ascii="仿宋_GB2312" w:hAnsi="仿宋_GB2312" w:eastAsia="仿宋_GB2312" w:cs="仿宋_GB2312"/>
          <w:sz w:val="28"/>
          <w:szCs w:val="28"/>
          <w:lang w:val="en-US" w:eastAsia="zh-CN"/>
        </w:rPr>
        <w:t>采购文件</w:t>
      </w:r>
      <w:r>
        <w:rPr>
          <w:rFonts w:hint="eastAsia" w:ascii="仿宋_GB2312" w:hAnsi="仿宋_GB2312" w:eastAsia="仿宋_GB2312" w:cs="仿宋_GB2312"/>
          <w:sz w:val="28"/>
          <w:szCs w:val="28"/>
        </w:rPr>
        <w:t>的全部内容</w:t>
      </w:r>
      <w:r>
        <w:rPr>
          <w:rFonts w:hint="eastAsia" w:ascii="仿宋_GB2312" w:hAnsi="仿宋_GB2312" w:eastAsia="仿宋_GB2312" w:cs="仿宋_GB2312"/>
          <w:spacing w:val="-15"/>
          <w:sz w:val="28"/>
          <w:szCs w:val="28"/>
        </w:rPr>
        <w:t>，</w:t>
      </w:r>
      <w:r>
        <w:rPr>
          <w:rFonts w:hint="eastAsia" w:ascii="仿宋_GB2312" w:hAnsi="仿宋_GB2312" w:eastAsia="仿宋_GB2312" w:cs="仿宋_GB2312"/>
          <w:sz w:val="28"/>
          <w:szCs w:val="28"/>
        </w:rPr>
        <w:t>在考察工程现场后</w:t>
      </w:r>
      <w:r>
        <w:rPr>
          <w:rFonts w:hint="eastAsia" w:ascii="仿宋_GB2312" w:hAnsi="仿宋_GB2312" w:eastAsia="仿宋_GB2312" w:cs="仿宋_GB2312"/>
          <w:spacing w:val="-17"/>
          <w:sz w:val="28"/>
          <w:szCs w:val="28"/>
        </w:rPr>
        <w:t>，</w:t>
      </w:r>
      <w:r>
        <w:rPr>
          <w:rFonts w:hint="eastAsia" w:ascii="仿宋_GB2312" w:hAnsi="仿宋_GB2312" w:eastAsia="仿宋_GB2312" w:cs="仿宋_GB2312"/>
          <w:sz w:val="28"/>
          <w:szCs w:val="28"/>
        </w:rPr>
        <w:t>愿以</w:t>
      </w:r>
      <w:r>
        <w:rPr>
          <w:rFonts w:hint="eastAsia" w:ascii="仿宋_GB2312" w:hAnsi="仿宋_GB2312" w:eastAsia="仿宋_GB2312" w:cs="仿宋_GB2312"/>
          <w:sz w:val="28"/>
          <w:szCs w:val="28"/>
          <w:lang w:eastAsia="zh-CN"/>
        </w:rPr>
        <w:t>含税总价</w:t>
      </w:r>
      <w:r>
        <w:rPr>
          <w:rFonts w:hint="eastAsia" w:ascii="仿宋_GB2312" w:hAnsi="仿宋_GB2312" w:eastAsia="仿宋_GB2312" w:cs="仿宋_GB2312"/>
          <w:sz w:val="28"/>
          <w:szCs w:val="28"/>
          <w:u w:val="single"/>
          <w:lang w:val="en-US" w:eastAsia="zh-CN"/>
        </w:rPr>
        <w:t xml:space="preserve"> 【     】万元 </w:t>
      </w:r>
      <w:r>
        <w:rPr>
          <w:rFonts w:hint="eastAsia" w:ascii="仿宋_GB2312" w:hAnsi="仿宋_GB2312" w:eastAsia="仿宋_GB2312" w:cs="仿宋_GB2312"/>
          <w:sz w:val="28"/>
          <w:szCs w:val="28"/>
        </w:rPr>
        <w:t>投标总报价，按</w:t>
      </w:r>
      <w:r>
        <w:rPr>
          <w:rFonts w:hint="eastAsia" w:ascii="仿宋_GB2312" w:hAnsi="仿宋_GB2312" w:eastAsia="仿宋_GB2312" w:cs="仿宋_GB2312"/>
          <w:sz w:val="28"/>
          <w:szCs w:val="28"/>
          <w:lang w:eastAsia="zh-CN"/>
        </w:rPr>
        <w:t>采购文件及</w:t>
      </w:r>
      <w:r>
        <w:rPr>
          <w:rFonts w:hint="eastAsia" w:ascii="仿宋_GB2312" w:hAnsi="仿宋_GB2312" w:eastAsia="仿宋_GB2312" w:cs="仿宋_GB2312"/>
          <w:sz w:val="28"/>
          <w:szCs w:val="28"/>
        </w:rPr>
        <w:t>合同约定实施和完成</w:t>
      </w:r>
      <w:r>
        <w:rPr>
          <w:rFonts w:hint="eastAsia" w:ascii="仿宋_GB2312" w:hAnsi="仿宋_GB2312" w:eastAsia="仿宋_GB2312" w:cs="仿宋_GB2312"/>
          <w:sz w:val="28"/>
          <w:szCs w:val="28"/>
          <w:lang w:eastAsia="zh-CN"/>
        </w:rPr>
        <w:t>设计</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w:t>
      </w:r>
    </w:p>
    <w:p>
      <w:pPr>
        <w:pStyle w:val="21"/>
        <w:keepNext w:val="0"/>
        <w:keepLines w:val="0"/>
        <w:pageBreakBefore w:val="0"/>
        <w:widowControl w:val="0"/>
        <w:numPr>
          <w:ilvl w:val="0"/>
          <w:numId w:val="7"/>
        </w:numPr>
        <w:tabs>
          <w:tab w:val="left" w:pos="973"/>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我方承诺在招标文件规定的投标有效期内不撤销</w:t>
      </w:r>
      <w:r>
        <w:rPr>
          <w:rFonts w:hint="eastAsia" w:ascii="仿宋_GB2312" w:hAnsi="仿宋_GB2312" w:eastAsia="仿宋_GB2312" w:cs="仿宋_GB2312"/>
          <w:sz w:val="28"/>
          <w:szCs w:val="28"/>
          <w:lang w:eastAsia="zh-CN"/>
        </w:rPr>
        <w:t>响应文件</w:t>
      </w:r>
      <w:r>
        <w:rPr>
          <w:rFonts w:hint="eastAsia" w:ascii="仿宋_GB2312" w:hAnsi="仿宋_GB2312" w:eastAsia="仿宋_GB2312" w:cs="仿宋_GB2312"/>
          <w:sz w:val="28"/>
          <w:szCs w:val="28"/>
        </w:rPr>
        <w:t>。</w:t>
      </w:r>
    </w:p>
    <w:p>
      <w:pPr>
        <w:pStyle w:val="21"/>
        <w:keepNext w:val="0"/>
        <w:keepLines w:val="0"/>
        <w:pageBreakBefore w:val="0"/>
        <w:widowControl w:val="0"/>
        <w:numPr>
          <w:ilvl w:val="0"/>
          <w:numId w:val="7"/>
        </w:numPr>
        <w:tabs>
          <w:tab w:val="left" w:pos="973"/>
          <w:tab w:val="left" w:pos="2861"/>
          <w:tab w:val="left" w:pos="4541"/>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lang w:val="en-US" w:eastAsia="zh-CN"/>
        </w:rPr>
        <w:t xml:space="preserve">          </w:t>
      </w:r>
    </w:p>
    <w:p>
      <w:pPr>
        <w:pStyle w:val="21"/>
        <w:keepNext w:val="0"/>
        <w:keepLines w:val="0"/>
        <w:pageBreakBefore w:val="0"/>
        <w:widowControl w:val="0"/>
        <w:numPr>
          <w:ilvl w:val="0"/>
          <w:numId w:val="7"/>
        </w:numPr>
        <w:tabs>
          <w:tab w:val="left" w:pos="973"/>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我方将与本</w:t>
      </w:r>
      <w:r>
        <w:rPr>
          <w:rFonts w:hint="eastAsia" w:ascii="仿宋_GB2312" w:hAnsi="仿宋_GB2312" w:eastAsia="仿宋_GB2312" w:cs="仿宋_GB2312"/>
          <w:sz w:val="28"/>
          <w:szCs w:val="28"/>
          <w:lang w:eastAsia="zh-CN"/>
        </w:rPr>
        <w:t>响应函</w:t>
      </w:r>
      <w:r>
        <w:rPr>
          <w:rFonts w:hint="eastAsia" w:ascii="仿宋_GB2312" w:hAnsi="仿宋_GB2312" w:eastAsia="仿宋_GB2312" w:cs="仿宋_GB2312"/>
          <w:sz w:val="28"/>
          <w:szCs w:val="28"/>
        </w:rPr>
        <w:t>一起提交</w:t>
      </w:r>
      <w:r>
        <w:rPr>
          <w:rFonts w:hint="eastAsia" w:ascii="仿宋_GB2312" w:hAnsi="仿宋_GB2312" w:eastAsia="仿宋_GB2312" w:cs="仿宋_GB2312"/>
          <w:sz w:val="28"/>
          <w:szCs w:val="28"/>
          <w:lang w:eastAsia="zh-CN"/>
        </w:rPr>
        <w:t>响应保证金</w:t>
      </w:r>
      <w:r>
        <w:rPr>
          <w:rFonts w:hint="eastAsia" w:ascii="仿宋_GB2312" w:hAnsi="仿宋_GB2312" w:eastAsia="仿宋_GB2312" w:cs="仿宋_GB2312"/>
          <w:sz w:val="28"/>
          <w:szCs w:val="28"/>
        </w:rPr>
        <w:t>，且承诺</w:t>
      </w:r>
      <w:r>
        <w:rPr>
          <w:rFonts w:hint="eastAsia" w:ascii="仿宋_GB2312" w:hAnsi="仿宋_GB2312" w:eastAsia="仿宋_GB2312" w:cs="仿宋_GB2312"/>
          <w:sz w:val="28"/>
          <w:szCs w:val="28"/>
          <w:lang w:eastAsia="zh-CN"/>
        </w:rPr>
        <w:t>响应保证金</w:t>
      </w:r>
      <w:r>
        <w:rPr>
          <w:rFonts w:hint="eastAsia" w:ascii="仿宋_GB2312" w:hAnsi="仿宋_GB2312" w:eastAsia="仿宋_GB2312" w:cs="仿宋_GB2312"/>
          <w:sz w:val="28"/>
          <w:szCs w:val="28"/>
        </w:rPr>
        <w:t>转出账户真实有效。</w:t>
      </w:r>
    </w:p>
    <w:p>
      <w:pPr>
        <w:pStyle w:val="21"/>
        <w:keepNext w:val="0"/>
        <w:keepLines w:val="0"/>
        <w:pageBreakBefore w:val="0"/>
        <w:widowControl w:val="0"/>
        <w:numPr>
          <w:ilvl w:val="0"/>
          <w:numId w:val="7"/>
        </w:numPr>
        <w:tabs>
          <w:tab w:val="left" w:pos="973"/>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如我方</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rPr>
        <w:t>，我方承诺：</w:t>
      </w:r>
    </w:p>
    <w:p>
      <w:pPr>
        <w:pStyle w:val="21"/>
        <w:keepNext w:val="0"/>
        <w:keepLines w:val="0"/>
        <w:pageBreakBefore w:val="0"/>
        <w:widowControl w:val="0"/>
        <w:numPr>
          <w:ilvl w:val="0"/>
          <w:numId w:val="0"/>
        </w:numPr>
        <w:tabs>
          <w:tab w:val="left" w:pos="1130"/>
        </w:tabs>
        <w:kinsoku/>
        <w:wordWrap/>
        <w:overflowPunct/>
        <w:topLinePunct w:val="0"/>
        <w:autoSpaceDE/>
        <w:autoSpaceDN/>
        <w:bidi w:val="0"/>
        <w:adjustRightInd/>
        <w:snapToGrid/>
        <w:spacing w:after="0" w:line="480" w:lineRule="exact"/>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在收到</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rPr>
        <w:t>通知书后，在</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rPr>
        <w:t>通知书规定的期限内与你方签订合同；</w:t>
      </w:r>
    </w:p>
    <w:p>
      <w:pPr>
        <w:pStyle w:val="21"/>
        <w:keepNext w:val="0"/>
        <w:keepLines w:val="0"/>
        <w:pageBreakBefore w:val="0"/>
        <w:widowControl w:val="0"/>
        <w:numPr>
          <w:ilvl w:val="0"/>
          <w:numId w:val="0"/>
        </w:numPr>
        <w:tabs>
          <w:tab w:val="left" w:pos="1130"/>
        </w:tabs>
        <w:kinsoku/>
        <w:wordWrap/>
        <w:overflowPunct/>
        <w:topLinePunct w:val="0"/>
        <w:autoSpaceDE/>
        <w:autoSpaceDN/>
        <w:bidi w:val="0"/>
        <w:adjustRightInd/>
        <w:snapToGrid/>
        <w:spacing w:after="0" w:line="480" w:lineRule="exact"/>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在签订合同时不向你方提出附加条件；</w:t>
      </w:r>
    </w:p>
    <w:p>
      <w:pPr>
        <w:pStyle w:val="21"/>
        <w:keepNext w:val="0"/>
        <w:keepLines w:val="0"/>
        <w:pageBreakBefore w:val="0"/>
        <w:widowControl w:val="0"/>
        <w:numPr>
          <w:ilvl w:val="0"/>
          <w:numId w:val="0"/>
        </w:numPr>
        <w:tabs>
          <w:tab w:val="left" w:pos="1130"/>
        </w:tabs>
        <w:kinsoku/>
        <w:wordWrap/>
        <w:overflowPunct/>
        <w:topLinePunct w:val="0"/>
        <w:autoSpaceDE/>
        <w:autoSpaceDN/>
        <w:bidi w:val="0"/>
        <w:adjustRightInd/>
        <w:snapToGrid/>
        <w:spacing w:after="0" w:line="480" w:lineRule="exact"/>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按照</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文件要求提交履约保证金；</w:t>
      </w:r>
    </w:p>
    <w:p>
      <w:pPr>
        <w:pStyle w:val="21"/>
        <w:keepNext w:val="0"/>
        <w:keepLines w:val="0"/>
        <w:pageBreakBefore w:val="0"/>
        <w:widowControl w:val="0"/>
        <w:numPr>
          <w:ilvl w:val="0"/>
          <w:numId w:val="0"/>
        </w:numPr>
        <w:tabs>
          <w:tab w:val="left" w:pos="1130"/>
        </w:tabs>
        <w:kinsoku/>
        <w:wordWrap/>
        <w:overflowPunct/>
        <w:topLinePunct w:val="0"/>
        <w:autoSpaceDE/>
        <w:autoSpaceDN/>
        <w:bidi w:val="0"/>
        <w:adjustRightInd/>
        <w:snapToGrid/>
        <w:spacing w:after="0" w:line="480" w:lineRule="exact"/>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在合同约定的期限内完成合同规定的全部义务；</w:t>
      </w:r>
    </w:p>
    <w:p>
      <w:pPr>
        <w:pStyle w:val="21"/>
        <w:keepNext w:val="0"/>
        <w:keepLines w:val="0"/>
        <w:pageBreakBefore w:val="0"/>
        <w:widowControl w:val="0"/>
        <w:numPr>
          <w:ilvl w:val="0"/>
          <w:numId w:val="7"/>
        </w:numPr>
        <w:tabs>
          <w:tab w:val="left" w:pos="920"/>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除非另外达成协议并生效，你方的</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rPr>
        <w:t>通知书和本</w:t>
      </w:r>
      <w:r>
        <w:rPr>
          <w:rFonts w:hint="eastAsia" w:ascii="仿宋_GB2312" w:hAnsi="仿宋_GB2312" w:eastAsia="仿宋_GB2312" w:cs="仿宋_GB2312"/>
          <w:sz w:val="28"/>
          <w:szCs w:val="28"/>
          <w:lang w:eastAsia="zh-CN"/>
        </w:rPr>
        <w:t>响应文件</w:t>
      </w:r>
      <w:r>
        <w:rPr>
          <w:rFonts w:hint="eastAsia" w:ascii="仿宋_GB2312" w:hAnsi="仿宋_GB2312" w:eastAsia="仿宋_GB2312" w:cs="仿宋_GB2312"/>
          <w:sz w:val="28"/>
          <w:szCs w:val="28"/>
        </w:rPr>
        <w:t>以及</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文件澄清、修改、补充文件将成为约束双方的合同文件的组成部分。</w:t>
      </w:r>
    </w:p>
    <w:p>
      <w:pPr>
        <w:pStyle w:val="21"/>
        <w:keepNext w:val="0"/>
        <w:keepLines w:val="0"/>
        <w:pageBreakBefore w:val="0"/>
        <w:widowControl w:val="0"/>
        <w:numPr>
          <w:ilvl w:val="0"/>
          <w:numId w:val="7"/>
        </w:numPr>
        <w:tabs>
          <w:tab w:val="left" w:pos="920"/>
          <w:tab w:val="left" w:pos="3648"/>
        </w:tabs>
        <w:kinsoku/>
        <w:wordWrap/>
        <w:overflowPunct/>
        <w:topLinePunct w:val="0"/>
        <w:autoSpaceDE/>
        <w:autoSpaceDN/>
        <w:bidi w:val="0"/>
        <w:adjustRightInd/>
        <w:snapToGrid/>
        <w:spacing w:after="0" w:line="480" w:lineRule="exact"/>
        <w:ind w:left="0" w:leftChars="0" w:right="0" w:firstLine="55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99"/>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（其他补充说明）。</w:t>
      </w:r>
    </w:p>
    <w:p>
      <w:pPr>
        <w:pStyle w:val="12"/>
        <w:keepNext w:val="0"/>
        <w:keepLines w:val="0"/>
        <w:pageBreakBefore w:val="0"/>
        <w:widowControl w:val="0"/>
        <w:kinsoku/>
        <w:wordWrap/>
        <w:overflowPunct/>
        <w:topLinePunct w:val="0"/>
        <w:autoSpaceDE/>
        <w:autoSpaceDN/>
        <w:bidi w:val="0"/>
        <w:adjustRightInd/>
        <w:snapToGrid/>
        <w:spacing w:line="480" w:lineRule="exact"/>
        <w:ind w:right="0"/>
        <w:jc w:val="both"/>
        <w:textAlignment w:val="auto"/>
        <w:rPr>
          <w:rFonts w:hint="eastAsia" w:ascii="仿宋_GB2312" w:hAnsi="仿宋_GB2312" w:eastAsia="仿宋_GB2312" w:cs="仿宋_GB2312"/>
          <w:sz w:val="28"/>
          <w:szCs w:val="28"/>
        </w:rPr>
      </w:pPr>
    </w:p>
    <w:p>
      <w:pPr>
        <w:pStyle w:val="12"/>
        <w:keepNext w:val="0"/>
        <w:keepLines w:val="0"/>
        <w:pageBreakBefore w:val="0"/>
        <w:widowControl w:val="0"/>
        <w:tabs>
          <w:tab w:val="left" w:pos="6379"/>
        </w:tabs>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供  应  商</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（盖单位章）</w:t>
      </w:r>
    </w:p>
    <w:p>
      <w:pPr>
        <w:pStyle w:val="12"/>
        <w:keepNext w:val="0"/>
        <w:keepLines w:val="0"/>
        <w:pageBreakBefore w:val="0"/>
        <w:widowControl w:val="0"/>
        <w:tabs>
          <w:tab w:val="left" w:pos="6379"/>
          <w:tab w:val="left" w:pos="7479"/>
        </w:tabs>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_GB2312" w:hAnsi="仿宋_GB2312" w:eastAsia="仿宋_GB2312" w:cs="仿宋_GB2312"/>
          <w:spacing w:val="-14"/>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（签字或盖章</w:t>
      </w:r>
      <w:r>
        <w:rPr>
          <w:rFonts w:hint="eastAsia" w:ascii="仿宋_GB2312" w:hAnsi="仿宋_GB2312" w:eastAsia="仿宋_GB2312" w:cs="仿宋_GB2312"/>
          <w:spacing w:val="-14"/>
          <w:sz w:val="28"/>
          <w:szCs w:val="28"/>
        </w:rPr>
        <w:t xml:space="preserve">） </w:t>
      </w:r>
    </w:p>
    <w:p>
      <w:pPr>
        <w:pStyle w:val="12"/>
        <w:keepNext w:val="0"/>
        <w:keepLines w:val="0"/>
        <w:pageBreakBefore w:val="0"/>
        <w:widowControl w:val="0"/>
        <w:tabs>
          <w:tab w:val="left" w:pos="6379"/>
          <w:tab w:val="left" w:pos="7479"/>
        </w:tabs>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r>
        <w:rPr>
          <w:rFonts w:hint="eastAsia" w:ascii="仿宋_GB2312" w:hAnsi="仿宋_GB2312" w:eastAsia="仿宋_GB2312" w:cs="仿宋_GB2312"/>
          <w:w w:val="95"/>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p>
    <w:p>
      <w:pPr>
        <w:pStyle w:val="12"/>
        <w:keepNext w:val="0"/>
        <w:keepLines w:val="0"/>
        <w:pageBreakBefore w:val="0"/>
        <w:widowControl w:val="0"/>
        <w:tabs>
          <w:tab w:val="left" w:pos="2808"/>
          <w:tab w:val="left" w:pos="4645"/>
          <w:tab w:val="left" w:pos="7479"/>
        </w:tabs>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w w:val="95"/>
          <w:sz w:val="28"/>
          <w:szCs w:val="28"/>
        </w:rPr>
        <w:t>传真：</w:t>
      </w:r>
      <w:r>
        <w:rPr>
          <w:rFonts w:hint="eastAsia" w:ascii="仿宋_GB2312" w:hAnsi="仿宋_GB2312" w:eastAsia="仿宋_GB2312" w:cs="仿宋_GB2312"/>
          <w:w w:val="95"/>
          <w:sz w:val="28"/>
          <w:szCs w:val="28"/>
          <w:u w:val="single"/>
        </w:rPr>
        <w:t xml:space="preserve"> </w:t>
      </w:r>
      <w:r>
        <w:rPr>
          <w:rFonts w:hint="eastAsia" w:ascii="仿宋_GB2312" w:hAnsi="仿宋_GB2312" w:eastAsia="仿宋_GB2312" w:cs="仿宋_GB2312"/>
          <w:sz w:val="28"/>
          <w:szCs w:val="28"/>
          <w:u w:val="single"/>
        </w:rPr>
        <w:tab/>
      </w:r>
    </w:p>
    <w:p>
      <w:pPr>
        <w:pStyle w:val="12"/>
        <w:keepNext w:val="0"/>
        <w:keepLines w:val="0"/>
        <w:pageBreakBefore w:val="0"/>
        <w:widowControl w:val="0"/>
        <w:tabs>
          <w:tab w:val="left" w:pos="2179"/>
          <w:tab w:val="left" w:pos="3228"/>
          <w:tab w:val="left" w:pos="4119"/>
        </w:tabs>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textAlignment w:val="auto"/>
        <w:rPr>
          <w:rFonts w:hint="eastAsia" w:ascii="仿宋_GB2312" w:hAnsi="仿宋_GB2312" w:eastAsia="仿宋_GB2312" w:cs="仿宋_GB2312"/>
          <w:sz w:val="28"/>
          <w:szCs w:val="28"/>
        </w:rPr>
        <w:sectPr>
          <w:footerReference r:id="rId6" w:type="default"/>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pPr>
        <w:pStyle w:val="8"/>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rPr>
        <w:t>二、法定代表人身份证明或授权委托书</w:t>
      </w:r>
    </w:p>
    <w:p>
      <w:pPr>
        <w:pStyle w:val="12"/>
        <w:rPr>
          <w:rFonts w:ascii="黑体"/>
          <w:sz w:val="24"/>
        </w:rPr>
      </w:pPr>
    </w:p>
    <w:p>
      <w:pPr>
        <w:pStyle w:val="12"/>
        <w:rPr>
          <w:rFonts w:ascii="黑体"/>
          <w:sz w:val="24"/>
        </w:rPr>
      </w:pPr>
    </w:p>
    <w:p>
      <w:pPr>
        <w:pStyle w:val="12"/>
        <w:spacing w:before="1"/>
        <w:rPr>
          <w:rFonts w:ascii="黑体"/>
          <w:sz w:val="18"/>
        </w:rPr>
      </w:pPr>
    </w:p>
    <w:p>
      <w:pPr>
        <w:spacing w:before="0"/>
        <w:ind w:left="0" w:right="0" w:firstLine="0"/>
        <w:jc w:val="center"/>
        <w:rPr>
          <w:rFonts w:hint="eastAsia" w:ascii="黑体" w:eastAsia="黑体"/>
          <w:sz w:val="24"/>
        </w:rPr>
      </w:pPr>
      <w:r>
        <w:rPr>
          <w:rFonts w:hint="eastAsia" w:ascii="黑体" w:eastAsia="黑体"/>
          <w:sz w:val="24"/>
        </w:rPr>
        <w:t>法定代表人身份证明</w:t>
      </w:r>
    </w:p>
    <w:p>
      <w:pPr>
        <w:pStyle w:val="12"/>
        <w:rPr>
          <w:rFonts w:ascii="黑体"/>
          <w:sz w:val="2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经营期限：</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供应商名称)的法定代表人。</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附：法定代表人身份证正反面复印件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盖单位章)</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eastAsia" w:ascii="仿宋_GB2312" w:hAnsi="仿宋_GB2312" w:eastAsia="仿宋_GB2312" w:cs="仿宋_GB2312"/>
          <w:kern w:val="2"/>
          <w:sz w:val="28"/>
          <w:szCs w:val="28"/>
          <w:lang w:val="zh-CN" w:eastAsia="zh-CN" w:bidi="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  </w:t>
      </w:r>
    </w:p>
    <w:p>
      <w:pPr>
        <w:pStyle w:val="12"/>
        <w:keepNext w:val="0"/>
        <w:keepLines w:val="0"/>
        <w:pageBreakBefore w:val="0"/>
        <w:widowControl w:val="0"/>
        <w:tabs>
          <w:tab w:val="left" w:pos="6747"/>
          <w:tab w:val="left" w:pos="7795"/>
          <w:tab w:val="left" w:pos="8847"/>
        </w:tabs>
        <w:kinsoku/>
        <w:wordWrap/>
        <w:overflowPunct/>
        <w:topLinePunct w:val="0"/>
        <w:autoSpaceDE/>
        <w:autoSpaceDN/>
        <w:bidi w:val="0"/>
        <w:adjustRightInd/>
        <w:snapToGrid/>
        <w:spacing w:after="0" w:line="560" w:lineRule="exact"/>
        <w:ind w:left="0"/>
        <w:textAlignment w:val="auto"/>
        <w:rPr>
          <w:rFonts w:hint="eastAsia" w:ascii="仿宋_GB2312" w:hAnsi="仿宋_GB2312" w:eastAsia="仿宋_GB2312" w:cs="仿宋_GB2312"/>
          <w:kern w:val="2"/>
          <w:sz w:val="28"/>
          <w:szCs w:val="28"/>
          <w:lang w:val="zh-CN" w:eastAsia="zh-CN" w:bidi="zh-CN"/>
        </w:rPr>
      </w:pPr>
      <w:r>
        <w:rPr>
          <w:rFonts w:hint="eastAsia" w:ascii="仿宋_GB2312" w:hAnsi="仿宋_GB2312" w:eastAsia="仿宋_GB2312" w:cs="仿宋_GB2312"/>
          <w:kern w:val="2"/>
          <w:sz w:val="28"/>
          <w:szCs w:val="28"/>
          <w:lang w:val="zh-CN" w:eastAsia="zh-CN" w:bidi="zh-CN"/>
        </w:rPr>
        <w:t xml:space="preserve"> </w:t>
      </w:r>
      <w:r>
        <w:rPr>
          <w:rFonts w:hint="eastAsia" w:ascii="仿宋_GB2312" w:hAnsi="仿宋_GB2312" w:eastAsia="仿宋_GB2312" w:cs="仿宋_GB2312"/>
          <w:kern w:val="2"/>
          <w:sz w:val="28"/>
          <w:szCs w:val="28"/>
          <w:lang w:val="zh-CN" w:eastAsia="zh-CN" w:bidi="zh-CN"/>
        </w:rPr>
        <w:tab/>
      </w:r>
    </w:p>
    <w:p>
      <w:pPr>
        <w:rPr>
          <w:rFonts w:hint="eastAsia" w:ascii="仿宋_GB2312" w:hAnsi="仿宋_GB2312" w:eastAsia="仿宋_GB2312" w:cs="仿宋_GB2312"/>
          <w:kern w:val="2"/>
          <w:sz w:val="28"/>
          <w:szCs w:val="28"/>
          <w:lang w:val="zh-CN" w:eastAsia="zh-CN" w:bidi="zh-CN"/>
        </w:rPr>
      </w:pPr>
    </w:p>
    <w:p>
      <w:pPr>
        <w:pStyle w:val="12"/>
        <w:rPr>
          <w:rFonts w:hint="eastAsia" w:ascii="仿宋_GB2312" w:hAnsi="仿宋_GB2312" w:eastAsia="仿宋_GB2312" w:cs="仿宋_GB2312"/>
          <w:kern w:val="2"/>
          <w:sz w:val="28"/>
          <w:szCs w:val="28"/>
          <w:lang w:val="zh-CN" w:eastAsia="zh-CN" w:bidi="zh-CN"/>
        </w:rPr>
      </w:pPr>
    </w:p>
    <w:p>
      <w:pPr>
        <w:rPr>
          <w:rFonts w:hint="eastAsia" w:ascii="仿宋_GB2312" w:hAnsi="仿宋_GB2312" w:eastAsia="仿宋_GB2312" w:cs="仿宋_GB2312"/>
          <w:kern w:val="2"/>
          <w:sz w:val="28"/>
          <w:szCs w:val="28"/>
          <w:lang w:val="zh-CN" w:eastAsia="zh-CN" w:bidi="zh-CN"/>
        </w:rPr>
      </w:pPr>
    </w:p>
    <w:p>
      <w:pPr>
        <w:pStyle w:val="12"/>
        <w:rPr>
          <w:rFonts w:hint="eastAsia" w:ascii="仿宋_GB2312" w:hAnsi="仿宋_GB2312" w:eastAsia="仿宋_GB2312" w:cs="仿宋_GB2312"/>
          <w:kern w:val="2"/>
          <w:sz w:val="28"/>
          <w:szCs w:val="28"/>
          <w:lang w:val="zh-CN" w:eastAsia="zh-CN" w:bidi="zh-CN"/>
        </w:rPr>
      </w:pPr>
    </w:p>
    <w:p>
      <w:pPr>
        <w:rPr>
          <w:rFonts w:hint="eastAsia" w:ascii="仿宋_GB2312" w:hAnsi="仿宋_GB2312" w:eastAsia="仿宋_GB2312" w:cs="仿宋_GB2312"/>
          <w:kern w:val="2"/>
          <w:sz w:val="28"/>
          <w:szCs w:val="28"/>
          <w:lang w:val="zh-CN" w:eastAsia="zh-CN" w:bidi="zh-CN"/>
        </w:rPr>
      </w:pPr>
    </w:p>
    <w:p>
      <w:pPr>
        <w:pStyle w:val="12"/>
        <w:rPr>
          <w:rFonts w:hint="eastAsia" w:ascii="仿宋_GB2312" w:hAnsi="仿宋_GB2312" w:eastAsia="仿宋_GB2312" w:cs="仿宋_GB2312"/>
          <w:kern w:val="2"/>
          <w:sz w:val="28"/>
          <w:szCs w:val="28"/>
          <w:lang w:val="zh-CN" w:eastAsia="zh-CN" w:bidi="zh-CN"/>
        </w:rPr>
      </w:pPr>
    </w:p>
    <w:p>
      <w:pPr>
        <w:rPr>
          <w:rFonts w:hint="eastAsia" w:ascii="仿宋_GB2312" w:hAnsi="仿宋_GB2312" w:eastAsia="仿宋_GB2312" w:cs="仿宋_GB2312"/>
          <w:kern w:val="2"/>
          <w:sz w:val="28"/>
          <w:szCs w:val="28"/>
          <w:lang w:val="zh-CN" w:eastAsia="zh-CN" w:bidi="zh-CN"/>
        </w:rPr>
      </w:pPr>
    </w:p>
    <w:p>
      <w:pPr>
        <w:pStyle w:val="12"/>
        <w:rPr>
          <w:rFonts w:hint="eastAsia" w:ascii="仿宋_GB2312" w:hAnsi="仿宋_GB2312" w:eastAsia="仿宋_GB2312" w:cs="仿宋_GB2312"/>
          <w:kern w:val="2"/>
          <w:sz w:val="28"/>
          <w:szCs w:val="28"/>
          <w:lang w:val="zh-CN" w:eastAsia="zh-CN" w:bidi="zh-CN"/>
        </w:rPr>
      </w:pPr>
    </w:p>
    <w:p>
      <w:pPr>
        <w:jc w:val="center"/>
        <w:rPr>
          <w:rFonts w:hint="eastAsia"/>
          <w:lang w:val="zh-CN" w:eastAsia="zh-CN"/>
        </w:rPr>
      </w:pPr>
      <w:bookmarkStart w:id="119" w:name="_Toc12035_WPSOffice_Level2"/>
      <w:bookmarkStart w:id="120"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19"/>
      <w:bookmarkEnd w:id="120"/>
    </w:p>
    <w:p>
      <w:pPr>
        <w:topLinePunct/>
        <w:spacing w:line="440" w:lineRule="exact"/>
        <w:ind w:firstLine="480" w:firstLineChars="200"/>
        <w:rPr>
          <w:rFonts w:hint="eastAsia" w:ascii="仿宋_GB2312" w:hAnsi="仿宋_GB2312" w:eastAsia="仿宋_GB2312" w:cs="仿宋_GB2312"/>
          <w:sz w:val="24"/>
        </w:rPr>
      </w:pPr>
    </w:p>
    <w:p>
      <w:pPr>
        <w:topLinePunct/>
        <w:spacing w:line="440" w:lineRule="exact"/>
        <w:ind w:firstLine="480" w:firstLineChars="200"/>
        <w:rPr>
          <w:rFonts w:hint="eastAsia" w:ascii="仿宋_GB2312" w:hAnsi="仿宋_GB2312" w:eastAsia="仿宋_GB2312" w:cs="仿宋_GB2312"/>
          <w:sz w:val="24"/>
        </w:rPr>
      </w:pPr>
    </w:p>
    <w:p>
      <w:pPr>
        <w:keepNext w:val="0"/>
        <w:keepLines w:val="0"/>
        <w:pageBreakBefore w:val="0"/>
        <w:widowControl w:val="0"/>
        <w:kinsoku/>
        <w:wordWrap/>
        <w:overflowPunct/>
        <w:topLinePunct/>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姓名)系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供应商名称)的法定代表人，现委托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姓名)为我方代理人。代理人根据授权，以我方名义签署、澄清、说明、补正、递交、撤回、修改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项目名称)响应文件、签订合同和处理有关事宜，其法律后果由我方承担。</w:t>
      </w:r>
    </w:p>
    <w:p>
      <w:pPr>
        <w:keepNext w:val="0"/>
        <w:keepLines w:val="0"/>
        <w:pageBreakBefore w:val="0"/>
        <w:widowControl w:val="0"/>
        <w:kinsoku/>
        <w:wordWrap/>
        <w:overflowPunct/>
        <w:autoSpaceDE/>
        <w:autoSpaceDN/>
        <w:bidi w:val="0"/>
        <w:adjustRightInd/>
        <w:snapToGrid/>
        <w:spacing w:line="560" w:lineRule="exact"/>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highlight w:val="none"/>
          <w:shd w:val="clear" w:color="auto" w:fill="auto"/>
        </w:rPr>
        <w:t>委托期限：</w:t>
      </w:r>
      <w:r>
        <w:rPr>
          <w:rFonts w:hint="eastAsia" w:ascii="仿宋_GB2312" w:hAnsi="仿宋_GB2312" w:eastAsia="仿宋_GB2312" w:cs="仿宋_GB2312"/>
          <w:sz w:val="28"/>
          <w:szCs w:val="28"/>
          <w:highlight w:val="none"/>
          <w:u w:val="single"/>
          <w:shd w:val="clear" w:color="auto" w:fill="auto"/>
          <w:lang w:val="en-US" w:eastAsia="zh-CN"/>
        </w:rPr>
        <w:t xml:space="preserve">                                    </w:t>
      </w:r>
      <w:r>
        <w:rPr>
          <w:rFonts w:hint="eastAsia" w:ascii="仿宋_GB2312" w:hAnsi="仿宋_GB2312" w:eastAsia="仿宋_GB2312" w:cs="仿宋_GB2312"/>
          <w:sz w:val="28"/>
          <w:szCs w:val="28"/>
          <w:highlight w:val="none"/>
          <w:shd w:val="clear" w:color="auto" w:fill="auto"/>
        </w:rPr>
        <w:t>。</w:t>
      </w:r>
    </w:p>
    <w:p>
      <w:pPr>
        <w:keepNext w:val="0"/>
        <w:keepLines w:val="0"/>
        <w:pageBreakBefore w:val="0"/>
        <w:widowControl w:val="0"/>
        <w:kinsoku/>
        <w:wordWrap/>
        <w:overflowPunct/>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pPr>
        <w:keepNext w:val="0"/>
        <w:keepLines w:val="0"/>
        <w:pageBreakBefore w:val="0"/>
        <w:widowControl w:val="0"/>
        <w:kinsoku/>
        <w:wordWrap/>
        <w:overflowPunct/>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附：法定代表人身份证明、委托代理人的身份证正反面复印件</w:t>
      </w:r>
    </w:p>
    <w:p>
      <w:pPr>
        <w:spacing w:line="440" w:lineRule="exact"/>
        <w:ind w:firstLine="560" w:firstLineChars="200"/>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盖单位章)</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签名)</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签名)</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p>
    <w:p>
      <w:pPr>
        <w:spacing w:line="440" w:lineRule="exact"/>
        <w:ind w:firstLine="2100" w:firstLineChars="75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rPr>
          <w:sz w:val="28"/>
          <w:szCs w:val="28"/>
        </w:rPr>
      </w:pPr>
    </w:p>
    <w:p>
      <w:pPr>
        <w:spacing w:after="0"/>
        <w:jc w:val="left"/>
        <w:rPr>
          <w:sz w:val="28"/>
          <w:szCs w:val="28"/>
        </w:rPr>
      </w:pPr>
    </w:p>
    <w:p>
      <w:pPr>
        <w:spacing w:after="0"/>
        <w:jc w:val="left"/>
        <w:rPr>
          <w:sz w:val="28"/>
          <w:szCs w:val="28"/>
        </w:rPr>
      </w:pPr>
    </w:p>
    <w:p>
      <w:pPr>
        <w:spacing w:after="0"/>
        <w:jc w:val="left"/>
        <w:rPr>
          <w:sz w:val="28"/>
          <w:szCs w:val="28"/>
        </w:rPr>
      </w:pPr>
    </w:p>
    <w:p>
      <w:pPr>
        <w:spacing w:after="0"/>
        <w:jc w:val="left"/>
        <w:rPr>
          <w:sz w:val="28"/>
          <w:szCs w:val="28"/>
        </w:rPr>
      </w:pPr>
    </w:p>
    <w:p>
      <w:pPr>
        <w:spacing w:after="0"/>
        <w:rPr>
          <w:rFonts w:hint="eastAsia" w:ascii="仿宋_GB2312" w:hAnsi="仿宋_GB2312" w:eastAsia="仿宋_GB2312" w:cs="仿宋_GB2312"/>
          <w:kern w:val="2"/>
          <w:sz w:val="28"/>
          <w:szCs w:val="28"/>
          <w:lang w:val="zh-CN" w:eastAsia="zh-CN" w:bidi="zh-CN"/>
        </w:rPr>
        <w:sectPr>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pPr>
        <w:pStyle w:val="8"/>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三、供应商信誉情况</w:t>
      </w:r>
    </w:p>
    <w:p>
      <w:pPr>
        <w:pStyle w:val="12"/>
        <w:keepNext w:val="0"/>
        <w:keepLines w:val="0"/>
        <w:pageBreakBefore w:val="0"/>
        <w:widowControl w:val="0"/>
        <w:kinsoku/>
        <w:wordWrap/>
        <w:overflowPunct/>
        <w:topLinePunct w:val="0"/>
        <w:autoSpaceDE/>
        <w:autoSpaceDN/>
        <w:bidi w:val="0"/>
        <w:adjustRightInd/>
        <w:snapToGrid/>
        <w:spacing w:before="11" w:line="400" w:lineRule="exact"/>
        <w:textAlignment w:val="auto"/>
        <w:rPr>
          <w:rFonts w:ascii="黑体"/>
          <w:sz w:val="24"/>
          <w:szCs w:val="24"/>
        </w:rPr>
      </w:pPr>
    </w:p>
    <w:p>
      <w:pPr>
        <w:pStyle w:val="12"/>
        <w:keepNext w:val="0"/>
        <w:keepLines w:val="0"/>
        <w:pageBreakBefore w:val="0"/>
        <w:widowControl w:val="0"/>
        <w:kinsoku/>
        <w:wordWrap/>
        <w:overflowPunct/>
        <w:topLinePunct w:val="0"/>
        <w:autoSpaceDE/>
        <w:autoSpaceDN/>
        <w:bidi w:val="0"/>
        <w:adjustRightInd/>
        <w:snapToGrid/>
        <w:spacing w:line="400" w:lineRule="exact"/>
        <w:ind w:left="235" w:right="237"/>
        <w:textAlignment w:val="auto"/>
        <w:rPr>
          <w:sz w:val="24"/>
          <w:szCs w:val="24"/>
        </w:rPr>
      </w:pP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无需提供相应资料，提供承诺即可。如承诺与实际不符，则视为</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弄虚作假骗取</w:t>
      </w:r>
      <w:r>
        <w:rPr>
          <w:rFonts w:hint="eastAsia" w:ascii="仿宋_GB2312" w:hAnsi="仿宋_GB2312" w:eastAsia="仿宋_GB2312" w:cs="仿宋_GB2312"/>
          <w:sz w:val="24"/>
          <w:szCs w:val="24"/>
          <w:lang w:eastAsia="zh-CN"/>
        </w:rPr>
        <w:t>成交</w:t>
      </w:r>
      <w:r>
        <w:rPr>
          <w:rFonts w:hint="eastAsia" w:ascii="仿宋_GB2312" w:hAnsi="仿宋_GB2312" w:eastAsia="仿宋_GB2312" w:cs="仿宋_GB2312"/>
          <w:sz w:val="24"/>
          <w:szCs w:val="24"/>
        </w:rPr>
        <w:t>， 其</w:t>
      </w:r>
      <w:r>
        <w:rPr>
          <w:rFonts w:hint="eastAsia" w:ascii="仿宋_GB2312" w:hAnsi="仿宋_GB2312" w:eastAsia="仿宋_GB2312" w:cs="仿宋_GB2312"/>
          <w:sz w:val="24"/>
          <w:szCs w:val="24"/>
          <w:lang w:eastAsia="zh-CN"/>
        </w:rPr>
        <w:t>响应保证金</w:t>
      </w:r>
      <w:r>
        <w:rPr>
          <w:rFonts w:hint="eastAsia" w:ascii="仿宋_GB2312" w:hAnsi="仿宋_GB2312" w:eastAsia="仿宋_GB2312" w:cs="仿宋_GB2312"/>
          <w:sz w:val="24"/>
          <w:szCs w:val="24"/>
        </w:rPr>
        <w:t>按规定予以处理。</w:t>
      </w:r>
    </w:p>
    <w:p>
      <w:pPr>
        <w:pStyle w:val="9"/>
        <w:keepNext w:val="0"/>
        <w:keepLines w:val="0"/>
        <w:pageBreakBefore w:val="0"/>
        <w:widowControl w:val="0"/>
        <w:kinsoku/>
        <w:wordWrap/>
        <w:overflowPunct/>
        <w:topLinePunct w:val="0"/>
        <w:autoSpaceDE/>
        <w:autoSpaceDN/>
        <w:bidi w:val="0"/>
        <w:adjustRightInd/>
        <w:snapToGrid/>
        <w:spacing w:before="177" w:line="400" w:lineRule="exact"/>
        <w:ind w:left="0"/>
        <w:jc w:val="center"/>
        <w:textAlignment w:val="auto"/>
      </w:pPr>
      <w:r>
        <w:rPr>
          <w:rFonts w:hint="eastAsia"/>
          <w:lang w:eastAsia="zh-CN"/>
        </w:rPr>
        <w:t>供应商</w:t>
      </w:r>
      <w:r>
        <w:t>信誉承诺函</w:t>
      </w:r>
    </w:p>
    <w:p>
      <w:pPr>
        <w:pStyle w:val="12"/>
        <w:keepNext w:val="0"/>
        <w:keepLines w:val="0"/>
        <w:pageBreakBefore w:val="0"/>
        <w:widowControl w:val="0"/>
        <w:kinsoku/>
        <w:wordWrap/>
        <w:overflowPunct/>
        <w:topLinePunct w:val="0"/>
        <w:autoSpaceDE/>
        <w:autoSpaceDN/>
        <w:bidi w:val="0"/>
        <w:adjustRightInd/>
        <w:snapToGrid/>
        <w:spacing w:before="4" w:line="400" w:lineRule="exact"/>
        <w:ind w:right="92"/>
        <w:jc w:val="center"/>
        <w:textAlignment w:val="auto"/>
        <w:rPr>
          <w:sz w:val="27"/>
        </w:rPr>
      </w:pPr>
      <w:r>
        <w:t>（</w:t>
      </w:r>
      <w:r>
        <w:rPr>
          <w:rFonts w:hint="eastAsia" w:ascii="仿宋_GB2312" w:hAnsi="仿宋_GB2312" w:eastAsia="仿宋_GB2312" w:cs="仿宋_GB2312"/>
        </w:rPr>
        <w:t>该承诺函为</w:t>
      </w:r>
      <w:r>
        <w:rPr>
          <w:rFonts w:hint="eastAsia" w:ascii="仿宋_GB2312" w:hAnsi="仿宋_GB2312" w:eastAsia="仿宋_GB2312" w:cs="仿宋_GB2312"/>
          <w:lang w:eastAsia="zh-CN"/>
        </w:rPr>
        <w:t>响应函</w:t>
      </w:r>
      <w:r>
        <w:rPr>
          <w:rFonts w:hint="eastAsia" w:ascii="仿宋_GB2312" w:hAnsi="仿宋_GB2312" w:eastAsia="仿宋_GB2312" w:cs="仿宋_GB2312"/>
        </w:rPr>
        <w:t>的有效组成部分</w:t>
      </w:r>
      <w:r>
        <w:t>）</w:t>
      </w:r>
    </w:p>
    <w:p>
      <w:pPr>
        <w:pStyle w:val="12"/>
        <w:keepNext w:val="0"/>
        <w:keepLines w:val="0"/>
        <w:pageBreakBefore w:val="0"/>
        <w:widowControl w:val="0"/>
        <w:tabs>
          <w:tab w:val="left" w:pos="1287"/>
          <w:tab w:val="left" w:pos="3175"/>
          <w:tab w:val="left" w:pos="3411"/>
          <w:tab w:val="left" w:pos="7416"/>
          <w:tab w:val="left" w:pos="8256"/>
          <w:tab w:val="left" w:pos="9096"/>
        </w:tabs>
        <w:kinsoku/>
        <w:wordWrap/>
        <w:overflowPunct/>
        <w:topLinePunct w:val="0"/>
        <w:autoSpaceDE/>
        <w:autoSpaceDN/>
        <w:bidi w:val="0"/>
        <w:adjustRightInd/>
        <w:snapToGrid/>
        <w:spacing w:before="192" w:line="400" w:lineRule="exact"/>
        <w:ind w:left="235" w:right="237" w:firstLine="420"/>
        <w:textAlignment w:val="auto"/>
        <w:rPr>
          <w:rFonts w:hint="eastAsia" w:ascii="Times New Roman" w:eastAsia="Times New Roman"/>
          <w:w w:val="99"/>
          <w:u w:val="single"/>
        </w:rPr>
      </w:pPr>
      <w:r>
        <w:rPr>
          <w:rFonts w:ascii="Times New Roman" w:eastAsia="Times New Roman"/>
          <w:w w:val="99"/>
          <w:u w:val="single"/>
        </w:rPr>
        <w:t xml:space="preserve"> </w:t>
      </w:r>
      <w:r>
        <w:rPr>
          <w:rFonts w:hint="eastAsia" w:ascii="Times New Roman" w:eastAsia="Times New Roman"/>
          <w:w w:val="99"/>
          <w:u w:val="single"/>
        </w:rPr>
        <w:t xml:space="preserve"> </w:t>
      </w:r>
      <w:r>
        <w:rPr>
          <w:rFonts w:hint="eastAsia" w:ascii="Times New Roman" w:eastAsia="Times New Roman"/>
          <w:w w:val="99"/>
          <w:u w:val="single"/>
        </w:rPr>
        <w:tab/>
      </w:r>
      <w:r>
        <w:rPr>
          <w:rFonts w:hint="eastAsia" w:ascii="Times New Roman" w:eastAsia="Times New Roman"/>
          <w:w w:val="99"/>
          <w:u w:val="single"/>
        </w:rPr>
        <w:t>（</w:t>
      </w:r>
      <w:r>
        <w:rPr>
          <w:rFonts w:hint="eastAsia" w:ascii="Times New Roman"/>
          <w:w w:val="99"/>
          <w:u w:val="single"/>
          <w:lang w:val="en-US" w:eastAsia="zh-CN"/>
        </w:rPr>
        <w:t>比选人</w:t>
      </w:r>
      <w:r>
        <w:rPr>
          <w:rFonts w:hint="eastAsia" w:ascii="Times New Roman" w:eastAsia="Times New Roman"/>
          <w:w w:val="99"/>
          <w:u w:val="single"/>
        </w:rPr>
        <w:t>名称）：</w:t>
      </w:r>
    </w:p>
    <w:p>
      <w:pPr>
        <w:pStyle w:val="12"/>
        <w:keepNext w:val="0"/>
        <w:keepLines w:val="0"/>
        <w:pageBreakBefore w:val="0"/>
        <w:widowControl w:val="0"/>
        <w:tabs>
          <w:tab w:val="left" w:pos="1287"/>
          <w:tab w:val="left" w:pos="3175"/>
          <w:tab w:val="left" w:pos="3411"/>
          <w:tab w:val="left" w:pos="7416"/>
          <w:tab w:val="left" w:pos="8256"/>
          <w:tab w:val="left" w:pos="9096"/>
        </w:tabs>
        <w:kinsoku/>
        <w:wordWrap/>
        <w:overflowPunct/>
        <w:topLinePunct w:val="0"/>
        <w:autoSpaceDE/>
        <w:autoSpaceDN/>
        <w:bidi w:val="0"/>
        <w:adjustRightInd/>
        <w:snapToGrid/>
        <w:spacing w:before="192"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99"/>
          <w:sz w:val="24"/>
          <w:szCs w:val="24"/>
          <w:u w:val="single"/>
        </w:rPr>
        <w:t xml:space="preserve">鉴于 </w:t>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w:t>
      </w:r>
      <w:r>
        <w:rPr>
          <w:rFonts w:hint="eastAsia" w:ascii="仿宋_GB2312" w:hAnsi="仿宋_GB2312" w:eastAsia="仿宋_GB2312" w:cs="仿宋_GB2312"/>
          <w:color w:val="auto"/>
          <w:w w:val="99"/>
          <w:sz w:val="24"/>
          <w:szCs w:val="24"/>
          <w:u w:val="single"/>
          <w:lang w:eastAsia="zh-CN"/>
        </w:rPr>
        <w:t>供应商</w:t>
      </w:r>
      <w:r>
        <w:rPr>
          <w:rFonts w:hint="eastAsia" w:ascii="仿宋_GB2312" w:hAnsi="仿宋_GB2312" w:eastAsia="仿宋_GB2312" w:cs="仿宋_GB2312"/>
          <w:color w:val="auto"/>
          <w:w w:val="99"/>
          <w:sz w:val="24"/>
          <w:szCs w:val="24"/>
          <w:u w:val="single"/>
        </w:rPr>
        <w:t>名称）（以下称“</w:t>
      </w:r>
      <w:r>
        <w:rPr>
          <w:rFonts w:hint="eastAsia" w:ascii="仿宋_GB2312" w:hAnsi="仿宋_GB2312" w:eastAsia="仿宋_GB2312" w:cs="仿宋_GB2312"/>
          <w:color w:val="auto"/>
          <w:w w:val="99"/>
          <w:sz w:val="24"/>
          <w:szCs w:val="24"/>
          <w:u w:val="single"/>
          <w:lang w:eastAsia="zh-CN"/>
        </w:rPr>
        <w:t>供应商</w:t>
      </w:r>
      <w:r>
        <w:rPr>
          <w:rFonts w:hint="eastAsia" w:ascii="仿宋_GB2312" w:hAnsi="仿宋_GB2312" w:eastAsia="仿宋_GB2312" w:cs="仿宋_GB2312"/>
          <w:color w:val="auto"/>
          <w:w w:val="99"/>
          <w:sz w:val="24"/>
          <w:szCs w:val="24"/>
          <w:u w:val="single"/>
        </w:rPr>
        <w:t xml:space="preserve">”）于 </w:t>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 xml:space="preserve">年 </w:t>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 xml:space="preserve">月 </w:t>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 xml:space="preserve">日参加 </w:t>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（项目名称）的投标，我公司承诺：</w:t>
      </w:r>
    </w:p>
    <w:p>
      <w:pPr>
        <w:pStyle w:val="12"/>
        <w:keepNext w:val="0"/>
        <w:keepLines w:val="0"/>
        <w:pageBreakBefore w:val="0"/>
        <w:widowControl w:val="0"/>
        <w:kinsoku/>
        <w:wordWrap/>
        <w:overflowPunct/>
        <w:topLinePunct w:val="0"/>
        <w:autoSpaceDE/>
        <w:autoSpaceDN/>
        <w:bidi w:val="0"/>
        <w:adjustRightInd/>
        <w:snapToGrid/>
        <w:spacing w:line="400" w:lineRule="exact"/>
        <w:ind w:left="672"/>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95"/>
          <w:sz w:val="24"/>
          <w:szCs w:val="24"/>
        </w:rPr>
        <w:t>1、我公司符合下列情形之一：</w:t>
      </w:r>
    </w:p>
    <w:p>
      <w:pPr>
        <w:pStyle w:val="21"/>
        <w:keepNext w:val="0"/>
        <w:keepLines w:val="0"/>
        <w:pageBreakBefore w:val="0"/>
        <w:widowControl w:val="0"/>
        <w:numPr>
          <w:ilvl w:val="0"/>
          <w:numId w:val="8"/>
        </w:numPr>
        <w:tabs>
          <w:tab w:val="left" w:pos="972"/>
        </w:tabs>
        <w:kinsoku/>
        <w:wordWrap/>
        <w:overflowPunct/>
        <w:topLinePunct w:val="0"/>
        <w:autoSpaceDE/>
        <w:autoSpaceDN/>
        <w:bidi w:val="0"/>
        <w:adjustRightInd/>
        <w:snapToGrid/>
        <w:spacing w:before="0" w:after="0"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w w:val="95"/>
          <w:sz w:val="24"/>
          <w:szCs w:val="24"/>
        </w:rPr>
        <w:t>开标日前两年内未被合肥市及其所辖县</w:t>
      </w:r>
      <w:r>
        <w:rPr>
          <w:rFonts w:hint="eastAsia" w:ascii="仿宋_GB2312" w:hAnsi="仿宋_GB2312" w:eastAsia="仿宋_GB2312" w:cs="仿宋_GB2312"/>
          <w:color w:val="auto"/>
          <w:w w:val="95"/>
          <w:sz w:val="24"/>
          <w:szCs w:val="24"/>
        </w:rPr>
        <w:t>（市</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spacing w:val="-5"/>
          <w:w w:val="95"/>
          <w:sz w:val="24"/>
          <w:szCs w:val="24"/>
        </w:rPr>
        <w:t>及区</w:t>
      </w:r>
      <w:r>
        <w:rPr>
          <w:rFonts w:hint="eastAsia" w:ascii="仿宋_GB2312" w:hAnsi="仿宋_GB2312" w:eastAsia="仿宋_GB2312" w:cs="仿宋_GB2312"/>
          <w:color w:val="auto"/>
          <w:w w:val="95"/>
          <w:sz w:val="24"/>
          <w:szCs w:val="24"/>
        </w:rPr>
        <w:t>（开发区</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w w:val="95"/>
          <w:sz w:val="24"/>
          <w:szCs w:val="24"/>
        </w:rPr>
        <w:t>公共资源交易监督部门记不良</w:t>
      </w:r>
      <w:r>
        <w:rPr>
          <w:rFonts w:hint="eastAsia" w:ascii="仿宋_GB2312" w:hAnsi="仿宋_GB2312" w:eastAsia="仿宋_GB2312" w:cs="仿宋_GB2312"/>
          <w:color w:val="auto"/>
          <w:spacing w:val="-3"/>
          <w:sz w:val="24"/>
          <w:szCs w:val="24"/>
        </w:rPr>
        <w:t xml:space="preserve">行为记录或记不良行为记录累计未满 </w:t>
      </w: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分的。</w:t>
      </w:r>
    </w:p>
    <w:p>
      <w:pPr>
        <w:pStyle w:val="21"/>
        <w:keepNext w:val="0"/>
        <w:keepLines w:val="0"/>
        <w:pageBreakBefore w:val="0"/>
        <w:widowControl w:val="0"/>
        <w:numPr>
          <w:ilvl w:val="0"/>
          <w:numId w:val="8"/>
        </w:numPr>
        <w:tabs>
          <w:tab w:val="left" w:pos="972"/>
        </w:tabs>
        <w:kinsoku/>
        <w:wordWrap/>
        <w:overflowPunct/>
        <w:topLinePunct w:val="0"/>
        <w:autoSpaceDE/>
        <w:autoSpaceDN/>
        <w:bidi w:val="0"/>
        <w:adjustRightInd/>
        <w:snapToGrid/>
        <w:spacing w:before="0" w:after="0"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w w:val="95"/>
          <w:sz w:val="24"/>
          <w:szCs w:val="24"/>
        </w:rPr>
        <w:t>最近一次被合肥市及其所辖县</w:t>
      </w:r>
      <w:r>
        <w:rPr>
          <w:rFonts w:hint="eastAsia" w:ascii="仿宋_GB2312" w:hAnsi="仿宋_GB2312" w:eastAsia="仿宋_GB2312" w:cs="仿宋_GB2312"/>
          <w:color w:val="auto"/>
          <w:w w:val="95"/>
          <w:sz w:val="24"/>
          <w:szCs w:val="24"/>
        </w:rPr>
        <w:t>（市</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spacing w:val="-5"/>
          <w:w w:val="95"/>
          <w:sz w:val="24"/>
          <w:szCs w:val="24"/>
        </w:rPr>
        <w:t>及区</w:t>
      </w:r>
      <w:r>
        <w:rPr>
          <w:rFonts w:hint="eastAsia" w:ascii="仿宋_GB2312" w:hAnsi="仿宋_GB2312" w:eastAsia="仿宋_GB2312" w:cs="仿宋_GB2312"/>
          <w:color w:val="auto"/>
          <w:w w:val="95"/>
          <w:sz w:val="24"/>
          <w:szCs w:val="24"/>
        </w:rPr>
        <w:t>（开发区</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w w:val="95"/>
          <w:sz w:val="24"/>
          <w:szCs w:val="24"/>
        </w:rPr>
        <w:t>公共资源交易监督部门记不良行为记录</w:t>
      </w:r>
      <w:r>
        <w:rPr>
          <w:rFonts w:hint="eastAsia" w:ascii="仿宋_GB2312" w:hAnsi="仿宋_GB2312" w:eastAsia="仿宋_GB2312" w:cs="仿宋_GB2312"/>
          <w:color w:val="auto"/>
          <w:spacing w:val="-9"/>
          <w:sz w:val="24"/>
          <w:szCs w:val="24"/>
        </w:rPr>
        <w:t xml:space="preserve">累计记分达 </w:t>
      </w: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pacing w:val="-25"/>
          <w:sz w:val="24"/>
          <w:szCs w:val="24"/>
        </w:rPr>
        <w:t xml:space="preserve">含 </w:t>
      </w: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pacing w:val="-27"/>
          <w:sz w:val="24"/>
          <w:szCs w:val="24"/>
        </w:rPr>
        <w:t xml:space="preserve">到 </w:t>
      </w:r>
      <w:r>
        <w:rPr>
          <w:rFonts w:hint="eastAsia" w:ascii="仿宋_GB2312" w:hAnsi="仿宋_GB2312" w:eastAsia="仿宋_GB2312" w:cs="仿宋_GB2312"/>
          <w:color w:val="auto"/>
          <w:sz w:val="24"/>
          <w:szCs w:val="24"/>
        </w:rPr>
        <w:t xml:space="preserve">15 </w:t>
      </w:r>
      <w:r>
        <w:rPr>
          <w:rFonts w:hint="eastAsia" w:ascii="仿宋_GB2312" w:hAnsi="仿宋_GB2312" w:eastAsia="仿宋_GB2312" w:cs="仿宋_GB2312"/>
          <w:color w:val="auto"/>
          <w:spacing w:val="-5"/>
          <w:sz w:val="24"/>
          <w:szCs w:val="24"/>
        </w:rPr>
        <w:t xml:space="preserve">分且公布日距开标日超过 </w:t>
      </w:r>
      <w:r>
        <w:rPr>
          <w:rFonts w:hint="eastAsia" w:ascii="仿宋_GB2312" w:hAnsi="仿宋_GB2312" w:eastAsia="仿宋_GB2312" w:cs="仿宋_GB2312"/>
          <w:color w:val="auto"/>
          <w:sz w:val="24"/>
          <w:szCs w:val="24"/>
        </w:rPr>
        <w:t>6</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个月。</w:t>
      </w:r>
    </w:p>
    <w:p>
      <w:pPr>
        <w:pStyle w:val="21"/>
        <w:keepNext w:val="0"/>
        <w:keepLines w:val="0"/>
        <w:pageBreakBefore w:val="0"/>
        <w:widowControl w:val="0"/>
        <w:numPr>
          <w:ilvl w:val="0"/>
          <w:numId w:val="8"/>
        </w:numPr>
        <w:tabs>
          <w:tab w:val="left" w:pos="972"/>
        </w:tabs>
        <w:kinsoku/>
        <w:wordWrap/>
        <w:overflowPunct/>
        <w:topLinePunct w:val="0"/>
        <w:autoSpaceDE/>
        <w:autoSpaceDN/>
        <w:bidi w:val="0"/>
        <w:adjustRightInd/>
        <w:snapToGrid/>
        <w:spacing w:before="1" w:after="0"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w w:val="95"/>
          <w:sz w:val="24"/>
          <w:szCs w:val="24"/>
        </w:rPr>
        <w:t>最近一次被合肥市及其所辖县</w:t>
      </w:r>
      <w:r>
        <w:rPr>
          <w:rFonts w:hint="eastAsia" w:ascii="仿宋_GB2312" w:hAnsi="仿宋_GB2312" w:eastAsia="仿宋_GB2312" w:cs="仿宋_GB2312"/>
          <w:color w:val="auto"/>
          <w:w w:val="95"/>
          <w:sz w:val="24"/>
          <w:szCs w:val="24"/>
        </w:rPr>
        <w:t>（市</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spacing w:val="-5"/>
          <w:w w:val="95"/>
          <w:sz w:val="24"/>
          <w:szCs w:val="24"/>
        </w:rPr>
        <w:t>及区</w:t>
      </w:r>
      <w:r>
        <w:rPr>
          <w:rFonts w:hint="eastAsia" w:ascii="仿宋_GB2312" w:hAnsi="仿宋_GB2312" w:eastAsia="仿宋_GB2312" w:cs="仿宋_GB2312"/>
          <w:color w:val="auto"/>
          <w:w w:val="95"/>
          <w:sz w:val="24"/>
          <w:szCs w:val="24"/>
        </w:rPr>
        <w:t>（开发区</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w w:val="95"/>
          <w:sz w:val="24"/>
          <w:szCs w:val="24"/>
        </w:rPr>
        <w:t>公共资源交易监督部门记不良行为记录</w:t>
      </w:r>
      <w:r>
        <w:rPr>
          <w:rFonts w:hint="eastAsia" w:ascii="仿宋_GB2312" w:hAnsi="仿宋_GB2312" w:eastAsia="仿宋_GB2312" w:cs="仿宋_GB2312"/>
          <w:color w:val="auto"/>
          <w:spacing w:val="-9"/>
          <w:sz w:val="24"/>
          <w:szCs w:val="24"/>
        </w:rPr>
        <w:t xml:space="preserve">累计记分达 </w:t>
      </w:r>
      <w:r>
        <w:rPr>
          <w:rFonts w:hint="eastAsia" w:ascii="仿宋_GB2312" w:hAnsi="仿宋_GB2312" w:eastAsia="仿宋_GB2312" w:cs="仿宋_GB2312"/>
          <w:color w:val="auto"/>
          <w:sz w:val="24"/>
          <w:szCs w:val="24"/>
        </w:rPr>
        <w:t>15</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pacing w:val="-25"/>
          <w:sz w:val="24"/>
          <w:szCs w:val="24"/>
        </w:rPr>
        <w:t xml:space="preserve">含 </w:t>
      </w:r>
      <w:r>
        <w:rPr>
          <w:rFonts w:hint="eastAsia" w:ascii="仿宋_GB2312" w:hAnsi="仿宋_GB2312" w:eastAsia="仿宋_GB2312" w:cs="仿宋_GB2312"/>
          <w:color w:val="auto"/>
          <w:sz w:val="24"/>
          <w:szCs w:val="24"/>
        </w:rPr>
        <w:t>15</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pacing w:val="-27"/>
          <w:sz w:val="24"/>
          <w:szCs w:val="24"/>
        </w:rPr>
        <w:t xml:space="preserve">到 </w:t>
      </w:r>
      <w:r>
        <w:rPr>
          <w:rFonts w:hint="eastAsia" w:ascii="仿宋_GB2312" w:hAnsi="仿宋_GB2312" w:eastAsia="仿宋_GB2312" w:cs="仿宋_GB2312"/>
          <w:color w:val="auto"/>
          <w:sz w:val="24"/>
          <w:szCs w:val="24"/>
        </w:rPr>
        <w:t xml:space="preserve">20 </w:t>
      </w:r>
      <w:r>
        <w:rPr>
          <w:rFonts w:hint="eastAsia" w:ascii="仿宋_GB2312" w:hAnsi="仿宋_GB2312" w:eastAsia="仿宋_GB2312" w:cs="仿宋_GB2312"/>
          <w:color w:val="auto"/>
          <w:spacing w:val="-5"/>
          <w:sz w:val="24"/>
          <w:szCs w:val="24"/>
        </w:rPr>
        <w:t xml:space="preserve">分且公布日距开标日超过 </w:t>
      </w:r>
      <w:r>
        <w:rPr>
          <w:rFonts w:hint="eastAsia" w:ascii="仿宋_GB2312" w:hAnsi="仿宋_GB2312" w:eastAsia="仿宋_GB2312" w:cs="仿宋_GB2312"/>
          <w:color w:val="auto"/>
          <w:sz w:val="24"/>
          <w:szCs w:val="24"/>
        </w:rPr>
        <w:t>12</w:t>
      </w:r>
      <w:r>
        <w:rPr>
          <w:rFonts w:hint="eastAsia" w:ascii="仿宋_GB2312" w:hAnsi="仿宋_GB2312" w:eastAsia="仿宋_GB2312" w:cs="仿宋_GB2312"/>
          <w:color w:val="auto"/>
          <w:spacing w:val="-2"/>
          <w:sz w:val="24"/>
          <w:szCs w:val="24"/>
        </w:rPr>
        <w:t xml:space="preserve"> </w:t>
      </w:r>
      <w:r>
        <w:rPr>
          <w:rFonts w:hint="eastAsia" w:ascii="仿宋_GB2312" w:hAnsi="仿宋_GB2312" w:eastAsia="仿宋_GB2312" w:cs="仿宋_GB2312"/>
          <w:color w:val="auto"/>
          <w:sz w:val="24"/>
          <w:szCs w:val="24"/>
        </w:rPr>
        <w:t>个月。</w:t>
      </w:r>
    </w:p>
    <w:p>
      <w:pPr>
        <w:pStyle w:val="21"/>
        <w:keepNext w:val="0"/>
        <w:keepLines w:val="0"/>
        <w:pageBreakBefore w:val="0"/>
        <w:widowControl w:val="0"/>
        <w:numPr>
          <w:ilvl w:val="0"/>
          <w:numId w:val="8"/>
        </w:numPr>
        <w:tabs>
          <w:tab w:val="left" w:pos="972"/>
        </w:tabs>
        <w:kinsoku/>
        <w:wordWrap/>
        <w:overflowPunct/>
        <w:topLinePunct w:val="0"/>
        <w:autoSpaceDE/>
        <w:autoSpaceDN/>
        <w:bidi w:val="0"/>
        <w:adjustRightInd/>
        <w:snapToGrid/>
        <w:spacing w:before="4" w:after="0"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w w:val="95"/>
          <w:sz w:val="24"/>
          <w:szCs w:val="24"/>
        </w:rPr>
        <w:t>最近一次被合肥市及其所辖县</w:t>
      </w:r>
      <w:r>
        <w:rPr>
          <w:rFonts w:hint="eastAsia" w:ascii="仿宋_GB2312" w:hAnsi="仿宋_GB2312" w:eastAsia="仿宋_GB2312" w:cs="仿宋_GB2312"/>
          <w:color w:val="auto"/>
          <w:w w:val="95"/>
          <w:sz w:val="24"/>
          <w:szCs w:val="24"/>
        </w:rPr>
        <w:t>（市</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spacing w:val="-5"/>
          <w:w w:val="95"/>
          <w:sz w:val="24"/>
          <w:szCs w:val="24"/>
        </w:rPr>
        <w:t>及区</w:t>
      </w:r>
      <w:r>
        <w:rPr>
          <w:rFonts w:hint="eastAsia" w:ascii="仿宋_GB2312" w:hAnsi="仿宋_GB2312" w:eastAsia="仿宋_GB2312" w:cs="仿宋_GB2312"/>
          <w:color w:val="auto"/>
          <w:w w:val="95"/>
          <w:sz w:val="24"/>
          <w:szCs w:val="24"/>
        </w:rPr>
        <w:t>（开发区</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w w:val="95"/>
          <w:sz w:val="24"/>
          <w:szCs w:val="24"/>
        </w:rPr>
        <w:t>公共资源交易监督部门记不良行为记录</w:t>
      </w:r>
      <w:r>
        <w:rPr>
          <w:rFonts w:hint="eastAsia" w:ascii="仿宋_GB2312" w:hAnsi="仿宋_GB2312" w:eastAsia="仿宋_GB2312" w:cs="仿宋_GB2312"/>
          <w:color w:val="auto"/>
          <w:spacing w:val="-9"/>
          <w:sz w:val="24"/>
          <w:szCs w:val="24"/>
        </w:rPr>
        <w:t xml:space="preserve">累计记分达 </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pacing w:val="-25"/>
          <w:sz w:val="24"/>
          <w:szCs w:val="24"/>
        </w:rPr>
        <w:t xml:space="preserve">含 </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pacing w:val="-4"/>
          <w:sz w:val="24"/>
          <w:szCs w:val="24"/>
        </w:rPr>
        <w:t xml:space="preserve">及以上且公布日距开标日超过 </w:t>
      </w:r>
      <w:r>
        <w:rPr>
          <w:rFonts w:hint="eastAsia" w:ascii="仿宋_GB2312" w:hAnsi="仿宋_GB2312" w:eastAsia="仿宋_GB2312" w:cs="仿宋_GB2312"/>
          <w:color w:val="auto"/>
          <w:sz w:val="24"/>
          <w:szCs w:val="24"/>
        </w:rPr>
        <w:t>24 个月。</w:t>
      </w:r>
    </w:p>
    <w:p>
      <w:pPr>
        <w:pStyle w:val="12"/>
        <w:keepNext w:val="0"/>
        <w:keepLines w:val="0"/>
        <w:pageBreakBefore w:val="0"/>
        <w:widowControl w:val="0"/>
        <w:kinsoku/>
        <w:wordWrap/>
        <w:overflowPunct/>
        <w:topLinePunct w:val="0"/>
        <w:autoSpaceDE/>
        <w:autoSpaceDN/>
        <w:bidi w:val="0"/>
        <w:adjustRightInd/>
        <w:snapToGrid/>
        <w:spacing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95"/>
          <w:sz w:val="24"/>
          <w:szCs w:val="24"/>
        </w:rPr>
        <w:t>2、我公司在国家企业信用信息公示系统（</w:t>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"http://www.gsxt.gov.cn/"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w w:val="95"/>
          <w:sz w:val="24"/>
          <w:szCs w:val="24"/>
        </w:rPr>
        <w:t>http://www.gsxt.gov.cn/</w:t>
      </w:r>
      <w:r>
        <w:rPr>
          <w:rFonts w:hint="eastAsia" w:ascii="仿宋_GB2312" w:hAnsi="仿宋_GB2312" w:eastAsia="仿宋_GB2312" w:cs="仿宋_GB2312"/>
          <w:color w:val="auto"/>
          <w:w w:val="95"/>
          <w:sz w:val="24"/>
          <w:szCs w:val="24"/>
        </w:rPr>
        <w:fldChar w:fldCharType="end"/>
      </w:r>
      <w:r>
        <w:rPr>
          <w:rFonts w:hint="eastAsia" w:ascii="仿宋_GB2312" w:hAnsi="仿宋_GB2312" w:eastAsia="仿宋_GB2312" w:cs="仿宋_GB2312"/>
          <w:color w:val="auto"/>
          <w:w w:val="95"/>
          <w:sz w:val="24"/>
          <w:szCs w:val="24"/>
        </w:rPr>
        <w:t>）中未被列入严重违法失信企</w:t>
      </w:r>
      <w:r>
        <w:rPr>
          <w:rFonts w:hint="eastAsia" w:ascii="仿宋_GB2312" w:hAnsi="仿宋_GB2312" w:eastAsia="仿宋_GB2312" w:cs="仿宋_GB2312"/>
          <w:color w:val="auto"/>
          <w:spacing w:val="-14"/>
          <w:w w:val="95"/>
          <w:sz w:val="24"/>
          <w:szCs w:val="24"/>
        </w:rPr>
        <w:t>业名单；在“信用中国”网站</w:t>
      </w:r>
      <w:r>
        <w:rPr>
          <w:rFonts w:hint="eastAsia" w:ascii="仿宋_GB2312" w:hAnsi="仿宋_GB2312" w:eastAsia="仿宋_GB2312" w:cs="仿宋_GB2312"/>
          <w:color w:val="auto"/>
          <w:w w:val="95"/>
          <w:sz w:val="24"/>
          <w:szCs w:val="24"/>
        </w:rPr>
        <w:t>（</w:t>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"http://www.creditchina.gov.cn/"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w w:val="95"/>
          <w:sz w:val="24"/>
          <w:szCs w:val="24"/>
        </w:rPr>
        <w:t>http://www.creditchina.gov.cn/</w:t>
      </w:r>
      <w:r>
        <w:rPr>
          <w:rFonts w:hint="eastAsia" w:ascii="仿宋_GB2312" w:hAnsi="仿宋_GB2312" w:eastAsia="仿宋_GB2312" w:cs="仿宋_GB2312"/>
          <w:color w:val="auto"/>
          <w:w w:val="95"/>
          <w:sz w:val="24"/>
          <w:szCs w:val="24"/>
        </w:rPr>
        <w:fldChar w:fldCharType="end"/>
      </w:r>
      <w:r>
        <w:rPr>
          <w:rFonts w:hint="eastAsia" w:ascii="仿宋_GB2312" w:hAnsi="仿宋_GB2312" w:eastAsia="仿宋_GB2312" w:cs="仿宋_GB2312"/>
          <w:color w:val="auto"/>
          <w:w w:val="95"/>
          <w:sz w:val="24"/>
          <w:szCs w:val="24"/>
        </w:rPr>
        <w:t>）</w:t>
      </w:r>
      <w:r>
        <w:rPr>
          <w:rFonts w:hint="eastAsia" w:ascii="仿宋_GB2312" w:hAnsi="仿宋_GB2312" w:eastAsia="仿宋_GB2312" w:cs="仿宋_GB2312"/>
          <w:color w:val="auto"/>
          <w:spacing w:val="-5"/>
          <w:w w:val="95"/>
          <w:sz w:val="24"/>
          <w:szCs w:val="24"/>
        </w:rPr>
        <w:t>中未被列入失信被执行人名单；在“信</w:t>
      </w:r>
      <w:r>
        <w:rPr>
          <w:rFonts w:hint="eastAsia" w:ascii="仿宋_GB2312" w:hAnsi="仿宋_GB2312" w:eastAsia="仿宋_GB2312" w:cs="仿宋_GB2312"/>
          <w:color w:val="auto"/>
          <w:spacing w:val="-5"/>
          <w:sz w:val="24"/>
          <w:szCs w:val="24"/>
        </w:rPr>
        <w:t>用中国”网站（</w:t>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"http://www.creditchina.gov.cn/"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pacing w:val="-5"/>
          <w:sz w:val="24"/>
          <w:szCs w:val="24"/>
        </w:rPr>
        <w:t>http://www.creditchina.gov.cn/</w:t>
      </w:r>
      <w:r>
        <w:rPr>
          <w:rFonts w:hint="eastAsia" w:ascii="仿宋_GB2312" w:hAnsi="仿宋_GB2312" w:eastAsia="仿宋_GB2312" w:cs="仿宋_GB2312"/>
          <w:color w:val="auto"/>
          <w:spacing w:val="-5"/>
          <w:sz w:val="24"/>
          <w:szCs w:val="24"/>
        </w:rPr>
        <w:fldChar w:fldCharType="end"/>
      </w:r>
      <w:r>
        <w:rPr>
          <w:rFonts w:hint="eastAsia" w:ascii="仿宋_GB2312" w:hAnsi="仿宋_GB2312" w:eastAsia="仿宋_GB2312" w:cs="仿宋_GB2312"/>
          <w:color w:val="auto"/>
          <w:spacing w:val="-5"/>
          <w:sz w:val="24"/>
          <w:szCs w:val="24"/>
        </w:rPr>
        <w:t>）中未被列入重大税收违法案件当事人名单。</w:t>
      </w:r>
    </w:p>
    <w:p>
      <w:pPr>
        <w:pStyle w:val="12"/>
        <w:keepNext w:val="0"/>
        <w:keepLines w:val="0"/>
        <w:pageBreakBefore w:val="0"/>
        <w:widowControl w:val="0"/>
        <w:kinsoku/>
        <w:wordWrap/>
        <w:overflowPunct/>
        <w:topLinePunct w:val="0"/>
        <w:autoSpaceDE/>
        <w:autoSpaceDN/>
        <w:bidi w:val="0"/>
        <w:adjustRightInd/>
        <w:snapToGrid/>
        <w:spacing w:line="400" w:lineRule="exact"/>
        <w:ind w:left="656"/>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3、我公司符合招标文件要求的其它信誉要求。</w:t>
      </w:r>
    </w:p>
    <w:p>
      <w:pPr>
        <w:pStyle w:val="12"/>
        <w:keepNext w:val="0"/>
        <w:keepLines w:val="0"/>
        <w:pageBreakBefore w:val="0"/>
        <w:widowControl w:val="0"/>
        <w:kinsoku/>
        <w:wordWrap/>
        <w:overflowPunct/>
        <w:topLinePunct w:val="0"/>
        <w:autoSpaceDE/>
        <w:autoSpaceDN/>
        <w:bidi w:val="0"/>
        <w:adjustRightInd/>
        <w:snapToGrid/>
        <w:spacing w:after="0" w:line="400" w:lineRule="exact"/>
        <w:ind w:left="0" w:right="0" w:firstLine="684" w:firstLineChars="300"/>
        <w:jc w:val="left"/>
        <w:textAlignment w:val="auto"/>
        <w:rPr>
          <w:rFonts w:hint="eastAsia" w:ascii="仿宋_GB2312" w:hAnsi="仿宋_GB2312" w:eastAsia="仿宋_GB2312" w:cs="仿宋_GB2312"/>
          <w:color w:val="auto"/>
          <w:w w:val="95"/>
          <w:sz w:val="24"/>
          <w:szCs w:val="24"/>
        </w:rPr>
      </w:pPr>
      <w:r>
        <w:rPr>
          <w:rFonts w:hint="eastAsia" w:ascii="仿宋_GB2312" w:hAnsi="仿宋_GB2312" w:eastAsia="仿宋_GB2312" w:cs="仿宋_GB2312"/>
          <w:color w:val="auto"/>
          <w:w w:val="95"/>
          <w:sz w:val="24"/>
          <w:szCs w:val="24"/>
        </w:rPr>
        <w:t xml:space="preserve">4、若我公司承诺与实际不符，愿接受招标人和相关部门的处理。 </w:t>
      </w:r>
    </w:p>
    <w:p>
      <w:pPr>
        <w:pStyle w:val="12"/>
        <w:keepNext w:val="0"/>
        <w:keepLines w:val="0"/>
        <w:pageBreakBefore w:val="0"/>
        <w:widowControl w:val="0"/>
        <w:kinsoku/>
        <w:wordWrap/>
        <w:overflowPunct/>
        <w:topLinePunct w:val="0"/>
        <w:autoSpaceDE/>
        <w:autoSpaceDN/>
        <w:bidi w:val="0"/>
        <w:adjustRightInd/>
        <w:snapToGrid/>
        <w:spacing w:after="0" w:line="400" w:lineRule="exact"/>
        <w:ind w:right="0" w:firstLine="720" w:firstLineChars="3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特此承诺。</w:t>
      </w:r>
    </w:p>
    <w:p>
      <w:pPr>
        <w:pStyle w:val="12"/>
        <w:keepNext w:val="0"/>
        <w:keepLines w:val="0"/>
        <w:pageBreakBefore w:val="0"/>
        <w:widowControl w:val="0"/>
        <w:tabs>
          <w:tab w:val="left" w:pos="3387"/>
        </w:tabs>
        <w:kinsoku/>
        <w:wordWrap/>
        <w:overflowPunct/>
        <w:topLinePunct w:val="0"/>
        <w:autoSpaceDE/>
        <w:autoSpaceDN/>
        <w:bidi w:val="0"/>
        <w:adjustRightInd/>
        <w:snapToGrid/>
        <w:spacing w:line="400" w:lineRule="exact"/>
        <w:ind w:left="235"/>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95"/>
          <w:sz w:val="24"/>
          <w:szCs w:val="24"/>
          <w:lang w:eastAsia="zh-CN"/>
        </w:rPr>
        <w:t>供应商</w:t>
      </w:r>
      <w:r>
        <w:rPr>
          <w:rFonts w:hint="eastAsia" w:ascii="仿宋_GB2312" w:hAnsi="仿宋_GB2312" w:eastAsia="仿宋_GB2312" w:cs="仿宋_GB2312"/>
          <w:color w:val="auto"/>
          <w:w w:val="95"/>
          <w:sz w:val="24"/>
          <w:szCs w:val="24"/>
        </w:rPr>
        <w:t>名称：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w w:val="95"/>
          <w:sz w:val="24"/>
          <w:szCs w:val="24"/>
        </w:rPr>
        <w:t>（盖单位章）</w:t>
      </w:r>
    </w:p>
    <w:p>
      <w:pPr>
        <w:pStyle w:val="12"/>
        <w:keepNext w:val="0"/>
        <w:keepLines w:val="0"/>
        <w:pageBreakBefore w:val="0"/>
        <w:widowControl w:val="0"/>
        <w:tabs>
          <w:tab w:val="left" w:pos="3807"/>
          <w:tab w:val="left" w:pos="4541"/>
        </w:tabs>
        <w:kinsoku/>
        <w:wordWrap/>
        <w:overflowPunct/>
        <w:topLinePunct w:val="0"/>
        <w:autoSpaceDE/>
        <w:autoSpaceDN/>
        <w:bidi w:val="0"/>
        <w:adjustRightInd/>
        <w:snapToGrid/>
        <w:spacing w:before="2" w:line="400" w:lineRule="exact"/>
        <w:ind w:left="235" w:right="4896"/>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法定代表人或其委托代理人：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rPr>
        <w:t>（签字</w:t>
      </w:r>
      <w:r>
        <w:rPr>
          <w:rFonts w:hint="eastAsia" w:ascii="仿宋_GB2312" w:hAnsi="仿宋_GB2312" w:eastAsia="仿宋_GB2312" w:cs="仿宋_GB2312"/>
          <w:color w:val="auto"/>
          <w:spacing w:val="-14"/>
          <w:sz w:val="24"/>
          <w:szCs w:val="24"/>
        </w:rPr>
        <w:t xml:space="preserve">） </w:t>
      </w:r>
      <w:r>
        <w:rPr>
          <w:rFonts w:hint="eastAsia" w:ascii="仿宋_GB2312" w:hAnsi="仿宋_GB2312" w:eastAsia="仿宋_GB2312" w:cs="仿宋_GB2312"/>
          <w:color w:val="auto"/>
          <w:sz w:val="24"/>
          <w:szCs w:val="24"/>
        </w:rPr>
        <w:t>地址：</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pacing w:val="-17"/>
          <w:sz w:val="24"/>
          <w:szCs w:val="24"/>
          <w:u w:val="single"/>
        </w:rPr>
        <w:t xml:space="preserve">. </w:t>
      </w:r>
      <w:r>
        <w:rPr>
          <w:rFonts w:hint="eastAsia" w:ascii="仿宋_GB2312" w:hAnsi="仿宋_GB2312" w:eastAsia="仿宋_GB2312" w:cs="仿宋_GB2312"/>
          <w:color w:val="auto"/>
          <w:sz w:val="24"/>
          <w:szCs w:val="24"/>
        </w:rPr>
        <w:t>邮政编码：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pacing w:val="-17"/>
          <w:sz w:val="24"/>
          <w:szCs w:val="24"/>
          <w:u w:val="single"/>
        </w:rPr>
        <w:t xml:space="preserve">. </w:t>
      </w:r>
      <w:r>
        <w:rPr>
          <w:rFonts w:hint="eastAsia" w:ascii="仿宋_GB2312" w:hAnsi="仿宋_GB2312" w:eastAsia="仿宋_GB2312" w:cs="仿宋_GB2312"/>
          <w:color w:val="auto"/>
          <w:sz w:val="24"/>
          <w:szCs w:val="24"/>
        </w:rPr>
        <w:t>电话：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pacing w:val="-17"/>
          <w:sz w:val="24"/>
          <w:szCs w:val="24"/>
          <w:u w:val="single"/>
        </w:rPr>
        <w:t xml:space="preserve">. </w:t>
      </w:r>
    </w:p>
    <w:p>
      <w:pPr>
        <w:pStyle w:val="12"/>
        <w:keepNext w:val="0"/>
        <w:keepLines w:val="0"/>
        <w:pageBreakBefore w:val="0"/>
        <w:widowControl w:val="0"/>
        <w:tabs>
          <w:tab w:val="left" w:pos="525"/>
          <w:tab w:val="left" w:pos="1051"/>
          <w:tab w:val="left" w:pos="1574"/>
        </w:tabs>
        <w:kinsoku/>
        <w:wordWrap/>
        <w:overflowPunct/>
        <w:topLinePunct w:val="0"/>
        <w:autoSpaceDE/>
        <w:autoSpaceDN/>
        <w:bidi w:val="0"/>
        <w:adjustRightInd/>
        <w:snapToGrid/>
        <w:spacing w:before="2" w:line="400" w:lineRule="exact"/>
        <w:ind w:right="237"/>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99"/>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w w:val="95"/>
          <w:sz w:val="24"/>
          <w:szCs w:val="24"/>
        </w:rPr>
        <w:t>日</w:t>
      </w:r>
    </w:p>
    <w:p>
      <w:pPr>
        <w:spacing w:after="0"/>
        <w:jc w:val="right"/>
        <w:rPr>
          <w:rFonts w:hint="eastAsia" w:ascii="仿宋_GB2312" w:hAnsi="仿宋_GB2312" w:eastAsia="仿宋_GB2312" w:cs="仿宋_GB2312"/>
          <w:color w:val="auto"/>
          <w:sz w:val="24"/>
          <w:szCs w:val="24"/>
        </w:rPr>
        <w:sectPr>
          <w:footerReference r:id="rId7" w:type="default"/>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pPr>
        <w:spacing w:before="66"/>
        <w:ind w:left="0" w:right="0" w:firstLine="0"/>
        <w:jc w:val="center"/>
        <w:rPr>
          <w:rFonts w:hint="eastAsia" w:ascii="方正小标宋_GBK" w:hAnsi="方正小标宋_GBK" w:eastAsia="方正小标宋_GBK" w:cs="方正小标宋_GBK"/>
          <w:kern w:val="2"/>
          <w:sz w:val="30"/>
          <w:szCs w:val="30"/>
          <w:lang w:val="zh-CN" w:eastAsia="zh-CN" w:bidi="zh-CN"/>
        </w:rPr>
      </w:pPr>
      <w:r>
        <w:rPr>
          <w:rFonts w:hint="eastAsia" w:ascii="方正小标宋_GBK" w:hAnsi="方正小标宋_GBK" w:eastAsia="方正小标宋_GBK" w:cs="方正小标宋_GBK"/>
          <w:kern w:val="2"/>
          <w:sz w:val="30"/>
          <w:szCs w:val="30"/>
          <w:lang w:val="en-US" w:eastAsia="zh-CN" w:bidi="zh-CN"/>
        </w:rPr>
        <w:t>四</w:t>
      </w:r>
      <w:r>
        <w:rPr>
          <w:rFonts w:hint="eastAsia" w:ascii="方正小标宋_GBK" w:hAnsi="方正小标宋_GBK" w:eastAsia="方正小标宋_GBK" w:cs="方正小标宋_GBK"/>
          <w:kern w:val="2"/>
          <w:sz w:val="30"/>
          <w:szCs w:val="30"/>
          <w:lang w:val="zh-CN" w:eastAsia="zh-CN" w:bidi="zh-CN"/>
        </w:rPr>
        <w:t>、其他资料</w:t>
      </w:r>
    </w:p>
    <w:p>
      <w:pPr>
        <w:pStyle w:val="12"/>
        <w:rPr>
          <w:rFonts w:ascii="黑体"/>
          <w:sz w:val="24"/>
        </w:rPr>
      </w:pPr>
    </w:p>
    <w:p>
      <w:pPr>
        <w:pStyle w:val="12"/>
        <w:spacing w:before="10"/>
        <w:rPr>
          <w:rFonts w:hint="eastAsia" w:ascii="仿宋_GB2312" w:hAnsi="仿宋_GB2312" w:eastAsia="仿宋_GB2312" w:cs="仿宋_GB2312"/>
          <w:sz w:val="28"/>
          <w:szCs w:val="28"/>
        </w:rPr>
      </w:pPr>
    </w:p>
    <w:p>
      <w:pPr>
        <w:pStyle w:val="12"/>
        <w:ind w:left="656"/>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相应人</w:t>
      </w:r>
      <w:r>
        <w:rPr>
          <w:rFonts w:hint="eastAsia" w:ascii="仿宋_GB2312" w:hAnsi="仿宋_GB2312" w:eastAsia="仿宋_GB2312" w:cs="仿宋_GB2312"/>
          <w:sz w:val="28"/>
          <w:szCs w:val="28"/>
        </w:rPr>
        <w:t>对照评标办法要求，自行提供其他相关资料（如</w:t>
      </w:r>
      <w:r>
        <w:rPr>
          <w:rFonts w:hint="eastAsia" w:ascii="仿宋_GB2312" w:hAnsi="仿宋_GB2312" w:eastAsia="仿宋_GB2312" w:cs="仿宋_GB2312"/>
          <w:sz w:val="28"/>
          <w:szCs w:val="28"/>
          <w:lang w:eastAsia="zh-CN"/>
        </w:rPr>
        <w:t>服务方案、人员配置、业绩合同等相关资料</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2"/>
        <w:spacing w:before="12"/>
        <w:jc w:val="both"/>
        <w:rPr>
          <w:rFonts w:hint="eastAsia" w:ascii="仿宋_GB2312" w:hAnsi="仿宋_GB2312" w:eastAsia="仿宋_GB2312" w:cs="仿宋_GB2312"/>
          <w:kern w:val="2"/>
          <w:sz w:val="28"/>
          <w:szCs w:val="28"/>
          <w:lang w:val="en-US" w:eastAsia="zh-CN" w:bidi="ar-SA"/>
        </w:rPr>
      </w:pPr>
    </w:p>
    <w:p>
      <w:pPr>
        <w:pStyle w:val="12"/>
        <w:spacing w:line="453" w:lineRule="auto"/>
        <w:ind w:left="235" w:right="278"/>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注：对照评标办法要求，由供应商自行提供相关证明。如证明或声明与实际不符，将被取消投标或成交资格，其响应保证金按规定予以处理。</w:t>
      </w:r>
    </w:p>
    <w:p>
      <w:pPr>
        <w:pStyle w:val="12"/>
        <w:rPr>
          <w:rFonts w:hint="eastAsia"/>
        </w:rPr>
      </w:pPr>
    </w:p>
    <w:p>
      <w:pPr>
        <w:pStyle w:val="12"/>
        <w:rPr>
          <w:sz w:val="20"/>
        </w:rPr>
      </w:pPr>
    </w:p>
    <w:p>
      <w:pPr>
        <w:rPr>
          <w:rFonts w:hint="default"/>
          <w:lang w:val="en-US" w:eastAsia="zh-CN"/>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C21CC35-FB10-42B4-931C-F94C53B0725F}"/>
  </w:font>
  <w:font w:name="Arial">
    <w:panose1 w:val="020B0604020202020204"/>
    <w:charset w:val="01"/>
    <w:family w:val="swiss"/>
    <w:pitch w:val="default"/>
    <w:sig w:usb0="E0002AFF" w:usb1="C0007843" w:usb2="00000009" w:usb3="00000000" w:csb0="400001FF" w:csb1="FFFF0000"/>
    <w:embedRegular r:id="rId2" w:fontKey="{4506195C-138E-411A-801E-29E891FE509B}"/>
  </w:font>
  <w:font w:name="黑体">
    <w:panose1 w:val="02010609060101010101"/>
    <w:charset w:val="86"/>
    <w:family w:val="auto"/>
    <w:pitch w:val="default"/>
    <w:sig w:usb0="800002BF" w:usb1="38CF7CFA" w:usb2="00000016" w:usb3="00000000" w:csb0="00040001" w:csb1="00000000"/>
    <w:embedRegular r:id="rId3" w:fontKey="{EB91B4DC-BC64-4590-8CD7-B69724DE85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6A90CD79-E235-4F26-9725-17D1CC4512DA}"/>
  </w:font>
  <w:font w:name="方正小标宋_GBK">
    <w:panose1 w:val="02000000000000000000"/>
    <w:charset w:val="86"/>
    <w:family w:val="auto"/>
    <w:pitch w:val="default"/>
    <w:sig w:usb0="A00002BF" w:usb1="38CF7CFA" w:usb2="00082016" w:usb3="00000000" w:csb0="00040001" w:csb1="00000000"/>
    <w:embedRegular r:id="rId5" w:fontKey="{9BDAB195-85A1-4689-ABC6-D9B7301EA57E}"/>
  </w:font>
  <w:font w:name="仿宋_GB2312">
    <w:panose1 w:val="02010609030101010101"/>
    <w:charset w:val="86"/>
    <w:family w:val="auto"/>
    <w:pitch w:val="default"/>
    <w:sig w:usb0="00000001" w:usb1="080E0000" w:usb2="00000000" w:usb3="00000000" w:csb0="00040000" w:csb1="00000000"/>
    <w:embedRegular r:id="rId6" w:fontKey="{235F0037-23E1-41E5-803E-3FF46A894BF2}"/>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embedRegular r:id="rId7" w:fontKey="{1DB9C005-24A5-4880-A29D-0E2EDF3577EB}"/>
  </w:font>
  <w:font w:name="仿宋">
    <w:panose1 w:val="02010609060101010101"/>
    <w:charset w:val="86"/>
    <w:family w:val="auto"/>
    <w:pitch w:val="default"/>
    <w:sig w:usb0="800002BF" w:usb1="38CF7CFA" w:usb2="00000016" w:usb3="00000000" w:csb0="00040001" w:csb1="00000000"/>
    <w:embedRegular r:id="rId8" w:fontKey="{2156B25C-587D-4944-B311-356A6457A3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9" w:lineRule="auto"/>
      <w:ind w:left="4264"/>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E1FEA"/>
    <w:multiLevelType w:val="singleLevel"/>
    <w:tmpl w:val="B24E1FEA"/>
    <w:lvl w:ilvl="0" w:tentative="0">
      <w:start w:val="1"/>
      <w:numFmt w:val="chineseCounting"/>
      <w:suff w:val="space"/>
      <w:lvlText w:val="第%1章"/>
      <w:lvlJc w:val="left"/>
      <w:rPr>
        <w:rFonts w:hint="eastAsia" w:ascii="方正小标宋_GBK" w:hAnsi="方正小标宋_GBK" w:eastAsia="方正小标宋_GBK" w:cs="方正小标宋_GBK"/>
        <w:sz w:val="36"/>
        <w:szCs w:val="36"/>
      </w:rPr>
    </w:lvl>
  </w:abstractNum>
  <w:abstractNum w:abstractNumId="1">
    <w:nsid w:val="C5AF3DB0"/>
    <w:multiLevelType w:val="singleLevel"/>
    <w:tmpl w:val="C5AF3DB0"/>
    <w:lvl w:ilvl="0" w:tentative="0">
      <w:start w:val="1"/>
      <w:numFmt w:val="decimal"/>
      <w:suff w:val="nothing"/>
      <w:lvlText w:val="%1、"/>
      <w:lvlJc w:val="left"/>
    </w:lvl>
  </w:abstractNum>
  <w:abstractNum w:abstractNumId="2">
    <w:nsid w:val="DCF0214F"/>
    <w:multiLevelType w:val="singleLevel"/>
    <w:tmpl w:val="DCF0214F"/>
    <w:lvl w:ilvl="0" w:tentative="0">
      <w:start w:val="1"/>
      <w:numFmt w:val="decimal"/>
      <w:suff w:val="nothing"/>
      <w:lvlText w:val="%1、"/>
      <w:lvlJc w:val="left"/>
    </w:lvl>
  </w:abstractNum>
  <w:abstractNum w:abstractNumId="3">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236" w:hanging="316"/>
        <w:jc w:val="left"/>
      </w:pPr>
      <w:rPr>
        <w:rFonts w:hint="default" w:ascii="Times New Roman" w:hAnsi="Times New Roman" w:eastAsia="Times New Roman" w:cs="Times New Roman"/>
        <w:spacing w:val="-13"/>
        <w:w w:val="99"/>
        <w:sz w:val="19"/>
        <w:szCs w:val="19"/>
        <w:lang w:val="zh-CN" w:eastAsia="zh-CN" w:bidi="zh-CN"/>
      </w:rPr>
    </w:lvl>
    <w:lvl w:ilvl="1" w:tentative="0">
      <w:start w:val="0"/>
      <w:numFmt w:val="bullet"/>
      <w:lvlText w:val="•"/>
      <w:lvlJc w:val="left"/>
      <w:pPr>
        <w:ind w:left="1170" w:hanging="316"/>
      </w:pPr>
      <w:rPr>
        <w:rFonts w:hint="default"/>
        <w:lang w:val="zh-CN" w:eastAsia="zh-CN" w:bidi="zh-CN"/>
      </w:rPr>
    </w:lvl>
    <w:lvl w:ilvl="2" w:tentative="0">
      <w:start w:val="0"/>
      <w:numFmt w:val="bullet"/>
      <w:lvlText w:val="•"/>
      <w:lvlJc w:val="left"/>
      <w:pPr>
        <w:ind w:left="2101" w:hanging="316"/>
      </w:pPr>
      <w:rPr>
        <w:rFonts w:hint="default"/>
        <w:lang w:val="zh-CN" w:eastAsia="zh-CN" w:bidi="zh-CN"/>
      </w:rPr>
    </w:lvl>
    <w:lvl w:ilvl="3" w:tentative="0">
      <w:start w:val="0"/>
      <w:numFmt w:val="bullet"/>
      <w:lvlText w:val="•"/>
      <w:lvlJc w:val="left"/>
      <w:pPr>
        <w:ind w:left="3031" w:hanging="316"/>
      </w:pPr>
      <w:rPr>
        <w:rFonts w:hint="default"/>
        <w:lang w:val="zh-CN" w:eastAsia="zh-CN" w:bidi="zh-CN"/>
      </w:rPr>
    </w:lvl>
    <w:lvl w:ilvl="4" w:tentative="0">
      <w:start w:val="0"/>
      <w:numFmt w:val="bullet"/>
      <w:lvlText w:val="•"/>
      <w:lvlJc w:val="left"/>
      <w:pPr>
        <w:ind w:left="3962" w:hanging="316"/>
      </w:pPr>
      <w:rPr>
        <w:rFonts w:hint="default"/>
        <w:lang w:val="zh-CN" w:eastAsia="zh-CN" w:bidi="zh-CN"/>
      </w:rPr>
    </w:lvl>
    <w:lvl w:ilvl="5" w:tentative="0">
      <w:start w:val="0"/>
      <w:numFmt w:val="bullet"/>
      <w:lvlText w:val="•"/>
      <w:lvlJc w:val="left"/>
      <w:pPr>
        <w:ind w:left="4892" w:hanging="316"/>
      </w:pPr>
      <w:rPr>
        <w:rFonts w:hint="default"/>
        <w:lang w:val="zh-CN" w:eastAsia="zh-CN" w:bidi="zh-CN"/>
      </w:rPr>
    </w:lvl>
    <w:lvl w:ilvl="6" w:tentative="0">
      <w:start w:val="0"/>
      <w:numFmt w:val="bullet"/>
      <w:lvlText w:val="•"/>
      <w:lvlJc w:val="left"/>
      <w:pPr>
        <w:ind w:left="5823" w:hanging="316"/>
      </w:pPr>
      <w:rPr>
        <w:rFonts w:hint="default"/>
        <w:lang w:val="zh-CN" w:eastAsia="zh-CN" w:bidi="zh-CN"/>
      </w:rPr>
    </w:lvl>
    <w:lvl w:ilvl="7" w:tentative="0">
      <w:start w:val="0"/>
      <w:numFmt w:val="bullet"/>
      <w:lvlText w:val="•"/>
      <w:lvlJc w:val="left"/>
      <w:pPr>
        <w:ind w:left="6753" w:hanging="316"/>
      </w:pPr>
      <w:rPr>
        <w:rFonts w:hint="default"/>
        <w:lang w:val="zh-CN" w:eastAsia="zh-CN" w:bidi="zh-CN"/>
      </w:rPr>
    </w:lvl>
    <w:lvl w:ilvl="8" w:tentative="0">
      <w:start w:val="0"/>
      <w:numFmt w:val="bullet"/>
      <w:lvlText w:val="•"/>
      <w:lvlJc w:val="left"/>
      <w:pPr>
        <w:ind w:left="7684" w:hanging="316"/>
      </w:pPr>
      <w:rPr>
        <w:rFonts w:hint="default"/>
        <w:lang w:val="zh-CN" w:eastAsia="zh-CN" w:bidi="zh-CN"/>
      </w:rPr>
    </w:lvl>
  </w:abstractNum>
  <w:abstractNum w:abstractNumId="5">
    <w:nsid w:val="0713F85B"/>
    <w:multiLevelType w:val="singleLevel"/>
    <w:tmpl w:val="0713F85B"/>
    <w:lvl w:ilvl="0" w:tentative="0">
      <w:start w:val="1"/>
      <w:numFmt w:val="decimal"/>
      <w:suff w:val="nothing"/>
      <w:lvlText w:val="%1、"/>
      <w:lvlJc w:val="left"/>
    </w:lvl>
  </w:abstractNum>
  <w:abstractNum w:abstractNumId="6">
    <w:nsid w:val="10E2A70C"/>
    <w:multiLevelType w:val="singleLevel"/>
    <w:tmpl w:val="10E2A70C"/>
    <w:lvl w:ilvl="0" w:tentative="0">
      <w:start w:val="1"/>
      <w:numFmt w:val="decimal"/>
      <w:suff w:val="nothing"/>
      <w:lvlText w:val="（%1）"/>
      <w:lvlJc w:val="left"/>
      <w:rPr>
        <w:rFonts w:hint="default"/>
        <w:b w:val="0"/>
        <w:bCs w:val="0"/>
      </w:rPr>
    </w:lvl>
  </w:abstractNum>
  <w:abstractNum w:abstractNumId="7">
    <w:nsid w:val="331DDF02"/>
    <w:multiLevelType w:val="singleLevel"/>
    <w:tmpl w:val="331DDF02"/>
    <w:lvl w:ilvl="0" w:tentative="0">
      <w:start w:val="3"/>
      <w:numFmt w:val="decimal"/>
      <w:lvlText w:val="%1."/>
      <w:lvlJc w:val="left"/>
      <w:pPr>
        <w:tabs>
          <w:tab w:val="left" w:pos="312"/>
        </w:tabs>
      </w:pPr>
    </w:lvl>
  </w:abstractNum>
  <w:num w:numId="1">
    <w:abstractNumId w:val="0"/>
  </w:num>
  <w:num w:numId="2">
    <w:abstractNumId w:val="7"/>
  </w:num>
  <w:num w:numId="3">
    <w:abstractNumId w:val="6"/>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YjEwNTRkZWU0N2E3OThhY2RmODMzOWVjYzhkYTQifQ=="/>
    <w:docVar w:name="KSO_WPS_MARK_KEY" w:val="3050ab40-bc72-497b-9a99-97b0cd3e5411"/>
  </w:docVars>
  <w:rsids>
    <w:rsidRoot w:val="2A395699"/>
    <w:rsid w:val="004B12D3"/>
    <w:rsid w:val="01335917"/>
    <w:rsid w:val="01A87F1C"/>
    <w:rsid w:val="01F9229B"/>
    <w:rsid w:val="0214783E"/>
    <w:rsid w:val="02505B24"/>
    <w:rsid w:val="026A2362"/>
    <w:rsid w:val="02B524E7"/>
    <w:rsid w:val="03100587"/>
    <w:rsid w:val="04CB3F80"/>
    <w:rsid w:val="05B21A63"/>
    <w:rsid w:val="064C64EC"/>
    <w:rsid w:val="069F7723"/>
    <w:rsid w:val="06A01EEC"/>
    <w:rsid w:val="06CA6DC4"/>
    <w:rsid w:val="07120AB2"/>
    <w:rsid w:val="072964BD"/>
    <w:rsid w:val="09635CF7"/>
    <w:rsid w:val="09A10EB8"/>
    <w:rsid w:val="09D86C71"/>
    <w:rsid w:val="0AA67CB9"/>
    <w:rsid w:val="0C491D2E"/>
    <w:rsid w:val="0C5A2742"/>
    <w:rsid w:val="0C756A2E"/>
    <w:rsid w:val="0CCC7276"/>
    <w:rsid w:val="0DF52ABA"/>
    <w:rsid w:val="0E2D7CF6"/>
    <w:rsid w:val="0ED83E37"/>
    <w:rsid w:val="0F9E43A0"/>
    <w:rsid w:val="0FA5719B"/>
    <w:rsid w:val="0FCA42ED"/>
    <w:rsid w:val="0FE20680"/>
    <w:rsid w:val="0FE23ABF"/>
    <w:rsid w:val="10A83001"/>
    <w:rsid w:val="10F842E9"/>
    <w:rsid w:val="115F43F1"/>
    <w:rsid w:val="11947946"/>
    <w:rsid w:val="11BA4060"/>
    <w:rsid w:val="11C61262"/>
    <w:rsid w:val="12050F48"/>
    <w:rsid w:val="120E4373"/>
    <w:rsid w:val="12A46F6E"/>
    <w:rsid w:val="12DE5103"/>
    <w:rsid w:val="12DF4A3F"/>
    <w:rsid w:val="12EB11D9"/>
    <w:rsid w:val="13280584"/>
    <w:rsid w:val="13542686"/>
    <w:rsid w:val="13862A5B"/>
    <w:rsid w:val="14CE3564"/>
    <w:rsid w:val="15145826"/>
    <w:rsid w:val="151924EB"/>
    <w:rsid w:val="151A60F3"/>
    <w:rsid w:val="168C3103"/>
    <w:rsid w:val="16A367F8"/>
    <w:rsid w:val="17AE0363"/>
    <w:rsid w:val="17EC3521"/>
    <w:rsid w:val="17EE29A6"/>
    <w:rsid w:val="1830401F"/>
    <w:rsid w:val="183C4258"/>
    <w:rsid w:val="18EE3A48"/>
    <w:rsid w:val="19AC5CF6"/>
    <w:rsid w:val="19B75006"/>
    <w:rsid w:val="19CB7E9B"/>
    <w:rsid w:val="19F025C9"/>
    <w:rsid w:val="1ADB36C8"/>
    <w:rsid w:val="1B0679D3"/>
    <w:rsid w:val="1C064B46"/>
    <w:rsid w:val="1C163BEF"/>
    <w:rsid w:val="1CB50838"/>
    <w:rsid w:val="1D2D4F59"/>
    <w:rsid w:val="1D8762E2"/>
    <w:rsid w:val="1D8809FF"/>
    <w:rsid w:val="1E6D2FD3"/>
    <w:rsid w:val="1E6F01A5"/>
    <w:rsid w:val="1E7B0813"/>
    <w:rsid w:val="1E957CC6"/>
    <w:rsid w:val="1EE80AFF"/>
    <w:rsid w:val="1F7D2063"/>
    <w:rsid w:val="20090DE7"/>
    <w:rsid w:val="20A25FB6"/>
    <w:rsid w:val="20D30677"/>
    <w:rsid w:val="20E82CB2"/>
    <w:rsid w:val="21B97F42"/>
    <w:rsid w:val="21D0089D"/>
    <w:rsid w:val="21F86CC8"/>
    <w:rsid w:val="221E23C9"/>
    <w:rsid w:val="22B042C1"/>
    <w:rsid w:val="241B36E9"/>
    <w:rsid w:val="24EB7946"/>
    <w:rsid w:val="25F413E1"/>
    <w:rsid w:val="26C070F6"/>
    <w:rsid w:val="26C23CC1"/>
    <w:rsid w:val="285A7ED1"/>
    <w:rsid w:val="29007312"/>
    <w:rsid w:val="29FD77A5"/>
    <w:rsid w:val="2A0C2A72"/>
    <w:rsid w:val="2A1D52B4"/>
    <w:rsid w:val="2A372A80"/>
    <w:rsid w:val="2A395699"/>
    <w:rsid w:val="2AF150DC"/>
    <w:rsid w:val="2B233CB6"/>
    <w:rsid w:val="2B6457DA"/>
    <w:rsid w:val="2C2140F9"/>
    <w:rsid w:val="2C622EF0"/>
    <w:rsid w:val="2CD32013"/>
    <w:rsid w:val="2DD06189"/>
    <w:rsid w:val="2DD86129"/>
    <w:rsid w:val="2E1246E9"/>
    <w:rsid w:val="2E30484D"/>
    <w:rsid w:val="2EDD2A1E"/>
    <w:rsid w:val="2EED705A"/>
    <w:rsid w:val="2F0D2D47"/>
    <w:rsid w:val="2F140E15"/>
    <w:rsid w:val="30B376F3"/>
    <w:rsid w:val="313825D9"/>
    <w:rsid w:val="315C3911"/>
    <w:rsid w:val="319F2441"/>
    <w:rsid w:val="31A6022E"/>
    <w:rsid w:val="31E84DCC"/>
    <w:rsid w:val="323E367C"/>
    <w:rsid w:val="3296694D"/>
    <w:rsid w:val="32BF0681"/>
    <w:rsid w:val="331D058F"/>
    <w:rsid w:val="34BA0B2D"/>
    <w:rsid w:val="368B42E2"/>
    <w:rsid w:val="37BC7365"/>
    <w:rsid w:val="37E64346"/>
    <w:rsid w:val="38687599"/>
    <w:rsid w:val="38C22C79"/>
    <w:rsid w:val="38F41816"/>
    <w:rsid w:val="3AB96E4F"/>
    <w:rsid w:val="3AE54998"/>
    <w:rsid w:val="3B2F5028"/>
    <w:rsid w:val="3C8E32E6"/>
    <w:rsid w:val="3E05602A"/>
    <w:rsid w:val="3E7C3EDC"/>
    <w:rsid w:val="3F5016F2"/>
    <w:rsid w:val="3FC44049"/>
    <w:rsid w:val="3FF52940"/>
    <w:rsid w:val="3FF772D3"/>
    <w:rsid w:val="4033445D"/>
    <w:rsid w:val="405740C8"/>
    <w:rsid w:val="413C2331"/>
    <w:rsid w:val="42D679B2"/>
    <w:rsid w:val="42DD3FBD"/>
    <w:rsid w:val="433D4C09"/>
    <w:rsid w:val="43486471"/>
    <w:rsid w:val="440E0448"/>
    <w:rsid w:val="445B77D0"/>
    <w:rsid w:val="4482557C"/>
    <w:rsid w:val="44DF3DDC"/>
    <w:rsid w:val="46DD01DB"/>
    <w:rsid w:val="477912EF"/>
    <w:rsid w:val="48345881"/>
    <w:rsid w:val="491A0FE8"/>
    <w:rsid w:val="4989557A"/>
    <w:rsid w:val="4AF053D2"/>
    <w:rsid w:val="4BBA2F7E"/>
    <w:rsid w:val="4BF4405A"/>
    <w:rsid w:val="4C974451"/>
    <w:rsid w:val="4CC42500"/>
    <w:rsid w:val="4D907FA7"/>
    <w:rsid w:val="4DEE5B3F"/>
    <w:rsid w:val="4E2A008A"/>
    <w:rsid w:val="4E4E3B53"/>
    <w:rsid w:val="4E891A4D"/>
    <w:rsid w:val="4F1D597E"/>
    <w:rsid w:val="4F3D28DB"/>
    <w:rsid w:val="4F68225F"/>
    <w:rsid w:val="4F9667B6"/>
    <w:rsid w:val="506D3CC9"/>
    <w:rsid w:val="50834F8C"/>
    <w:rsid w:val="50A12366"/>
    <w:rsid w:val="50FA3E9E"/>
    <w:rsid w:val="51387B25"/>
    <w:rsid w:val="51D45D1A"/>
    <w:rsid w:val="51E02145"/>
    <w:rsid w:val="52A75348"/>
    <w:rsid w:val="52C070AB"/>
    <w:rsid w:val="531243A6"/>
    <w:rsid w:val="53447A7D"/>
    <w:rsid w:val="546862DB"/>
    <w:rsid w:val="55576E73"/>
    <w:rsid w:val="55DE5B19"/>
    <w:rsid w:val="56E3311A"/>
    <w:rsid w:val="574828EE"/>
    <w:rsid w:val="5765363E"/>
    <w:rsid w:val="58276094"/>
    <w:rsid w:val="587F6039"/>
    <w:rsid w:val="589E35F0"/>
    <w:rsid w:val="58D637DC"/>
    <w:rsid w:val="59AE6A3B"/>
    <w:rsid w:val="5A5654C0"/>
    <w:rsid w:val="5AB3550F"/>
    <w:rsid w:val="5AC91EC0"/>
    <w:rsid w:val="5ADD4DF3"/>
    <w:rsid w:val="5B09034A"/>
    <w:rsid w:val="5C3C3E6A"/>
    <w:rsid w:val="5C6A5615"/>
    <w:rsid w:val="5C807B8A"/>
    <w:rsid w:val="5D063B9B"/>
    <w:rsid w:val="5D5F61C6"/>
    <w:rsid w:val="5E7D6ACB"/>
    <w:rsid w:val="5ECC2285"/>
    <w:rsid w:val="5EEB4861"/>
    <w:rsid w:val="5F0A3541"/>
    <w:rsid w:val="5F4676E2"/>
    <w:rsid w:val="5FE16169"/>
    <w:rsid w:val="5FF94DF9"/>
    <w:rsid w:val="609512AB"/>
    <w:rsid w:val="60EA22A0"/>
    <w:rsid w:val="615253A6"/>
    <w:rsid w:val="619A740A"/>
    <w:rsid w:val="62481D96"/>
    <w:rsid w:val="62545C37"/>
    <w:rsid w:val="62A23718"/>
    <w:rsid w:val="62D2762C"/>
    <w:rsid w:val="631F62D6"/>
    <w:rsid w:val="63A35633"/>
    <w:rsid w:val="63EB6047"/>
    <w:rsid w:val="648903FA"/>
    <w:rsid w:val="64E7729A"/>
    <w:rsid w:val="657D2D8B"/>
    <w:rsid w:val="659D5B17"/>
    <w:rsid w:val="65C200D2"/>
    <w:rsid w:val="666210D8"/>
    <w:rsid w:val="67006EDF"/>
    <w:rsid w:val="67876E24"/>
    <w:rsid w:val="67BE69BF"/>
    <w:rsid w:val="691B3B5C"/>
    <w:rsid w:val="696D34DF"/>
    <w:rsid w:val="6AF13278"/>
    <w:rsid w:val="6C064B1D"/>
    <w:rsid w:val="6C796FAC"/>
    <w:rsid w:val="6CF40093"/>
    <w:rsid w:val="6CFD0DFB"/>
    <w:rsid w:val="6D3978A6"/>
    <w:rsid w:val="6D9F11BA"/>
    <w:rsid w:val="6E110585"/>
    <w:rsid w:val="6E594688"/>
    <w:rsid w:val="6EB57040"/>
    <w:rsid w:val="70BF33F3"/>
    <w:rsid w:val="70ED418D"/>
    <w:rsid w:val="71D07108"/>
    <w:rsid w:val="723C69A0"/>
    <w:rsid w:val="730647AA"/>
    <w:rsid w:val="7419338E"/>
    <w:rsid w:val="744A25C9"/>
    <w:rsid w:val="74F63651"/>
    <w:rsid w:val="753F1602"/>
    <w:rsid w:val="75916041"/>
    <w:rsid w:val="75E350AC"/>
    <w:rsid w:val="767B249F"/>
    <w:rsid w:val="76967F28"/>
    <w:rsid w:val="76DD3F05"/>
    <w:rsid w:val="774B7A3E"/>
    <w:rsid w:val="774C4309"/>
    <w:rsid w:val="77EA0EBD"/>
    <w:rsid w:val="781231F3"/>
    <w:rsid w:val="78F30FC9"/>
    <w:rsid w:val="79006129"/>
    <w:rsid w:val="790A0589"/>
    <w:rsid w:val="79B57059"/>
    <w:rsid w:val="7A5E1298"/>
    <w:rsid w:val="7A6E33AD"/>
    <w:rsid w:val="7C6764B5"/>
    <w:rsid w:val="7C8B770E"/>
    <w:rsid w:val="7C9313A2"/>
    <w:rsid w:val="7D5A1C6C"/>
    <w:rsid w:val="7D676F18"/>
    <w:rsid w:val="7D87765E"/>
    <w:rsid w:val="7E1C7A3B"/>
    <w:rsid w:val="7F731047"/>
    <w:rsid w:val="7F937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_GBK"/>
      <w:b/>
      <w:kern w:val="44"/>
      <w:sz w:val="36"/>
    </w:rPr>
  </w:style>
  <w:style w:type="paragraph" w:styleId="6">
    <w:name w:val="heading 2"/>
    <w:basedOn w:val="1"/>
    <w:next w:val="1"/>
    <w:unhideWhenUsed/>
    <w:qFormat/>
    <w:uiPriority w:val="0"/>
    <w:pPr>
      <w:keepNext/>
      <w:keepLines/>
      <w:spacing w:beforeLines="0" w:beforeAutospacing="0" w:afterLines="0" w:afterAutospacing="0" w:line="240" w:lineRule="auto"/>
      <w:jc w:val="center"/>
      <w:outlineLvl w:val="1"/>
    </w:pPr>
    <w:rPr>
      <w:rFonts w:ascii="Arial" w:hAnsi="Arial" w:eastAsia="仿宋_GB2312"/>
      <w:b/>
      <w:sz w:val="30"/>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黑体"/>
      <w:b/>
      <w:sz w:val="28"/>
    </w:rPr>
  </w:style>
  <w:style w:type="paragraph" w:styleId="8">
    <w:name w:val="heading 4"/>
    <w:basedOn w:val="1"/>
    <w:next w:val="1"/>
    <w:qFormat/>
    <w:uiPriority w:val="1"/>
    <w:pPr>
      <w:spacing w:before="66"/>
      <w:jc w:val="center"/>
      <w:outlineLvl w:val="4"/>
    </w:pPr>
    <w:rPr>
      <w:rFonts w:ascii="黑体" w:hAnsi="黑体" w:eastAsia="黑体" w:cs="黑体"/>
      <w:sz w:val="24"/>
      <w:szCs w:val="24"/>
      <w:lang w:val="zh-CN" w:eastAsia="zh-CN" w:bidi="zh-CN"/>
    </w:rPr>
  </w:style>
  <w:style w:type="paragraph" w:styleId="9">
    <w:name w:val="heading 5"/>
    <w:basedOn w:val="1"/>
    <w:next w:val="1"/>
    <w:qFormat/>
    <w:uiPriority w:val="1"/>
    <w:pPr>
      <w:spacing w:before="1"/>
      <w:ind w:left="660"/>
      <w:outlineLvl w:val="5"/>
    </w:pPr>
    <w:rPr>
      <w:rFonts w:ascii="宋体" w:hAnsi="宋体" w:eastAsia="宋体" w:cs="宋体"/>
      <w:b/>
      <w:bCs/>
      <w:sz w:val="21"/>
      <w:szCs w:val="21"/>
      <w:lang w:val="zh-CN" w:eastAsia="zh-CN" w:bidi="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szCs w:val="22"/>
    </w:r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ind w:firstLine="200"/>
    </w:pPr>
    <w:rPr>
      <w:rFonts w:ascii="Arial" w:hAnsi="Arial" w:cs="Arial"/>
      <w:szCs w:val="20"/>
    </w:rPr>
  </w:style>
  <w:style w:type="paragraph" w:styleId="10">
    <w:name w:val="annotation text"/>
    <w:basedOn w:val="1"/>
    <w:qFormat/>
    <w:uiPriority w:val="0"/>
    <w:pPr>
      <w:jc w:val="left"/>
    </w:pPr>
  </w:style>
  <w:style w:type="paragraph" w:styleId="11">
    <w:name w:val="Body Text 3"/>
    <w:basedOn w:val="1"/>
    <w:qFormat/>
    <w:uiPriority w:val="0"/>
    <w:rPr>
      <w:rFonts w:ascii="宋体"/>
      <w:sz w:val="24"/>
      <w:szCs w:val="20"/>
    </w:rPr>
  </w:style>
  <w:style w:type="paragraph" w:styleId="12">
    <w:name w:val="Body Text"/>
    <w:basedOn w:val="1"/>
    <w:next w:val="1"/>
    <w:qFormat/>
    <w:uiPriority w:val="0"/>
    <w:pPr>
      <w:spacing w:after="120"/>
      <w:jc w:val="center"/>
    </w:pPr>
    <w:rPr>
      <w:rFonts w:eastAsia="宋体"/>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0">
    <w:name w:val="Table Paragraph"/>
    <w:basedOn w:val="1"/>
    <w:qFormat/>
    <w:uiPriority w:val="1"/>
    <w:rPr>
      <w:rFonts w:ascii="宋体" w:hAnsi="宋体" w:eastAsia="宋体" w:cs="宋体"/>
    </w:rPr>
  </w:style>
  <w:style w:type="paragraph" w:styleId="21">
    <w:name w:val="List Paragraph"/>
    <w:basedOn w:val="1"/>
    <w:qFormat/>
    <w:uiPriority w:val="1"/>
    <w:pPr>
      <w:ind w:left="235" w:hanging="527"/>
    </w:pPr>
    <w:rPr>
      <w:rFonts w:ascii="宋体" w:hAnsi="宋体" w:eastAsia="宋体" w:cs="宋体"/>
      <w:lang w:val="zh-CN" w:eastAsia="zh-CN" w:bidi="zh-CN"/>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character" w:customStyle="1" w:styleId="23">
    <w:name w:val="font101"/>
    <w:basedOn w:val="17"/>
    <w:qFormat/>
    <w:uiPriority w:val="0"/>
    <w:rPr>
      <w:rFonts w:hint="eastAsia" w:ascii="宋体" w:hAnsi="宋体" w:eastAsia="宋体" w:cs="宋体"/>
      <w:color w:val="000000"/>
      <w:sz w:val="20"/>
      <w:szCs w:val="20"/>
      <w:u w:val="none"/>
      <w:vertAlign w:val="superscript"/>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12911</Words>
  <Characters>13823</Characters>
  <Lines>0</Lines>
  <Paragraphs>0</Paragraphs>
  <TotalTime>3</TotalTime>
  <ScaleCrop>false</ScaleCrop>
  <LinksUpToDate>false</LinksUpToDate>
  <CharactersWithSpaces>15198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2022-08-24T14:15:00Z</dcterms:created>
  <dc:creator>王亚东</dc:creator>
  <cp:lastModifiedBy>人生路</cp:lastModifiedBy>
  <cp:lastPrinted>2024-01-31T13:51:00Z</cp:lastPrinted>
  <dcterms:modified xsi:type="dcterms:W3CDTF">2024-04-30T02:44:40Z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092181B0A66644A8AF3F7033CEDA268F_13</vt:lpwstr>
  </property>
</Properties>
</file>