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合安中心新开通青草收费站家具设备采购项目</w:t>
      </w:r>
    </w:p>
    <w:p>
      <w:pPr>
        <w:spacing w:line="540" w:lineRule="exact"/>
        <w:ind w:firstLine="420"/>
        <w:rPr>
          <w:rFonts w:ascii="Times New Roman" w:hAnsi="Times New Roman" w:cs="Times New Roman"/>
          <w:szCs w:val="21"/>
        </w:rPr>
      </w:pPr>
    </w:p>
    <w:p>
      <w:pPr>
        <w:pStyle w:val="2"/>
        <w:rPr>
          <w:rFonts w:ascii="Times New Roman" w:hAnsi="Times New Roman" w:cs="Times New Roman"/>
          <w:szCs w:val="21"/>
        </w:rPr>
      </w:pPr>
    </w:p>
    <w:p/>
    <w:p>
      <w:pPr>
        <w:pStyle w:val="2"/>
        <w:rPr>
          <w:rFonts w:ascii="Times New Roman" w:hAnsi="Times New Roman" w:cs="Times New Roman"/>
          <w:szCs w:val="21"/>
        </w:rPr>
      </w:pPr>
    </w:p>
    <w:p>
      <w:pPr>
        <w:pStyle w:val="2"/>
        <w:rPr>
          <w:rFonts w:ascii="Times New Roman" w:hAnsi="Times New Roman" w:cs="Times New Roman"/>
          <w:szCs w:val="21"/>
        </w:rPr>
      </w:pPr>
    </w:p>
    <w:p>
      <w:pPr>
        <w:pStyle w:val="3"/>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6</w:t>
      </w:r>
      <w:r>
        <w:rPr>
          <w:rFonts w:hint="eastAsia" w:ascii="黑体" w:hAnsi="黑体" w:eastAsia="黑体" w:cs="黑体"/>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0"/>
              <w:szCs w:val="22"/>
            </w:rPr>
            <w:fldChar w:fldCharType="begin"/>
          </w:r>
          <w:r>
            <w:rPr>
              <w:rFonts w:hint="default" w:ascii="Times New Roman" w:hAnsi="Times New Roman" w:eastAsia="宋体" w:cs="Times New Roman"/>
              <w:sz w:val="20"/>
              <w:szCs w:val="22"/>
            </w:rPr>
            <w:instrText xml:space="preserve">TOC \o "1-1" \h \u </w:instrText>
          </w:r>
          <w:r>
            <w:rPr>
              <w:rFonts w:hint="default" w:ascii="Times New Roman" w:hAnsi="Times New Roman" w:eastAsia="宋体" w:cs="Times New Roman"/>
              <w:sz w:val="20"/>
              <w:szCs w:val="22"/>
            </w:rPr>
            <w:fldChar w:fldCharType="separate"/>
          </w: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_Toc23966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第一章 采购公告</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_Toc23966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_Toc26240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第二章 供应商须知</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_Toc26240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_Toc2394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第三章 评审办法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15</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_Toc25343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第四章 </w:t>
          </w:r>
          <w:r>
            <w:rPr>
              <w:rFonts w:hint="default" w:ascii="Times New Roman" w:hAnsi="Times New Roman" w:eastAsia="宋体" w:cs="Times New Roman"/>
              <w:sz w:val="24"/>
              <w:szCs w:val="32"/>
            </w:rPr>
            <w:t>合同内容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_Toc25343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22</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_Toc24422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第五章 供货要</w:t>
          </w:r>
          <w:r>
            <w:rPr>
              <w:rFonts w:hint="default" w:ascii="Times New Roman" w:hAnsi="Times New Roman" w:eastAsia="宋体" w:cs="Times New Roman"/>
              <w:sz w:val="24"/>
              <w:szCs w:val="32"/>
            </w:rPr>
            <w:t>求及清单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_Toc24422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0"/>
              <w:szCs w:val="2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_Toc7773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第六章 </w:t>
          </w:r>
          <w:r>
            <w:rPr>
              <w:rFonts w:hint="default" w:ascii="Times New Roman" w:hAnsi="Times New Roman" w:eastAsia="宋体" w:cs="Times New Roman"/>
              <w:sz w:val="24"/>
              <w:szCs w:val="32"/>
            </w:rPr>
            <w:t>响应文件格式</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_Toc7773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37</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fldChar w:fldCharType="end"/>
          </w:r>
        </w:p>
      </w:sdtContent>
    </w:sdt>
    <w:p>
      <w:pPr>
        <w:jc w:val="center"/>
        <w:rPr>
          <w:rFonts w:ascii="宋体" w:hAnsi="宋体" w:eastAsia="宋体"/>
        </w:rPr>
      </w:pPr>
    </w:p>
    <w:p>
      <w:pPr>
        <w:jc w:val="center"/>
        <w:rPr>
          <w:rFonts w:ascii="宋体" w:hAnsi="宋体" w:eastAsia="宋体"/>
        </w:rPr>
      </w:pPr>
    </w:p>
    <w:p>
      <w:pPr>
        <w:pStyle w:val="5"/>
        <w:spacing w:before="312" w:after="312"/>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5"/>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24354_WPSOffice_Level2"/>
      <w:bookmarkStart w:id="3" w:name="_Toc525632585"/>
      <w:bookmarkStart w:id="4" w:name="_Toc13871"/>
      <w:bookmarkStart w:id="5" w:name="_Toc4489_WPSOffice_Level2"/>
      <w:bookmarkStart w:id="6" w:name="_Toc10395_WPSOffice_Level2"/>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u w:val="single"/>
          <w:lang w:val="en-US" w:eastAsia="zh-CN"/>
        </w:rPr>
        <w:t>合安中心新开通青草收费站家具设备采购项目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eastAsia" w:ascii="Times New Roman" w:hAnsi="Times New Roman" w:eastAsia="宋体" w:cs="Times New Roman"/>
          <w:sz w:val="21"/>
          <w:szCs w:val="21"/>
          <w:u w:val="single"/>
          <w:lang w:val="en-US" w:eastAsia="zh-CN"/>
        </w:rPr>
        <w:t>合安中心新开通青草收费站家具设备采购项目</w:t>
      </w:r>
      <w:r>
        <w:rPr>
          <w:rFonts w:hint="default" w:ascii="Times New Roman" w:hAnsi="Times New Roman" w:eastAsia="宋体" w:cs="Times New Roman"/>
          <w:kern w:val="0"/>
          <w:sz w:val="21"/>
          <w:szCs w:val="21"/>
          <w:highlight w:val="none"/>
          <w:u w:val="none"/>
          <w:lang w:eastAsia="zh-CN"/>
        </w:rPr>
        <w:t>。</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10274"/>
      <w:bookmarkStart w:id="10" w:name="_Toc17858_WPSOffice_Level2"/>
      <w:bookmarkStart w:id="11" w:name="_Toc8128_WPSOffice_Level2"/>
      <w:bookmarkStart w:id="12" w:name="_Toc23266_WPSOffice_Level2"/>
      <w:bookmarkStart w:id="13" w:name="_Toc18367_WPSOffice_Level2"/>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eastAsia" w:ascii="Times New Roman" w:hAnsi="Times New Roman" w:eastAsia="宋体" w:cs="Times New Roman"/>
          <w:color w:val="auto"/>
          <w:szCs w:val="21"/>
          <w:highlight w:val="none"/>
          <w:u w:val="single"/>
          <w:lang w:val="en-US" w:eastAsia="zh-CN"/>
        </w:rPr>
        <w:t>家居设备</w:t>
      </w:r>
      <w:r>
        <w:rPr>
          <w:rFonts w:hint="default" w:ascii="Times New Roman" w:hAnsi="Times New Roman" w:eastAsia="宋体" w:cs="Times New Roman"/>
          <w:color w:val="auto"/>
          <w:szCs w:val="21"/>
          <w:highlight w:val="none"/>
          <w:u w:val="single"/>
          <w:lang w:val="en-US" w:eastAsia="zh-CN"/>
        </w:rPr>
        <w:t>，具体详见第五章供货要求及清单。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详见工程量清单。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42</w:t>
      </w:r>
      <w:r>
        <w:rPr>
          <w:rFonts w:hint="default" w:ascii="Times New Roman" w:hAnsi="Times New Roman" w:eastAsia="宋体" w:cs="Times New Roman"/>
          <w:color w:val="auto"/>
          <w:szCs w:val="21"/>
          <w:highlight w:val="none"/>
          <w:u w:val="single"/>
          <w:lang w:val="en-US" w:eastAsia="zh-CN"/>
        </w:rPr>
        <w:t>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single"/>
          <w:lang w:val="en-US" w:eastAsia="zh-CN"/>
        </w:rPr>
        <w:t>在</w:t>
      </w:r>
      <w:r>
        <w:rPr>
          <w:rFonts w:hint="default" w:ascii="Times New Roman" w:hAnsi="Times New Roman" w:eastAsia="宋体" w:cs="Times New Roman"/>
          <w:color w:val="auto"/>
          <w:kern w:val="0"/>
          <w:sz w:val="21"/>
          <w:szCs w:val="21"/>
          <w:highlight w:val="none"/>
          <w:u w:val="single"/>
        </w:rPr>
        <w:t>接到甲方通知之日起</w:t>
      </w:r>
      <w:r>
        <w:rPr>
          <w:rFonts w:hint="default" w:ascii="Times New Roman" w:hAnsi="Times New Roman" w:eastAsia="宋体" w:cs="Times New Roman"/>
          <w:color w:val="auto"/>
          <w:kern w:val="0"/>
          <w:sz w:val="21"/>
          <w:szCs w:val="21"/>
          <w:highlight w:val="none"/>
          <w:u w:val="single"/>
          <w:lang w:val="en-US" w:eastAsia="zh-CN"/>
        </w:rPr>
        <w:t>20</w:t>
      </w:r>
      <w:r>
        <w:rPr>
          <w:rFonts w:hint="default" w:ascii="Times New Roman" w:hAnsi="Times New Roman" w:eastAsia="宋体" w:cs="Times New Roman"/>
          <w:color w:val="auto"/>
          <w:kern w:val="0"/>
          <w:sz w:val="21"/>
          <w:szCs w:val="21"/>
          <w:highlight w:val="none"/>
          <w:u w:val="single"/>
        </w:rPr>
        <w:t>个日历天内交货并安装</w:t>
      </w:r>
      <w:r>
        <w:rPr>
          <w:rFonts w:hint="default" w:ascii="Times New Roman" w:hAnsi="Times New Roman" w:eastAsia="宋体" w:cs="Times New Roman"/>
          <w:color w:val="auto"/>
          <w:kern w:val="0"/>
          <w:sz w:val="21"/>
          <w:szCs w:val="21"/>
          <w:highlight w:val="none"/>
          <w:u w:val="single"/>
          <w:lang w:val="en-US" w:eastAsia="zh-CN"/>
        </w:rPr>
        <w:t>完成</w:t>
      </w:r>
      <w:r>
        <w:rPr>
          <w:rFonts w:hint="default" w:ascii="Times New Roman" w:hAnsi="Times New Roman" w:eastAsia="宋体" w:cs="Times New Roman"/>
          <w:color w:val="auto"/>
          <w:kern w:val="0"/>
          <w:sz w:val="21"/>
          <w:szCs w:val="21"/>
          <w:highlight w:val="none"/>
          <w:u w:val="single"/>
          <w:lang w:eastAsia="zh-CN"/>
        </w:rPr>
        <w:t>。</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6388"/>
      <w:bookmarkStart w:id="19" w:name="_Toc3714"/>
      <w:bookmarkStart w:id="20" w:name="_Toc22379_WPSOffice_Level2"/>
      <w:bookmarkStart w:id="21" w:name="_Toc29516_WPSOffice_Level2"/>
      <w:bookmarkStart w:id="22" w:name="_Toc1622_WPSOffice_Level2"/>
      <w:bookmarkStart w:id="23" w:name="_Toc525632587"/>
      <w:bookmarkStart w:id="24" w:name="_Toc31673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color w:val="auto"/>
          <w:szCs w:val="22"/>
        </w:rPr>
      </w:pPr>
      <w:r>
        <w:rPr>
          <w:rFonts w:hint="default" w:ascii="Times New Roman" w:hAnsi="Times New Roman" w:cs="Times New Roman" w:eastAsiaTheme="minorEastAsia"/>
          <w:b w:val="0"/>
          <w:bCs w:val="0"/>
          <w:color w:val="auto"/>
          <w:szCs w:val="22"/>
          <w:lang w:val="en-US" w:eastAsia="zh-CN"/>
        </w:rPr>
        <w:t>（1）</w:t>
      </w:r>
      <w:r>
        <w:rPr>
          <w:rFonts w:hint="default" w:ascii="Times New Roman" w:hAnsi="Times New Roman" w:cs="Times New Roman" w:eastAsiaTheme="minorEastAsia"/>
          <w:b w:val="0"/>
          <w:bCs w:val="0"/>
          <w:color w:val="auto"/>
          <w:szCs w:val="22"/>
        </w:rPr>
        <w:t>资质最低要求：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color w:val="auto"/>
          <w:szCs w:val="22"/>
          <w:lang w:eastAsia="zh-CN"/>
        </w:rPr>
      </w:pPr>
      <w:r>
        <w:rPr>
          <w:rFonts w:hint="default" w:ascii="Times New Roman" w:hAnsi="Times New Roman" w:cs="Times New Roman" w:eastAsiaTheme="minorEastAsia"/>
          <w:b w:val="0"/>
          <w:bCs w:val="0"/>
          <w:color w:val="auto"/>
          <w:szCs w:val="22"/>
        </w:rPr>
        <w:t>具有独立完成本项目相关能力</w:t>
      </w:r>
      <w:r>
        <w:rPr>
          <w:rFonts w:hint="default" w:ascii="Times New Roman" w:hAnsi="Times New Roman" w:cs="Times New Roman" w:eastAsiaTheme="minorEastAsia"/>
          <w:b w:val="0"/>
          <w:bCs w:val="0"/>
          <w:color w:val="auto"/>
          <w:szCs w:val="22"/>
          <w:lang w:eastAsia="zh-CN"/>
        </w:rPr>
        <w:t>，</w:t>
      </w:r>
      <w:r>
        <w:rPr>
          <w:rFonts w:hint="default" w:ascii="Times New Roman" w:hAnsi="Times New Roman" w:cs="Times New Roman" w:eastAsiaTheme="minorEastAsia"/>
          <w:b w:val="0"/>
          <w:bCs w:val="0"/>
          <w:color w:val="auto"/>
          <w:szCs w:val="22"/>
        </w:rPr>
        <w:t>具备独立法人资格，持有有效的营业执照</w:t>
      </w:r>
      <w:r>
        <w:rPr>
          <w:rFonts w:hint="default" w:ascii="Times New Roman" w:hAnsi="Times New Roman" w:cs="Times New Roman" w:eastAsiaTheme="minorEastAsia"/>
          <w:b w:val="0"/>
          <w:bCs w:val="0"/>
          <w:color w:val="auto"/>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至少提供1个自2021年1月1日以来，单项合同额不低于</w:t>
      </w:r>
      <w:r>
        <w:rPr>
          <w:rFonts w:hint="eastAsia" w:ascii="Times New Roman" w:hAnsi="Times New Roman" w:cs="Times New Roman"/>
          <w:b w:val="0"/>
          <w:bCs w:val="0"/>
          <w:color w:val="auto"/>
          <w:highlight w:val="none"/>
          <w:u w:val="single"/>
          <w:lang w:val="en-US" w:eastAsia="zh-CN"/>
        </w:rPr>
        <w:t>40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家具</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w:t>
      </w:r>
      <w:r>
        <w:rPr>
          <w:rFonts w:hint="default" w:ascii="Times New Roman" w:hAnsi="Times New Roman" w:cs="Times New Roman" w:eastAsiaTheme="minorEastAsia"/>
          <w:kern w:val="2"/>
          <w:sz w:val="21"/>
          <w:szCs w:val="24"/>
          <w:lang w:val="en-US" w:eastAsia="zh-CN" w:bidi="ar-SA"/>
        </w:rPr>
        <w:t>的（如合同金额、合同签订时间、供货内容等），则须提供业主单位（甲方）出具加盖公章的证明材料复印件。</w:t>
      </w:r>
    </w:p>
    <w:p>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25666_WPSOffice_Level2"/>
      <w:bookmarkStart w:id="27" w:name="_Toc4751"/>
      <w:bookmarkStart w:id="28" w:name="_Toc29452_WPSOffice_Level2"/>
      <w:bookmarkStart w:id="29" w:name="_Toc4109_WPSOffice_Level2"/>
      <w:bookmarkStart w:id="30" w:name="_Toc1994"/>
      <w:bookmarkStart w:id="31" w:name="_Toc525632588"/>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0"/>
          <w:sz w:val="21"/>
          <w:szCs w:val="21"/>
          <w:highlight w:val="none"/>
          <w:lang w:val="en-US" w:eastAsia="zh-CN" w:bidi="ar-SA"/>
        </w:rPr>
      </w:pPr>
      <w:bookmarkStart w:id="32" w:name="_Toc525632589"/>
      <w:bookmarkStart w:id="33" w:name="_Toc726"/>
      <w:r>
        <w:rPr>
          <w:rFonts w:hint="default" w:ascii="Times New Roman" w:hAnsi="Times New Roman" w:eastAsia="宋体" w:cs="Times New Roman"/>
          <w:kern w:val="0"/>
          <w:sz w:val="21"/>
          <w:szCs w:val="21"/>
          <w:highlight w:val="none"/>
          <w:lang w:val="en-US" w:eastAsia="zh-CN" w:bidi="ar-SA"/>
        </w:rPr>
        <w:t>供应商应在递交响应文件的截止时间前</w:t>
      </w:r>
      <w:r>
        <w:rPr>
          <w:rFonts w:hint="default" w:ascii="Times New Roman" w:hAnsi="Times New Roman" w:cs="Times New Roman"/>
          <w:kern w:val="0"/>
          <w:sz w:val="21"/>
          <w:szCs w:val="21"/>
          <w:highlight w:val="none"/>
          <w:lang w:val="en-US" w:eastAsia="zh-CN" w:bidi="ar-SA"/>
        </w:rPr>
        <w:t>查询公告</w:t>
      </w:r>
      <w:r>
        <w:rPr>
          <w:rFonts w:hint="default" w:ascii="Times New Roman" w:hAnsi="Times New Roman" w:eastAsia="宋体" w:cs="Times New Roman"/>
          <w:kern w:val="0"/>
          <w:sz w:val="21"/>
          <w:szCs w:val="21"/>
          <w:highlight w:val="none"/>
          <w:lang w:val="en-US" w:eastAsia="zh-CN" w:bidi="ar-SA"/>
        </w:rPr>
        <w:t>，自行下载询比文件及相关资料（含澄清、补遗及相关补充文件）。未按规定下载询比文件的，后续将不予接受其响应文件。</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none"/>
          <w:u w:val="single"/>
          <w:lang w:val="en-US" w:eastAsia="zh-CN" w:bidi="ar-SA"/>
        </w:rPr>
        <w:t>2024</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6</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7</w:t>
      </w:r>
      <w:r>
        <w:rPr>
          <w:rFonts w:hint="default" w:ascii="Times New Roman" w:hAnsi="Times New Roman" w:eastAsia="宋体" w:cs="Times New Roman"/>
          <w:b/>
          <w:bCs/>
          <w:color w:val="auto"/>
          <w:kern w:val="0"/>
          <w:sz w:val="21"/>
          <w:szCs w:val="21"/>
          <w:highlight w:val="none"/>
          <w:lang w:val="en-US" w:eastAsia="zh-CN" w:bidi="ar-SA"/>
        </w:rPr>
        <w:t>日</w:t>
      </w:r>
      <w:r>
        <w:rPr>
          <w:rFonts w:hint="default" w:ascii="Times New Roman" w:hAnsi="Times New Roman" w:eastAsia="宋体" w:cs="Times New Roman"/>
          <w:b/>
          <w:bCs/>
          <w:color w:val="auto"/>
          <w:kern w:val="0"/>
          <w:sz w:val="21"/>
          <w:szCs w:val="21"/>
          <w:highlight w:val="none"/>
          <w:u w:val="single"/>
          <w:lang w:val="en-US" w:eastAsia="zh-CN" w:bidi="ar-SA"/>
        </w:rPr>
        <w:t>1</w:t>
      </w:r>
      <w:r>
        <w:rPr>
          <w:rFonts w:hint="eastAsia" w:ascii="Times New Roman" w:hAnsi="Times New Roman" w:eastAsia="宋体" w:cs="Times New Roman"/>
          <w:b/>
          <w:bCs/>
          <w:color w:val="auto"/>
          <w:kern w:val="0"/>
          <w:sz w:val="21"/>
          <w:szCs w:val="21"/>
          <w:highlight w:val="none"/>
          <w:u w:val="single"/>
          <w:lang w:val="en-US" w:eastAsia="zh-CN" w:bidi="ar-SA"/>
        </w:rPr>
        <w:t>0</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0</w:t>
      </w:r>
      <w:r>
        <w:rPr>
          <w:rFonts w:hint="default" w:ascii="Times New Roman" w:hAnsi="Times New Roman" w:eastAsia="宋体" w:cs="Times New Roman"/>
          <w:b/>
          <w:bCs/>
          <w:color w:val="auto"/>
          <w:kern w:val="0"/>
          <w:sz w:val="21"/>
          <w:szCs w:val="21"/>
          <w:highlight w:val="none"/>
          <w:u w:val="single"/>
          <w:lang w:val="en-US" w:eastAsia="zh-CN" w:bidi="ar-SA"/>
        </w:rPr>
        <w:t>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本项目响应保证金：</w:t>
      </w:r>
      <w:r>
        <w:rPr>
          <w:rFonts w:hint="eastAsia" w:ascii="Times New Roman" w:hAnsi="Times New Roman" w:eastAsia="宋体" w:cs="Times New Roman"/>
          <w:b/>
          <w:bCs/>
          <w:kern w:val="2"/>
          <w:sz w:val="21"/>
          <w:szCs w:val="21"/>
          <w:highlight w:val="none"/>
          <w:u w:val="single"/>
          <w:lang w:val="en-US" w:eastAsia="zh-CN" w:bidi="ar-SA"/>
        </w:rPr>
        <w:t xml:space="preserve"> / </w:t>
      </w:r>
      <w:r>
        <w:rPr>
          <w:rFonts w:hint="default" w:ascii="Times New Roman" w:hAnsi="Times New Roman" w:eastAsia="宋体" w:cs="Times New Roman"/>
          <w:b/>
          <w:bCs/>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报价方应向询价方以下账户递交询价响应保证金，以转账方式从报价方账户转出</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eastAsia="宋体" w:cs="Times New Roman"/>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both"/>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汇款或转账时，报价方必须在付款凭证备注栏中注明</w:t>
      </w:r>
      <w:r>
        <w:rPr>
          <w:rFonts w:hint="default" w:ascii="Times New Roman" w:hAnsi="Times New Roman" w:eastAsia="宋体" w:cs="Times New Roman"/>
          <w:b/>
          <w:bCs/>
          <w:kern w:val="2"/>
          <w:sz w:val="21"/>
          <w:szCs w:val="21"/>
          <w:highlight w:val="none"/>
          <w:u w:val="single"/>
          <w:lang w:val="en-US" w:eastAsia="zh-CN" w:bidi="ar-SA"/>
        </w:rPr>
        <w:t>“</w:t>
      </w:r>
      <w:r>
        <w:rPr>
          <w:rFonts w:hint="eastAsia" w:ascii="Times New Roman" w:hAnsi="Times New Roman" w:eastAsia="宋体" w:cs="Times New Roman"/>
          <w:b/>
          <w:bCs/>
          <w:kern w:val="2"/>
          <w:sz w:val="21"/>
          <w:szCs w:val="21"/>
          <w:highlight w:val="none"/>
          <w:u w:val="single"/>
          <w:lang w:val="en-US" w:eastAsia="zh-CN" w:bidi="ar-SA"/>
        </w:rPr>
        <w:t>家具设备</w:t>
      </w:r>
      <w:r>
        <w:rPr>
          <w:rFonts w:hint="default" w:ascii="Times New Roman" w:hAnsi="Times New Roman" w:eastAsia="宋体" w:cs="Times New Roman"/>
          <w:b/>
          <w:bCs/>
          <w:kern w:val="2"/>
          <w:sz w:val="21"/>
          <w:szCs w:val="21"/>
          <w:highlight w:val="none"/>
          <w:u w:val="single"/>
          <w:lang w:val="en-US" w:eastAsia="zh-CN" w:bidi="ar-SA"/>
        </w:rPr>
        <w:t>采购项目”</w:t>
      </w:r>
      <w:r>
        <w:rPr>
          <w:rFonts w:hint="default" w:ascii="Times New Roman" w:hAnsi="Times New Roman" w:eastAsia="宋体" w:cs="Times New Roman"/>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default" w:ascii="Times New Roman" w:hAnsi="Times New Roman" w:eastAsia="宋体" w:cs="Times New Roman"/>
          <w:b/>
          <w:bCs/>
          <w:kern w:val="2"/>
          <w:sz w:val="21"/>
          <w:szCs w:val="21"/>
          <w:highlight w:val="none"/>
          <w:u w:val="single"/>
          <w:lang w:val="en-US" w:eastAsia="zh-CN" w:bidi="ar-SA"/>
        </w:rPr>
        <w:t>投标截止时间前一个小时到账，否则无效</w:t>
      </w:r>
      <w:r>
        <w:rPr>
          <w:rFonts w:hint="default" w:ascii="Times New Roman" w:hAnsi="Times New Roman" w:eastAsia="宋体" w:cs="Times New Roman"/>
          <w:kern w:val="2"/>
          <w:sz w:val="21"/>
          <w:szCs w:val="21"/>
          <w:highlight w:val="none"/>
          <w:lang w:val="en-US" w:eastAsia="zh-CN" w:bidi="ar-SA"/>
        </w:rPr>
        <w:t xml:space="preserve">。 </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bookmarkStart w:id="36" w:name="_Toc8501"/>
      <w:bookmarkStart w:id="37" w:name="_Toc28571_WPSOffice_Level2"/>
      <w:bookmarkStart w:id="38" w:name="_Toc26829"/>
      <w:bookmarkStart w:id="39" w:name="_Toc20572_WPSOffice_Level2"/>
      <w:bookmarkStart w:id="40" w:name="_Toc14943_WPSOffice_Level2"/>
      <w:bookmarkStart w:id="41" w:name="_Toc321_WPSOffice_Level2"/>
      <w:bookmarkStart w:id="42" w:name="_Toc525632592"/>
      <w:r>
        <w:rPr>
          <w:rFonts w:hint="default" w:ascii="Times New Roman" w:hAnsi="Times New Roman" w:eastAsia="宋体" w:cs="Times New Roman"/>
          <w:kern w:val="2"/>
          <w:sz w:val="21"/>
          <w:szCs w:val="21"/>
          <w:lang w:val="en-US" w:eastAsia="zh-CN" w:bidi="ar-SA"/>
        </w:rPr>
        <w:t>本次采购公告在安徽交控建设工程集团</w:t>
      </w:r>
      <w:r>
        <w:rPr>
          <w:rFonts w:hint="default" w:ascii="Times New Roman" w:hAnsi="Times New Roman" w:cs="Times New Roman"/>
          <w:kern w:val="2"/>
          <w:sz w:val="21"/>
          <w:szCs w:val="21"/>
          <w:lang w:val="en-US" w:eastAsia="zh-CN" w:bidi="ar-SA"/>
        </w:rPr>
        <w:t>有限公司</w:t>
      </w:r>
      <w:r>
        <w:rPr>
          <w:rFonts w:hint="default" w:ascii="Times New Roman" w:hAnsi="Times New Roman" w:eastAsia="宋体" w:cs="Times New Roman"/>
          <w:kern w:val="2"/>
          <w:sz w:val="21"/>
          <w:szCs w:val="21"/>
          <w:lang w:val="en-US" w:eastAsia="zh-CN" w:bidi="ar-SA"/>
        </w:rPr>
        <w:t>（网址：http://www.ahjggroup.com）、安徽省阳光采购服务平台（网址：http://ygcg.ahbc.com.cn）上发布。</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u w:val="single"/>
          <w:lang w:val="en-US" w:eastAsia="zh-CN"/>
        </w:rPr>
        <w:t xml:space="preserve">     高工、周工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rPr>
        <w:t>电    话：</w:t>
      </w:r>
      <w:r>
        <w:rPr>
          <w:rFonts w:hint="default" w:ascii="Times New Roman" w:hAnsi="Times New Roman" w:eastAsia="宋体" w:cs="Times New Roman"/>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电子邮箱：</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5"/>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19501"/>
      <w:bookmarkStart w:id="45" w:name="_Toc55466811"/>
      <w:bookmarkStart w:id="46" w:name="_Toc29381_WPSOffice_Level2"/>
      <w:bookmarkStart w:id="47" w:name="_Toc26656928"/>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1971"/>
        <w:gridCol w:w="6210"/>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pageBreakBefore w:val="0"/>
              <w:widowControl/>
              <w:kinsoku/>
              <w:wordWrap/>
              <w:overflowPunct/>
              <w:topLinePunct w:val="0"/>
              <w:autoSpaceDE/>
              <w:autoSpaceDN/>
              <w:bidi w:val="0"/>
              <w:adjustRightInd/>
              <w:spacing w:line="240" w:lineRule="auto"/>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621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cs="Times New Roman"/>
              </w:rPr>
            </w:pPr>
            <w:r>
              <w:rPr>
                <w:rFonts w:hint="eastAsia" w:ascii="Times New Roman" w:hAnsi="Times New Roman" w:cs="Times New Roman"/>
              </w:rPr>
              <w:t>响应文件副本份数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19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7.4.1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履约保证金</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（1）金额：中标后，响应保证金自动转为履约保证金。如响应保证金不收钱免收，履约保证金同理。</w:t>
            </w:r>
          </w:p>
          <w:p>
            <w:pPr>
              <w:keepNext w:val="0"/>
              <w:keepLines w:val="0"/>
              <w:pageBreakBefore w:val="0"/>
              <w:kinsoku/>
              <w:wordWrap/>
              <w:overflowPunct/>
              <w:topLinePunct w:val="0"/>
              <w:autoSpaceDE/>
              <w:autoSpaceDN/>
              <w:bidi w:val="0"/>
              <w:adjustRightInd/>
              <w:snapToGrid w:val="0"/>
              <w:spacing w:line="240" w:lineRule="auto"/>
              <w:rPr>
                <w:color w:val="auto"/>
                <w:highlight w:val="none"/>
              </w:rPr>
            </w:pPr>
            <w:r>
              <w:rPr>
                <w:rFonts w:hint="eastAsia" w:ascii="宋体" w:hAnsi="宋体" w:eastAsia="宋体" w:cs="宋体"/>
                <w:color w:val="auto"/>
                <w:kern w:val="2"/>
                <w:sz w:val="21"/>
                <w:szCs w:val="21"/>
                <w:highlight w:val="none"/>
                <w:lang w:val="en-US" w:eastAsia="zh-CN" w:bidi="ar-SA"/>
              </w:rPr>
              <w:t>（2）退还时间：该项目物资供应整体验收完成后28天内。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（1）异议人的名称、地址及有效联系方式；</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（2）异议事项的基本事实；</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（3）有效线索和相关证明材料。</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val="0"/>
                <w:bCs w:val="0"/>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b/>
                <w:bCs/>
                <w:color w:val="auto"/>
                <w:highlight w:val="none"/>
                <w:lang w:val="en-US" w:eastAsia="zh-CN"/>
              </w:rPr>
            </w:pPr>
            <w:r>
              <w:rPr>
                <w:rFonts w:hint="eastAsia" w:asciiTheme="minorHAnsi" w:eastAsiaTheme="minorEastAsia"/>
                <w:b/>
                <w:bCs/>
                <w:color w:val="auto"/>
                <w:highlight w:val="none"/>
                <w:lang w:val="en-US" w:eastAsia="zh-CN"/>
              </w:rPr>
              <w:t>1.拟中标单位</w:t>
            </w:r>
            <w:r>
              <w:rPr>
                <w:rFonts w:hint="eastAsia"/>
                <w:b/>
                <w:bCs/>
                <w:color w:val="auto"/>
                <w:highlight w:val="none"/>
                <w:lang w:val="en-US" w:eastAsia="zh-CN"/>
              </w:rPr>
              <w:t>提供材料颜色要求</w:t>
            </w:r>
            <w:r>
              <w:rPr>
                <w:rFonts w:hint="eastAsia" w:asciiTheme="minorHAnsi" w:eastAsiaTheme="minorEastAsia"/>
                <w:b/>
                <w:bCs/>
                <w:color w:val="auto"/>
                <w:highlight w:val="none"/>
                <w:lang w:val="en-US" w:eastAsia="zh-CN"/>
              </w:rPr>
              <w:t>、材质要求</w:t>
            </w:r>
            <w:r>
              <w:rPr>
                <w:rFonts w:hint="eastAsia"/>
                <w:b/>
                <w:bCs/>
                <w:color w:val="auto"/>
                <w:highlight w:val="none"/>
                <w:lang w:val="en-US" w:eastAsia="zh-CN"/>
              </w:rPr>
              <w:t>、工艺要求</w:t>
            </w:r>
            <w:r>
              <w:rPr>
                <w:rFonts w:hint="eastAsia" w:asciiTheme="minorHAnsi" w:eastAsiaTheme="minorEastAsia"/>
                <w:b/>
                <w:bCs/>
                <w:color w:val="auto"/>
                <w:highlight w:val="none"/>
                <w:lang w:val="en-US" w:eastAsia="zh-CN"/>
              </w:rPr>
              <w:t>等须经采购人确认，</w:t>
            </w:r>
            <w:r>
              <w:rPr>
                <w:rFonts w:hint="eastAsia" w:ascii="Times New Roman" w:eastAsia="宋体"/>
                <w:b/>
                <w:bCs/>
                <w:color w:val="auto"/>
                <w:highlight w:val="none"/>
                <w:lang w:val="en-US" w:eastAsia="zh-CN"/>
              </w:rPr>
              <w:t>如达不到采购人要求的：</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color w:val="auto"/>
                <w:lang w:val="en-US" w:eastAsia="zh-CN"/>
              </w:rPr>
            </w:pPr>
            <w:r>
              <w:rPr>
                <w:rFonts w:hint="eastAsia" w:asciiTheme="minorHAnsi" w:eastAsiaTheme="minorEastAsia"/>
                <w:color w:val="auto"/>
                <w:lang w:val="en-US" w:eastAsia="zh-CN"/>
              </w:rPr>
              <w:t>1）采购人有权终止合同，并依据合同规定追究法律责任。</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asciiTheme="minorHAnsi" w:eastAsiaTheme="minorEastAsia"/>
                <w:color w:val="auto"/>
                <w:lang w:val="en-US" w:eastAsia="zh-CN"/>
              </w:rPr>
            </w:pPr>
            <w:r>
              <w:rPr>
                <w:rFonts w:hint="eastAsia" w:asciiTheme="minorHAnsi" w:eastAsiaTheme="minorEastAsia"/>
                <w:color w:val="auto"/>
                <w:lang w:val="en-US" w:eastAsia="zh-CN"/>
              </w:rPr>
              <w:t>2）采购人有权将违约行为有权按照约定进行处罚。</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olor w:val="auto"/>
                <w:lang w:val="en-US" w:eastAsia="zh-CN"/>
              </w:rPr>
            </w:pPr>
            <w:r>
              <w:rPr>
                <w:rFonts w:hint="eastAsia"/>
                <w:color w:val="auto"/>
                <w:lang w:val="en-US" w:eastAsia="zh-CN"/>
              </w:rPr>
              <w:t>3）</w:t>
            </w:r>
            <w:r>
              <w:rPr>
                <w:rFonts w:hint="eastAsia" w:asciiTheme="minorHAnsi" w:eastAsiaTheme="minorEastAsia"/>
                <w:color w:val="auto"/>
                <w:lang w:val="en-US" w:eastAsia="zh-CN"/>
              </w:rPr>
              <w:t>采购人有权</w:t>
            </w:r>
            <w:r>
              <w:rPr>
                <w:rFonts w:hint="eastAsia"/>
                <w:color w:val="auto"/>
                <w:lang w:val="en-US" w:eastAsia="zh-CN"/>
              </w:rPr>
              <w:t>将未完成的工程量移交给第三方实施（另一包段优先），供应商应无条件配合相关移交工作。</w:t>
            </w:r>
          </w:p>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color w:val="auto"/>
                <w:lang w:val="en-US" w:eastAsia="zh-CN"/>
              </w:rPr>
            </w:pPr>
            <w:r>
              <w:rPr>
                <w:rFonts w:hint="eastAsia" w:asciiTheme="minorHAnsi" w:eastAsiaTheme="minorEastAsia"/>
                <w:color w:val="auto"/>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stheme="minorBidi"/>
                <w:b/>
                <w:bCs/>
                <w:color w:val="auto"/>
                <w:kern w:val="2"/>
                <w:sz w:val="21"/>
                <w:szCs w:val="24"/>
                <w:lang w:val="en-US" w:eastAsia="zh-CN" w:bidi="ar-SA"/>
              </w:rPr>
            </w:pPr>
            <w:r>
              <w:rPr>
                <w:rFonts w:hint="eastAsia" w:cstheme="minorBidi"/>
                <w:b/>
                <w:bCs/>
                <w:color w:val="auto"/>
                <w:kern w:val="2"/>
                <w:sz w:val="21"/>
                <w:szCs w:val="24"/>
                <w:lang w:val="en-US" w:eastAsia="zh-CN" w:bidi="ar-SA"/>
              </w:rPr>
              <w:t>3</w:t>
            </w:r>
            <w:r>
              <w:rPr>
                <w:rFonts w:hint="eastAsia" w:asciiTheme="minorHAnsi" w:hAnsiTheme="minorHAnsi" w:eastAsiaTheme="minorEastAsia" w:cstheme="minorBidi"/>
                <w:b/>
                <w:bCs/>
                <w:color w:val="auto"/>
                <w:kern w:val="2"/>
                <w:sz w:val="21"/>
                <w:szCs w:val="24"/>
                <w:lang w:val="en-US" w:eastAsia="zh-CN" w:bidi="ar-SA"/>
              </w:rPr>
              <w:t>.报价完全考虑</w:t>
            </w:r>
            <w:r>
              <w:rPr>
                <w:rFonts w:hint="eastAsia" w:cstheme="minorBidi"/>
                <w:b/>
                <w:bCs/>
                <w:color w:val="auto"/>
                <w:kern w:val="2"/>
                <w:sz w:val="21"/>
                <w:szCs w:val="24"/>
                <w:lang w:val="en-US" w:eastAsia="zh-CN" w:bidi="ar-SA"/>
              </w:rPr>
              <w:t>报价</w:t>
            </w:r>
            <w:r>
              <w:rPr>
                <w:rFonts w:hint="eastAsia" w:asciiTheme="minorHAnsi" w:hAnsiTheme="minorHAnsi" w:eastAsiaTheme="minorEastAsia" w:cstheme="minorBidi"/>
                <w:b/>
                <w:bCs/>
                <w:color w:val="auto"/>
                <w:kern w:val="2"/>
                <w:sz w:val="21"/>
                <w:szCs w:val="24"/>
                <w:lang w:val="en-US" w:eastAsia="zh-CN" w:bidi="ar-SA"/>
              </w:rPr>
              <w:t>清单</w:t>
            </w:r>
            <w:r>
              <w:rPr>
                <w:rFonts w:hint="eastAsia" w:cstheme="minorBidi"/>
                <w:b/>
                <w:bCs/>
                <w:color w:val="auto"/>
                <w:kern w:val="2"/>
                <w:sz w:val="21"/>
                <w:szCs w:val="24"/>
                <w:lang w:val="en-US" w:eastAsia="zh-CN" w:bidi="ar-SA"/>
              </w:rPr>
              <w:t>要求</w:t>
            </w:r>
            <w:r>
              <w:rPr>
                <w:rFonts w:hint="eastAsia" w:asciiTheme="minorHAnsi" w:hAnsiTheme="minorHAnsi" w:eastAsiaTheme="minorEastAsia" w:cstheme="minorBidi"/>
                <w:b/>
                <w:bCs/>
                <w:color w:val="auto"/>
                <w:kern w:val="2"/>
                <w:sz w:val="21"/>
                <w:szCs w:val="24"/>
                <w:lang w:val="en-US" w:eastAsia="zh-CN" w:bidi="ar-SA"/>
              </w:rPr>
              <w:t>内容</w:t>
            </w:r>
            <w:r>
              <w:rPr>
                <w:rFonts w:hint="eastAsia" w:cstheme="minorBidi"/>
                <w:b/>
                <w:bCs/>
                <w:color w:val="auto"/>
                <w:kern w:val="2"/>
                <w:sz w:val="21"/>
                <w:szCs w:val="24"/>
                <w:lang w:val="en-US" w:eastAsia="zh-CN" w:bidi="ar-SA"/>
              </w:rPr>
              <w:t>，含清单内要求的品牌，材质，工艺，辅材等。</w:t>
            </w:r>
          </w:p>
          <w:p>
            <w:pPr>
              <w:keepNext w:val="0"/>
              <w:keepLines w:val="0"/>
              <w:pageBreakBefore w:val="0"/>
              <w:kinsoku/>
              <w:wordWrap/>
              <w:overflowPunct/>
              <w:topLinePunct w:val="0"/>
              <w:autoSpaceDE/>
              <w:autoSpaceDN/>
              <w:bidi w:val="0"/>
              <w:adjustRightInd/>
              <w:spacing w:line="240" w:lineRule="auto"/>
              <w:ind w:firstLine="420" w:firstLineChars="200"/>
              <w:jc w:val="left"/>
              <w:rPr>
                <w:rFonts w:hint="default" w:ascii="Times New Roman" w:eastAsia="宋体"/>
                <w:b/>
                <w:bCs/>
                <w:lang w:val="en-US" w:eastAsia="zh-CN"/>
              </w:rPr>
            </w:pPr>
            <w:r>
              <w:rPr>
                <w:rFonts w:hint="eastAsia" w:ascii="Times New Roman" w:eastAsia="宋体"/>
                <w:b/>
                <w:bCs/>
                <w:color w:val="auto"/>
                <w:lang w:val="en-US" w:eastAsia="zh-CN"/>
              </w:rPr>
              <w:t>4.水电费：投标人进场后，施工水电费计量、缴纳方式与物业与管理单位协商，费用请投标人综合考虑在报价范围之内。</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26656938"/>
      <w:bookmarkStart w:id="51" w:name="_Toc9067720"/>
      <w:r>
        <w:rPr>
          <w:rFonts w:ascii="Times New Roman" w:hAnsi="Times New Roman" w:eastAsia="黑体" w:cs="Times New Roman"/>
          <w:bCs/>
          <w:sz w:val="24"/>
          <w:szCs w:val="32"/>
        </w:rPr>
        <w:br w:type="page"/>
      </w: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2"/>
                <w:szCs w:val="22"/>
                <w:highlight w:val="none"/>
              </w:rPr>
              <w:t>具有独立完成本项目相关能力，具备独立法人资格，持有有效的营业执照。</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rPr>
      </w:pP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rPr>
        <w:t>附录2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至少提供1个自2021年1月1日以来，单项合同额不低于40万元的家具设备供应合同业绩。</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rPr>
      </w:pP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附录</w:t>
      </w:r>
      <w:r>
        <w:rPr>
          <w:rFonts w:hint="default" w:ascii="Times New Roman" w:hAnsi="Times New Roman" w:eastAsia="黑体" w:cs="Times New Roman"/>
          <w:sz w:val="24"/>
          <w:szCs w:val="24"/>
          <w:highlight w:val="none"/>
          <w:lang w:val="en-US" w:eastAsia="zh-CN"/>
        </w:rPr>
        <w:t>3</w:t>
      </w:r>
      <w:r>
        <w:rPr>
          <w:rFonts w:hint="default" w:ascii="Times New Roman" w:hAnsi="Times New Roman" w:eastAsia="黑体" w:cs="Times New Roman"/>
          <w:sz w:val="24"/>
          <w:szCs w:val="24"/>
          <w:highlight w:val="none"/>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tc>
      </w:tr>
    </w:tbl>
    <w:p>
      <w:pPr>
        <w:pStyle w:val="32"/>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hint="eastAsia" w:ascii="Times New Roman" w:hAnsi="Times New Roman" w:eastAsia="宋体" w:cs="Times New Roman"/>
          <w:lang w:val="en-US" w:eastAsia="zh-CN"/>
        </w:rPr>
        <w:t>及清单</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ascii="Times New Roman" w:hAnsi="Times New Roman" w:cs="Times New Roman"/>
        </w:rPr>
        <w:t xml:space="preserve">7.4.1 </w:t>
      </w:r>
      <w:r>
        <w:rPr>
          <w:rFonts w:hint="eastAsia" w:ascii="Times New Roman" w:hAnsi="Times New Roman" w:cs="Times New Roman"/>
          <w:lang w:val="en-US" w:eastAsia="zh-CN"/>
        </w:rPr>
        <w:t>具体要求：见供应商须知前附表。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5"/>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6"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3834"/>
      <w:bookmarkStart w:id="54" w:name="_Toc152042304"/>
      <w:bookmarkStart w:id="55" w:name="_Toc447808662"/>
      <w:bookmarkStart w:id="56" w:name="_Toc144974496"/>
      <w:bookmarkStart w:id="57" w:name="_Toc14847"/>
      <w:bookmarkStart w:id="58" w:name="_Toc457482536"/>
      <w:bookmarkStart w:id="59" w:name="_Toc152045528"/>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）商务及技术文件得分较高的投标人优先；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形式评审</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与响应性</w:t>
            </w:r>
          </w:p>
          <w:p>
            <w:pPr>
              <w:keepNext w:val="0"/>
              <w:keepLines w:val="0"/>
              <w:widowControl/>
              <w:suppressLineNumbers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lang w:val="en-US" w:eastAsia="zh-CN" w:bidi="ar"/>
              </w:rPr>
              <w:t>评审标准</w:t>
            </w:r>
          </w:p>
        </w:tc>
        <w:tc>
          <w:tcPr>
            <w:tcW w:w="7418"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第一个信封（商务及技术文件）评审标准：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投标函附录的所有数据均符合采购文件规定；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）投标文件上法定代表人或其授权代理人的签字、投标人的单位章盖章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）投标人按照采购文件的规定提供了投标保证金：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投标保证金金额符合采购文件规定的金额，且投标保证金有效期不少于投标有效期；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若投标保证金采用现金或支票形式提交，投标人应在递交投标文件截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止时间之前，将投标保证金由投标人的基本账户转入并到达采购人指定账户；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）本项目不接受联合体投标。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）投标文件中未出现有关投标报价的内容。</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）投标文件载明的招标项目完成期限未超过采购文件规定的时限。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）投标文件对采购文件的实质性要求和条件作出响应。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）权利义务符合采购文件规定：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投标人应接受采购文件规定的风险划分原则，未提出新的风险划分办法；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投标人未增加发包人的责任范围，或减少投标人义务；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投标人未提出不同的工程验收、计量、支付办法；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投标人对合同纠纷、事故处理办法未提出异议；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e.</w:t>
            </w:r>
            <w:r>
              <w:rPr>
                <w:rFonts w:hint="eastAsia" w:ascii="宋体" w:hAnsi="宋体" w:eastAsia="宋体" w:cs="宋体"/>
                <w:color w:val="000000"/>
                <w:kern w:val="0"/>
                <w:sz w:val="21"/>
                <w:szCs w:val="21"/>
                <w:lang w:val="en-US" w:eastAsia="zh-CN" w:bidi="ar"/>
              </w:rPr>
              <w:t xml:space="preserve">投标人在投标活动中无欺诈行为；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f.</w:t>
            </w:r>
            <w:r>
              <w:rPr>
                <w:rFonts w:hint="eastAsia" w:ascii="宋体" w:hAnsi="宋体" w:eastAsia="宋体" w:cs="宋体"/>
                <w:color w:val="000000"/>
                <w:kern w:val="0"/>
                <w:sz w:val="21"/>
                <w:szCs w:val="21"/>
                <w:lang w:val="en-US" w:eastAsia="zh-CN" w:bidi="ar"/>
              </w:rPr>
              <w:t xml:space="preserve">投标人未对合同条款有重要保留。 </w:t>
            </w:r>
          </w:p>
          <w:p>
            <w:pPr>
              <w:keepNext w:val="0"/>
              <w:keepLines w:val="0"/>
              <w:widowControl/>
              <w:suppressLineNumbers w:val="0"/>
              <w:jc w:val="left"/>
              <w:rPr>
                <w:b w:val="0"/>
                <w:bCs w:val="0"/>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投标人网上报名的标段、投标保证金提交的标段和投标文件所投标 </w:t>
            </w:r>
          </w:p>
          <w:p>
            <w:pPr>
              <w:keepNext w:val="0"/>
              <w:keepLines w:val="0"/>
              <w:widowControl/>
              <w:suppressLineNumbers w:val="0"/>
              <w:jc w:val="left"/>
              <w:rPr>
                <w:sz w:val="21"/>
                <w:szCs w:val="21"/>
              </w:rPr>
            </w:pPr>
            <w:r>
              <w:rPr>
                <w:rFonts w:hint="eastAsia" w:ascii="宋体" w:hAnsi="宋体" w:eastAsia="宋体" w:cs="宋体"/>
                <w:b w:val="0"/>
                <w:bCs w:val="0"/>
                <w:color w:val="000000"/>
                <w:kern w:val="0"/>
                <w:sz w:val="21"/>
                <w:szCs w:val="21"/>
                <w:lang w:val="en-US" w:eastAsia="zh-CN" w:bidi="ar"/>
              </w:rPr>
              <w:t>段一致。</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）投标人对其信誉情况的承诺与事实相符。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）投标文件未附有采购人不能接受的条件。 </w:t>
            </w:r>
          </w:p>
          <w:p>
            <w:pPr>
              <w:keepNext w:val="0"/>
              <w:keepLines w:val="0"/>
              <w:widowControl/>
              <w:suppressLineNumbers w:val="0"/>
              <w:jc w:val="left"/>
              <w:rPr>
                <w:sz w:val="21"/>
                <w:szCs w:val="21"/>
              </w:rPr>
            </w:pPr>
            <w:r>
              <w:rPr>
                <w:rFonts w:hint="eastAsia" w:ascii="黑体" w:hAnsi="宋体" w:eastAsia="黑体" w:cs="黑体"/>
                <w:color w:val="000000"/>
                <w:kern w:val="0"/>
                <w:sz w:val="21"/>
                <w:szCs w:val="21"/>
                <w:lang w:val="en-US" w:eastAsia="zh-CN" w:bidi="ar"/>
              </w:rPr>
              <w:t xml:space="preserve">第二个信封（报价文件）评审标准：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）报价文件按照采购文件规定的格式、内容填写，字迹清晰可辨：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书编号（如有）、投标价（包括大写金额和小写金额）；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已标价工程量清单及说明文字与采购文件规定一致，未进行实质性修改和删减；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工程量清单中的投标报价与投标函大写金额报价一致；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）投标报价未超过采购文件设定的最高投标限价（如有）。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）投标报价的大写金额能够确定具体数值。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）同一投标人未提交两个以上不同的投标报价。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）投标人未提交调价函。 （如有）</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）投标人若填写工程量固化清单，填写完毕的工程量固化清单未对工程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 xml:space="preserve">符合采购公告3.供应商资格条件 及采购文件格式要求。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2"/>
      </w:pPr>
    </w:p>
    <w:p>
      <w:pPr>
        <w:pStyle w:val="2"/>
      </w:pPr>
    </w:p>
    <w:p>
      <w:pPr>
        <w:pStyle w:val="2"/>
      </w:pPr>
    </w:p>
    <w:p>
      <w:pPr>
        <w:rPr>
          <w:rFonts w:hint="eastAsia" w:ascii="宋体" w:hAnsi="宋体" w:eastAsia="宋体"/>
          <w:b/>
          <w:bCs/>
          <w:szCs w:val="28"/>
        </w:rPr>
      </w:pPr>
      <w:r>
        <w:rPr>
          <w:rFonts w:hint="eastAsia" w:ascii="宋体" w:hAnsi="宋体" w:eastAsia="宋体"/>
          <w:b/>
          <w:bCs/>
          <w:szCs w:val="28"/>
        </w:rPr>
        <w:br w:type="page"/>
      </w:r>
    </w:p>
    <w:p>
      <w:pPr>
        <w:pStyle w:val="36"/>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0"/>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bidi w:val="0"/>
              <w:spacing w:line="240" w:lineRule="auto"/>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pPr>
              <w:bidi w:val="0"/>
              <w:spacing w:line="240" w:lineRule="auto"/>
              <w:rPr>
                <w:rFonts w:hint="eastAsia"/>
                <w:highlight w:val="none"/>
                <w:lang w:val="en-US" w:eastAsia="zh-CN"/>
              </w:rPr>
            </w:pPr>
            <w:r>
              <w:rPr>
                <w:rFonts w:hint="eastAsia"/>
                <w:highlight w:val="none"/>
                <w:lang w:val="en-US" w:eastAsia="zh-CN"/>
              </w:rPr>
              <w:t>管理措施：</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val="en-US" w:eastAsia="zh-CN"/>
              </w:rPr>
              <w:t>安装供货方案</w:t>
            </w:r>
            <w:r>
              <w:rPr>
                <w:rFonts w:hint="eastAsia"/>
                <w:highlight w:val="none"/>
                <w:lang w:val="en-US" w:eastAsia="zh-CN"/>
              </w:rPr>
              <w:t>：</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eastAsia="zh-CN"/>
              </w:rPr>
              <w:t>售后服务方案：</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lang w:eastAsia="zh-CN"/>
              </w:rPr>
              <w:t>：</w:t>
            </w:r>
            <w:r>
              <w:rPr>
                <w:rFonts w:hint="eastAsia"/>
                <w:highlight w:val="none"/>
                <w:u w:val="single"/>
                <w:lang w:val="en-US" w:eastAsia="zh-CN"/>
              </w:rPr>
              <w:t xml:space="preserve">  20  </w:t>
            </w:r>
            <w:r>
              <w:rPr>
                <w:rFonts w:hint="eastAsia"/>
                <w:highlight w:val="none"/>
                <w:lang w:val="en-US" w:eastAsia="zh-CN"/>
              </w:rPr>
              <w:t>分</w:t>
            </w:r>
          </w:p>
          <w:p>
            <w:pPr>
              <w:pStyle w:val="19"/>
              <w:ind w:left="0" w:leftChars="0" w:firstLine="0" w:firstLineChars="0"/>
              <w:jc w:val="both"/>
              <w:rPr>
                <w:rFonts w:hint="default"/>
                <w:lang w:val="en-US" w:eastAsia="zh-CN"/>
              </w:rPr>
            </w:pPr>
            <w:r>
              <w:rPr>
                <w:rFonts w:hint="eastAsia" w:ascii="宋体" w:hAnsi="宋体" w:eastAsia="宋体" w:cs="宋体"/>
                <w:sz w:val="21"/>
                <w:szCs w:val="21"/>
                <w:highlight w:val="none"/>
                <w:lang w:val="en-US" w:eastAsia="zh-CN"/>
              </w:rPr>
              <w:t>技术指标评审</w:t>
            </w:r>
            <w:r>
              <w:rPr>
                <w:rFonts w:hint="eastAsia"/>
                <w:highlight w:val="none"/>
                <w:lang w:val="en-US" w:eastAsia="zh-CN"/>
              </w:rPr>
              <w:t>：</w:t>
            </w:r>
            <w:r>
              <w:rPr>
                <w:rFonts w:hint="eastAsia"/>
                <w:highlight w:val="none"/>
                <w:u w:val="single"/>
                <w:lang w:val="en-US" w:eastAsia="zh-CN"/>
              </w:rPr>
              <w:t xml:space="preserve">  10  </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41" w:type="dxa"/>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483"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0"/>
        <w:tblW w:w="5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1067"/>
        <w:gridCol w:w="1697"/>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53" w:type="pct"/>
            <w:vAlign w:val="center"/>
          </w:tcPr>
          <w:p>
            <w:pPr>
              <w:pStyle w:val="2"/>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49" w:type="pct"/>
            <w:vAlign w:val="center"/>
          </w:tcPr>
          <w:p>
            <w:pPr>
              <w:pStyle w:val="2"/>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873" w:type="pct"/>
            <w:vAlign w:val="center"/>
          </w:tcPr>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23" w:type="pct"/>
            <w:vAlign w:val="center"/>
          </w:tcPr>
          <w:p>
            <w:pPr>
              <w:pStyle w:val="2"/>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53" w:type="pct"/>
            <w:vMerge w:val="restar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2"/>
              <w:adjustRightInd w:val="0"/>
              <w:snapToGrid w:val="0"/>
              <w:rPr>
                <w:rFonts w:hint="eastAsia" w:ascii="宋体" w:hAnsi="宋体" w:eastAsia="宋体" w:cs="宋体"/>
                <w:sz w:val="21"/>
                <w:szCs w:val="21"/>
                <w:highlight w:val="none"/>
              </w:rPr>
            </w:pPr>
          </w:p>
        </w:tc>
        <w:tc>
          <w:tcPr>
            <w:tcW w:w="549" w:type="pct"/>
            <w:vMerge w:val="restart"/>
            <w:vAlign w:val="center"/>
          </w:tcPr>
          <w:p>
            <w:pPr>
              <w:pStyle w:val="2"/>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873"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pStyle w:val="2"/>
              <w:adjustRightInd w:val="0"/>
              <w:snapToGrid w:val="0"/>
              <w:spacing w:line="240" w:lineRule="auto"/>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w:t>
            </w:r>
            <w:r>
              <w:rPr>
                <w:rFonts w:hint="eastAsia"/>
                <w:highlight w:val="none"/>
                <w:lang w:val="en-US" w:eastAsia="zh-CN"/>
              </w:rPr>
              <w:t>满足</w:t>
            </w:r>
            <w:r>
              <w:rPr>
                <w:rFonts w:hint="default"/>
                <w:highlight w:val="none"/>
                <w:lang w:val="en-US" w:eastAsia="zh-CN"/>
              </w:rPr>
              <w:t>供应商资审条件要求的业绩</w:t>
            </w:r>
            <w:r>
              <w:rPr>
                <w:rFonts w:hint="eastAsia"/>
                <w:highlight w:val="none"/>
                <w:lang w:val="en-US" w:eastAsia="zh-CN"/>
              </w:rPr>
              <w:t>得24分</w:t>
            </w:r>
            <w:r>
              <w:rPr>
                <w:rFonts w:hint="default"/>
                <w:highlight w:val="none"/>
                <w:lang w:val="en-US" w:eastAsia="zh-CN"/>
              </w:rPr>
              <w:t>，近三年来具有</w:t>
            </w:r>
            <w:r>
              <w:rPr>
                <w:rFonts w:hint="eastAsia"/>
                <w:highlight w:val="none"/>
                <w:lang w:val="en-US" w:eastAsia="zh-CN"/>
              </w:rPr>
              <w:t>40</w:t>
            </w:r>
            <w:r>
              <w:rPr>
                <w:rFonts w:hint="default"/>
                <w:highlight w:val="none"/>
                <w:lang w:val="en-US" w:eastAsia="zh-CN"/>
              </w:rPr>
              <w:t>万及以上的</w:t>
            </w:r>
            <w:r>
              <w:rPr>
                <w:rFonts w:hint="eastAsia"/>
                <w:highlight w:val="none"/>
                <w:lang w:val="en-US" w:eastAsia="zh-CN"/>
              </w:rPr>
              <w:t>家具采购及安装</w:t>
            </w:r>
            <w:r>
              <w:rPr>
                <w:rFonts w:hint="default"/>
                <w:highlight w:val="none"/>
                <w:lang w:val="en-US" w:eastAsia="zh-CN"/>
              </w:rPr>
              <w:t>的业绩</w:t>
            </w:r>
            <w:r>
              <w:rPr>
                <w:rFonts w:hint="eastAsia"/>
                <w:highlight w:val="none"/>
                <w:lang w:val="en-US" w:eastAsia="zh-CN"/>
              </w:rPr>
              <w:t>（单个合同）</w:t>
            </w:r>
            <w:r>
              <w:rPr>
                <w:rFonts w:hint="default"/>
                <w:highlight w:val="none"/>
                <w:lang w:val="en-US" w:eastAsia="zh-CN"/>
              </w:rPr>
              <w:t>，提供一个业绩得</w:t>
            </w:r>
            <w:r>
              <w:rPr>
                <w:rFonts w:hint="eastAsia"/>
                <w:highlight w:val="none"/>
                <w:lang w:val="en-US" w:eastAsia="zh-CN"/>
              </w:rPr>
              <w:t>4</w:t>
            </w:r>
            <w:r>
              <w:rPr>
                <w:rFonts w:hint="default"/>
                <w:highlight w:val="none"/>
                <w:lang w:val="en-US" w:eastAsia="zh-CN"/>
              </w:rPr>
              <w:t>分</w:t>
            </w:r>
            <w:bookmarkStart w:id="154" w:name="_GoBack"/>
            <w:bookmarkEnd w:id="154"/>
            <w:r>
              <w:rPr>
                <w:rFonts w:hint="eastAsia"/>
                <w:highlight w:val="none"/>
                <w:lang w:val="en-US" w:eastAsia="zh-CN"/>
              </w:rPr>
              <w:t>；同一业绩不可重复得分，</w:t>
            </w:r>
            <w:r>
              <w:rPr>
                <w:rFonts w:hint="default"/>
                <w:highlight w:val="none"/>
                <w:lang w:val="en-US" w:eastAsia="zh-CN"/>
              </w:rPr>
              <w:t>满分</w:t>
            </w:r>
            <w:r>
              <w:rPr>
                <w:rFonts w:hint="eastAsia"/>
                <w:highlight w:val="none"/>
                <w:lang w:val="en-US" w:eastAsia="zh-CN"/>
              </w:rPr>
              <w:t>40</w:t>
            </w:r>
            <w:r>
              <w:rPr>
                <w:rFonts w:hint="default"/>
                <w:highlight w:val="none"/>
                <w:lang w:val="en-US" w:eastAsia="zh-CN"/>
              </w:rPr>
              <w:t>分。</w:t>
            </w:r>
          </w:p>
          <w:p>
            <w:pPr>
              <w:pStyle w:val="2"/>
              <w:adjustRightInd w:val="0"/>
              <w:snapToGrid w:val="0"/>
              <w:spacing w:line="240" w:lineRule="auto"/>
              <w:ind w:firstLine="210" w:firstLineChars="100"/>
            </w:pPr>
            <w:r>
              <w:t>1</w:t>
            </w:r>
            <w:r>
              <w:rPr>
                <w:rFonts w:hint="eastAsia"/>
                <w:lang w:val="en-US" w:eastAsia="zh-CN"/>
              </w:rPr>
              <w:t>.本响应文件中要求的业绩须为已供货完毕并验收合格的业绩，</w:t>
            </w:r>
            <w:r>
              <w:rPr>
                <w:rFonts w:hint="eastAsia"/>
                <w:lang w:eastAsia="zh-CN"/>
              </w:rPr>
              <w:t>响应</w:t>
            </w:r>
            <w:r>
              <w:t xml:space="preserve">人应按下列规定提供业绩证明资料： </w:t>
            </w:r>
          </w:p>
          <w:p>
            <w:pPr>
              <w:pStyle w:val="2"/>
              <w:adjustRightInd w:val="0"/>
              <w:snapToGrid w:val="0"/>
              <w:spacing w:line="240" w:lineRule="auto"/>
              <w:ind w:firstLine="210" w:firstLineChars="100"/>
            </w:pPr>
            <w:r>
              <w:t>（1）业绩合同可提供包含项目名称、合同总金额、合同签订时间、合同供货范围、合同签字盖章页等关键内容的关键页的扫描件；</w:t>
            </w:r>
          </w:p>
          <w:p>
            <w:pPr>
              <w:pStyle w:val="2"/>
              <w:adjustRightInd w:val="0"/>
              <w:snapToGrid w:val="0"/>
              <w:spacing w:line="240" w:lineRule="auto"/>
              <w:jc w:val="both"/>
              <w:rPr>
                <w:rFonts w:hint="default"/>
                <w:highlight w:val="none"/>
                <w:lang w:val="en-US" w:eastAsia="zh-CN"/>
              </w:rPr>
            </w:pPr>
            <w:r>
              <w:rPr>
                <w:rFonts w:hint="eastAsia"/>
                <w:lang w:val="en-US" w:eastAsia="zh-CN"/>
              </w:rPr>
              <w:t>2</w:t>
            </w:r>
            <w:r>
              <w:t>.以上涉及到的材料扫描件信息应完整或能充分反映评审因素。如均未能明确反映出</w:t>
            </w:r>
            <w:r>
              <w:rPr>
                <w:rFonts w:hint="eastAsia"/>
                <w:lang w:eastAsia="zh-CN"/>
              </w:rPr>
              <w:t>采购</w:t>
            </w:r>
            <w:r>
              <w:t>文件所要求的内容的 （如合同总金额等），应另附买方（或合同甲方）出具的证明资料</w:t>
            </w:r>
            <w:r>
              <w:rPr>
                <w:rFonts w:hint="eastAsia"/>
                <w:lang w:val="en-US" w:eastAsia="zh-CN"/>
              </w:rPr>
              <w:t>或对应项目开具的发票扫描件（不少于10万元）</w:t>
            </w:r>
            <w:r>
              <w:t>予以明确说明</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管理措施</w:t>
            </w:r>
          </w:p>
          <w:p>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highlight w:val="none"/>
                <w:lang w:val="en-US" w:eastAsia="zh-CN"/>
              </w:rPr>
              <w:t>施工项目质量保证目标明确，材料进场验收制度完善，针对项目实际提出合理、具体、严谨的成品保护措施、工序质量控制及自检、自控措施以及质量问题的防治措施，</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安装供货方案</w:t>
            </w:r>
          </w:p>
          <w:p>
            <w:pPr>
              <w:ind w:left="618" w:hanging="630" w:hangingChars="300"/>
              <w:jc w:val="center"/>
              <w:rPr>
                <w:rFonts w:hint="default"/>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安装</w:t>
            </w:r>
            <w:r>
              <w:rPr>
                <w:rFonts w:hint="eastAsia"/>
                <w:lang w:val="en-US" w:eastAsia="zh-CN"/>
              </w:rPr>
              <w:t>供货</w:t>
            </w:r>
            <w:r>
              <w:rPr>
                <w:rFonts w:hint="default"/>
                <w:lang w:val="en-US" w:eastAsia="zh-CN"/>
              </w:rPr>
              <w:t>方案合理,对项目关键技术主要施工艺有深入的表述,对重点、难点问题有合理化建议解决方案完整、经济、安全、切实可行,措施得力，</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售后服务方案</w:t>
            </w:r>
          </w:p>
          <w:p>
            <w:pPr>
              <w:ind w:left="618" w:hanging="630" w:hangingChars="300"/>
              <w:jc w:val="center"/>
              <w:rPr>
                <w:rFonts w:hint="eastAsia"/>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根据投标人售后服务方案及增值服务进行综合评审。</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val="en-US" w:eastAsia="zh-CN"/>
              </w:rPr>
              <w:t>）</w:t>
            </w:r>
          </w:p>
        </w:tc>
        <w:tc>
          <w:tcPr>
            <w:tcW w:w="3123" w:type="pct"/>
            <w:vAlign w:val="center"/>
          </w:tcPr>
          <w:p>
            <w:pPr>
              <w:pStyle w:val="3"/>
              <w:rPr>
                <w:rFonts w:hint="default"/>
                <w:lang w:val="en-US" w:eastAsia="zh-CN"/>
              </w:rPr>
            </w:pPr>
            <w:r>
              <w:rPr>
                <w:rFonts w:hint="eastAsia" w:ascii="宋体" w:hAnsi="宋体" w:eastAsia="宋体" w:cs="宋体"/>
                <w:b w:val="0"/>
                <w:bCs w:val="0"/>
                <w:color w:val="auto"/>
                <w:kern w:val="0"/>
                <w:sz w:val="21"/>
                <w:szCs w:val="21"/>
                <w:highlight w:val="none"/>
                <w:u w:val="none"/>
                <w:lang w:val="en-US" w:eastAsia="zh-CN" w:bidi="ar"/>
              </w:rPr>
              <w:t>企业实力：</w:t>
            </w: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（可提供物流合同、协议书、自有货车证明等）、</w:t>
            </w: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（可提供自有设备照片、采购租赁合同协议书等）、</w:t>
            </w: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（可提供厂区、加工车间照片、房屋购买租赁合同协议书等）、</w:t>
            </w: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r>
              <w:rPr>
                <w:rFonts w:hint="eastAsia" w:ascii="宋体" w:hAnsi="宋体" w:eastAsia="宋体" w:cs="宋体"/>
                <w:b/>
                <w:bCs/>
                <w:color w:val="auto"/>
                <w:kern w:val="0"/>
                <w:sz w:val="21"/>
                <w:szCs w:val="21"/>
                <w:highlight w:val="none"/>
                <w:u w:val="none"/>
                <w:lang w:val="en-US" w:eastAsia="zh-CN" w:bidi="ar"/>
              </w:rPr>
              <w:t>5.原材料厂家合作情况</w:t>
            </w:r>
            <w:r>
              <w:rPr>
                <w:rFonts w:hint="eastAsia" w:ascii="宋体" w:hAnsi="宋体" w:eastAsia="宋体" w:cs="宋体"/>
                <w:color w:val="auto"/>
                <w:kern w:val="0"/>
                <w:sz w:val="21"/>
                <w:szCs w:val="21"/>
                <w:highlight w:val="none"/>
                <w:u w:val="none"/>
                <w:lang w:val="en-US" w:eastAsia="zh-CN" w:bidi="ar"/>
              </w:rPr>
              <w:t>（可提供铝型材、玻璃、五金等与知名品牌或本次采购范围品牌的合作协议、采购订单等证明文件），评委根据上述证明材料综合评审，优秀的得20-14分；一般的得14-8分，较差得基础分8分，未提供不得分。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pStyle w:val="19"/>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pPr>
              <w:pStyle w:val="19"/>
              <w:ind w:left="0" w:leftChars="0" w:firstLine="0" w:firstLineChars="0"/>
              <w:jc w:val="center"/>
              <w:rPr>
                <w:rFonts w:hint="default"/>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snapToGrid w:val="0"/>
              <w:ind w:firstLine="210" w:firstLineChars="100"/>
              <w:jc w:val="left"/>
              <w:rPr>
                <w:rFonts w:hint="eastAsia" w:eastAsiaTheme="minorEastAsia"/>
                <w:lang w:eastAsia="zh-CN"/>
              </w:rPr>
            </w:pPr>
            <w:r>
              <w:rPr>
                <w:rFonts w:hint="eastAsia"/>
                <w:b w:val="0"/>
                <w:bCs w:val="0"/>
                <w:lang w:val="en-US" w:eastAsia="zh-CN"/>
              </w:rPr>
              <w:t>1、</w:t>
            </w:r>
            <w:r>
              <w:rPr>
                <w:rFonts w:hint="eastAsia"/>
              </w:rPr>
              <w:t>质量管理体系认证证书（ISO9001）、环境管理体系认证证书（ISO14001）、职业健康安全管理体系认证证书（GB/T28001或GB/T45001（IS045001））三标管理体系认证</w:t>
            </w:r>
            <w:r>
              <w:rPr>
                <w:rFonts w:hint="eastAsia"/>
                <w:lang w:eastAsia="zh-CN"/>
              </w:rPr>
              <w:t>，</w:t>
            </w:r>
            <w:r>
              <w:rPr>
                <w:rFonts w:hint="eastAsia"/>
                <w:lang w:val="en-US" w:eastAsia="zh-CN"/>
              </w:rPr>
              <w:t>每个证书得2分，满分6分</w:t>
            </w:r>
            <w:r>
              <w:rPr>
                <w:rFonts w:hint="eastAsia"/>
                <w:lang w:eastAsia="zh-CN"/>
              </w:rPr>
              <w:t>；</w:t>
            </w:r>
          </w:p>
          <w:p>
            <w:pPr>
              <w:pStyle w:val="2"/>
              <w:numPr>
                <w:ilvl w:val="0"/>
                <w:numId w:val="0"/>
              </w:numPr>
              <w:ind w:left="0" w:leftChars="0" w:firstLine="210" w:firstLineChars="100"/>
              <w:rPr>
                <w:rFonts w:hint="default"/>
                <w:lang w:val="en-US" w:eastAsia="zh-CN"/>
              </w:rPr>
            </w:pPr>
            <w:r>
              <w:rPr>
                <w:rFonts w:hint="eastAsia"/>
                <w:color w:val="auto"/>
                <w:highlight w:val="none"/>
                <w:lang w:val="en-US" w:eastAsia="zh-CN"/>
              </w:rPr>
              <w:t>2、免费质保期：响应人承诺满足采购文件免费质保期二年要求；得1分，另外供应商每承诺增加一年免费质保期（满 12 个月）加1分，满分4分。</w:t>
            </w:r>
          </w:p>
        </w:tc>
      </w:tr>
    </w:tbl>
    <w:p>
      <w:pPr>
        <w:pStyle w:val="2"/>
        <w:rPr>
          <w:rFonts w:ascii="Times New Roman" w:hAnsi="Times New Roman" w:eastAsia="黑体" w:cs="Times New Roman"/>
          <w:bCs/>
          <w:sz w:val="24"/>
          <w:szCs w:val="32"/>
          <w:highlight w:val="none"/>
        </w:rPr>
      </w:pP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widowControl/>
        <w:jc w:val="left"/>
        <w:rPr>
          <w:rFonts w:ascii="Times New Roman" w:hAnsi="Times New Roman" w:eastAsia="宋体" w:cs="Times New Roman"/>
        </w:rPr>
      </w:pPr>
    </w:p>
    <w:p>
      <w:pPr>
        <w:pStyle w:val="19"/>
        <w:rPr>
          <w:rFonts w:ascii="Times New Roman" w:hAnsi="Times New Roman" w:eastAsia="宋体" w:cs="Times New Roman"/>
        </w:rPr>
      </w:pPr>
    </w:p>
    <w:p>
      <w:pPr>
        <w:pStyle w:val="19"/>
        <w:rPr>
          <w:rFonts w:ascii="Times New Roman" w:hAnsi="Times New Roman" w:eastAsia="宋体" w:cs="Times New Roman"/>
        </w:rPr>
      </w:pPr>
    </w:p>
    <w:p>
      <w:pPr>
        <w:rPr>
          <w:rFonts w:hint="eastAsia" w:ascii="Times New Roman" w:hAnsi="Times New Roman" w:eastAsia="宋体" w:cs="Times New Roman"/>
          <w:lang w:val="en-US" w:eastAsia="zh-CN"/>
        </w:rPr>
      </w:pPr>
      <w:bookmarkStart w:id="60" w:name="_Toc25343"/>
      <w:r>
        <w:rPr>
          <w:rFonts w:hint="eastAsia" w:ascii="Times New Roman" w:hAnsi="Times New Roman" w:eastAsia="宋体" w:cs="Times New Roman"/>
          <w:lang w:val="en-US" w:eastAsia="zh-CN"/>
        </w:rPr>
        <w:br w:type="page"/>
      </w:r>
    </w:p>
    <w:p>
      <w:pPr>
        <w:pStyle w:val="5"/>
        <w:numPr>
          <w:ilvl w:val="0"/>
          <w:numId w:val="0"/>
        </w:numPr>
        <w:spacing w:before="312" w:after="312"/>
        <w:ind w:leftChars="0"/>
        <w:jc w:val="center"/>
        <w:rPr>
          <w:rFonts w:ascii="Times New Roman" w:hAnsi="Times New Roman" w:eastAsia="宋体" w:cs="Times New Roman"/>
        </w:rPr>
      </w:pP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32"/>
        <w:rPr>
          <w:rFonts w:hint="eastAsia" w:ascii="Times New Roman" w:hAnsi="Times New Roman" w:eastAsia="宋体" w:cs="Times New Roman"/>
        </w:rPr>
      </w:pPr>
    </w:p>
    <w:p>
      <w:pPr>
        <w:pStyle w:val="32"/>
        <w:rPr>
          <w:rFonts w:hint="eastAsia" w:ascii="Times New Roman" w:hAnsi="Times New Roman" w:eastAsia="宋体" w:cs="Times New Roman"/>
        </w:rPr>
      </w:pPr>
    </w:p>
    <w:p>
      <w:pPr>
        <w:pStyle w:val="32"/>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u w:val="none"/>
          <w:lang w:val="en-US" w:eastAsia="zh-CN"/>
        </w:rPr>
        <w:t>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垃圾清运费、成品运输费、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w:t>
      </w:r>
      <w:r>
        <w:rPr>
          <w:rFonts w:hint="eastAsia" w:ascii="仿宋_GB2312" w:hAnsi="仿宋_GB2312" w:eastAsia="仿宋_GB2312" w:cs="仿宋_GB2312"/>
          <w:color w:val="auto"/>
          <w:sz w:val="28"/>
          <w:szCs w:val="28"/>
          <w:highlight w:val="none"/>
          <w:lang w:val="en-US" w:eastAsia="zh-CN"/>
        </w:rPr>
        <w:t>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1.货到工地经甲方指定签收人验收合格并签收后，甲方按该批验收合格货物价款的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%支付进度款。</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2.产品全部安装完毕，经甲方指定签收人验收合格并签字，办理完成结算手续后，甲方向乙方支付至结算价的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3.甲方预留最终审定金额的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%作为质保金，在缺陷责任期后无质量问题一次性无息支付。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w:t>
      </w:r>
      <w:r>
        <w:rPr>
          <w:rFonts w:hint="eastAsia" w:ascii="仿宋_GB2312" w:hAnsi="仿宋_GB2312" w:eastAsia="仿宋_GB2312" w:cs="仿宋_GB2312"/>
          <w:color w:val="auto"/>
          <w:sz w:val="28"/>
          <w:szCs w:val="28"/>
          <w:lang w:val="en-US" w:eastAsia="zh-CN"/>
        </w:rPr>
        <w:t>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4.对于乙方因违反本合同约定需支付的违约金，甲方有权在应付货款中直接予以扣除。</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rPr>
          <w:rFonts w:hint="eastAsia"/>
          <w:lang w:val="en-US" w:eastAsia="zh-CN"/>
        </w:rPr>
      </w:pPr>
      <w:r>
        <w:rPr>
          <w:rFonts w:hint="eastAsia"/>
          <w:lang w:val="en-US" w:eastAsia="zh-CN"/>
        </w:rPr>
        <w:br w:type="page"/>
      </w:r>
    </w:p>
    <w:p>
      <w:pPr>
        <w:pStyle w:val="32"/>
        <w:rPr>
          <w:rFonts w:hint="eastAsia" w:ascii="Times New Roman" w:hAnsi="Times New Roman" w:eastAsia="宋体" w:cs="Times New Roman"/>
          <w:lang w:val="en-US" w:eastAsia="zh-CN"/>
        </w:rPr>
      </w:pPr>
    </w:p>
    <w:p>
      <w:pPr>
        <w:pStyle w:val="5"/>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2"/>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一、供货要求</w:t>
      </w:r>
    </w:p>
    <w:p>
      <w:pPr>
        <w:pStyle w:val="32"/>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详见附件。</w:t>
      </w:r>
    </w:p>
    <w:p>
      <w:pPr>
        <w:pStyle w:val="32"/>
        <w:jc w:val="center"/>
        <w:rPr>
          <w:rFonts w:hint="eastAsia" w:ascii="宋体" w:hAnsi="宋体" w:eastAsia="宋体" w:cs="宋体"/>
          <w:b/>
          <w:bCs/>
          <w:sz w:val="28"/>
          <w:szCs w:val="28"/>
          <w:lang w:val="en-US" w:eastAsia="zh-CN"/>
        </w:rPr>
      </w:pPr>
    </w:p>
    <w:p>
      <w:pPr>
        <w:pStyle w:val="32"/>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二、清单</w:t>
      </w:r>
    </w:p>
    <w:p>
      <w:pPr>
        <w:pStyle w:val="32"/>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详见附件。</w:t>
      </w:r>
    </w:p>
    <w:p>
      <w:pPr>
        <w:pStyle w:val="32"/>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5"/>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10484_WPSOffice_Level1"/>
      <w:bookmarkStart w:id="64" w:name="_Toc17394_WPSOffice_Level1"/>
      <w:bookmarkStart w:id="65" w:name="_Toc32044_WPSOffice_Level1"/>
      <w:bookmarkStart w:id="66" w:name="_Toc29687_WPSOffice_Level1"/>
      <w:bookmarkStart w:id="67" w:name="_Toc1914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25232_WPSOffice_Level2"/>
      <w:bookmarkStart w:id="6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20076_WPSOffice_Level2"/>
      <w:bookmarkStart w:id="7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1974_WPSOffice_Level2"/>
      <w:bookmarkStart w:id="73" w:name="_Toc22351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5842_WPSOffice_Level1"/>
      <w:bookmarkStart w:id="75" w:name="_Toc11424_WPSOffice_Level1"/>
      <w:bookmarkStart w:id="76" w:name="_Toc30529_WPSOffice_Level1"/>
      <w:bookmarkStart w:id="77" w:name="_Toc6353_WPSOffice_Level1"/>
      <w:bookmarkStart w:id="78" w:name="_Toc23368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21229_WPSOffice_Level1"/>
      <w:bookmarkStart w:id="81" w:name="_Toc31927_WPSOffice_Level1"/>
      <w:bookmarkStart w:id="82" w:name="_Toc5317_WPSOffice_Level1"/>
      <w:bookmarkStart w:id="83" w:name="_Toc30428_WPSOffice_Level1"/>
      <w:bookmarkStart w:id="84" w:name="_Toc32729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9085_WPSOffice_Level1"/>
      <w:bookmarkStart w:id="86" w:name="_Toc23356_WPSOffice_Level1"/>
      <w:bookmarkStart w:id="87" w:name="_Toc21853_WPSOffice_Level1"/>
      <w:bookmarkStart w:id="88" w:name="_Toc25965_WPSOffice_Level1"/>
      <w:bookmarkStart w:id="89"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18964_WPSOffice_Level1"/>
      <w:bookmarkStart w:id="91" w:name="_Toc10608_WPSOffice_Level1"/>
      <w:bookmarkStart w:id="92" w:name="_Toc29870_WPSOffice_Level1"/>
      <w:bookmarkStart w:id="93" w:name="_Toc7453_WPSOffice_Level1"/>
      <w:bookmarkStart w:id="94"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12459_WPSOffice_Level1"/>
      <w:bookmarkStart w:id="96" w:name="_Toc24262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927_WPSOffice_Level1"/>
      <w:bookmarkStart w:id="98" w:name="_Toc32220_WPSOffice_Level1"/>
      <w:bookmarkStart w:id="99" w:name="_Toc2093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25973_WPSOffice_Level1"/>
      <w:bookmarkStart w:id="101" w:name="_Toc16988_WPSOffice_Level1"/>
      <w:bookmarkStart w:id="102" w:name="_Toc5885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9"/>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3972_WPSOffice_Level1"/>
      <w:bookmarkStart w:id="104" w:name="_Toc2765_WPSOffice_Level1"/>
      <w:bookmarkStart w:id="105" w:name="_Toc1687_WPSOffice_Level1"/>
      <w:bookmarkStart w:id="106" w:name="_Toc18312_WPSOffice_Level1"/>
      <w:bookmarkStart w:id="107" w:name="_Toc1362_WPSOffice_Level1"/>
      <w:bookmarkStart w:id="108" w:name="_Toc1017_WPSOffice_Level1"/>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一、响应函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安装工艺、材质要求、油漆的效果与确定的样板间一致。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9"/>
      </w:pPr>
    </w:p>
    <w:p>
      <w:pPr>
        <w:spacing w:line="440" w:lineRule="exact"/>
        <w:jc w:val="center"/>
        <w:rPr>
          <w:rFonts w:ascii="Times New Roman" w:hAnsi="Times New Roman" w:eastAsia="黑体" w:cs="Times New Roman"/>
          <w:sz w:val="20"/>
          <w:szCs w:val="20"/>
        </w:rPr>
      </w:pPr>
    </w:p>
    <w:p/>
    <w:bookmarkEnd w:id="103"/>
    <w:bookmarkEnd w:id="104"/>
    <w:bookmarkEnd w:id="105"/>
    <w:bookmarkEnd w:id="106"/>
    <w:bookmarkEnd w:id="107"/>
    <w:bookmarkEnd w:id="108"/>
    <w:p>
      <w:pPr>
        <w:pStyle w:val="6"/>
        <w:numPr>
          <w:ilvl w:val="0"/>
          <w:numId w:val="0"/>
        </w:numPr>
        <w:jc w:val="center"/>
        <w:rPr>
          <w:rFonts w:hint="eastAsia" w:ascii="黑体" w:hAnsi="黑体" w:eastAsia="黑体" w:cs="黑体"/>
          <w:b/>
          <w:bCs w:val="0"/>
          <w:sz w:val="28"/>
          <w:szCs w:val="24"/>
          <w:highlight w:val="none"/>
          <w:lang w:val="en-US" w:eastAsia="zh-CN"/>
        </w:rPr>
      </w:pPr>
      <w:bookmarkStart w:id="109" w:name="_Toc14563_WPSOffice_Level1"/>
      <w:bookmarkStart w:id="110" w:name="_Toc1996_WPSOffice_Level1"/>
      <w:bookmarkStart w:id="111" w:name="_Toc4951_WPSOffice_Level1"/>
      <w:bookmarkStart w:id="112" w:name="_Toc21740_WPSOffice_Level1"/>
      <w:bookmarkStart w:id="113" w:name="_Toc32350_WPSOffice_Level1"/>
      <w:bookmarkStart w:id="114" w:name="_Toc18668_WPSOffice_Level1"/>
      <w:r>
        <w:rPr>
          <w:rFonts w:hint="eastAsia" w:ascii="黑体" w:hAnsi="黑体" w:eastAsia="黑体" w:cs="黑体"/>
          <w:b/>
          <w:bCs w:val="0"/>
          <w:sz w:val="28"/>
          <w:szCs w:val="24"/>
          <w:highlight w:val="none"/>
          <w:lang w:val="en-US" w:eastAsia="zh-CN"/>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5153_WPSOffice_Level2"/>
      <w:bookmarkStart w:id="116" w:name="_Toc2080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9768_WPSOffice_Level2"/>
      <w:bookmarkStart w:id="11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4567_WPSOffice_Level1"/>
      <w:bookmarkStart w:id="120" w:name="_Toc26364_WPSOffice_Level1"/>
      <w:bookmarkStart w:id="121" w:name="_Toc27513_WPSOffice_Level1"/>
      <w:bookmarkStart w:id="122" w:name="_Toc24530_WPSOffice_Level1"/>
      <w:bookmarkStart w:id="123" w:name="_Toc28828_WPSOffice_Level1"/>
      <w:bookmarkStart w:id="124" w:name="_Toc32085_WPSOffice_Level1"/>
    </w:p>
    <w:bookmarkEnd w:id="119"/>
    <w:bookmarkEnd w:id="120"/>
    <w:bookmarkEnd w:id="121"/>
    <w:bookmarkEnd w:id="122"/>
    <w:bookmarkEnd w:id="123"/>
    <w:bookmarkEnd w:id="124"/>
    <w:p>
      <w:pPr>
        <w:pStyle w:val="6"/>
        <w:numPr>
          <w:ilvl w:val="0"/>
          <w:numId w:val="0"/>
        </w:numPr>
        <w:jc w:val="center"/>
        <w:rPr>
          <w:rFonts w:hint="eastAsia" w:ascii="黑体" w:hAnsi="黑体" w:eastAsia="黑体" w:cs="黑体"/>
          <w:b/>
          <w:bCs w:val="0"/>
          <w:sz w:val="28"/>
          <w:szCs w:val="24"/>
          <w:highlight w:val="none"/>
          <w:lang w:val="en-US" w:eastAsia="zh-CN"/>
        </w:rPr>
      </w:pPr>
      <w:bookmarkStart w:id="125" w:name="_Toc19015_WPSOffice_Level1"/>
      <w:bookmarkStart w:id="126" w:name="_Toc31445_WPSOffice_Level1"/>
      <w:bookmarkStart w:id="127" w:name="_Toc10646_WPSOffice_Level1"/>
      <w:bookmarkStart w:id="128" w:name="_Toc17124_WPSOffice_Level1"/>
      <w:bookmarkStart w:id="129" w:name="_Toc7738_WPSOffice_Level1"/>
      <w:bookmarkStart w:id="130" w:name="_Toc10436_WPSOffice_Level1"/>
      <w:r>
        <w:rPr>
          <w:rFonts w:hint="eastAsia" w:ascii="黑体" w:hAnsi="黑体" w:eastAsia="黑体" w:cs="黑体"/>
          <w:b/>
          <w:bCs w:val="0"/>
          <w:sz w:val="28"/>
          <w:szCs w:val="24"/>
          <w:highlight w:val="none"/>
          <w:lang w:val="en-US" w:eastAsia="zh-CN"/>
        </w:rPr>
        <w:t>三、</w:t>
      </w:r>
      <w:bookmarkStart w:id="131" w:name="_Toc27600_WPSOffice_Level2"/>
      <w:bookmarkStart w:id="132" w:name="_Toc2807_WPSOffice_Level2"/>
      <w:r>
        <w:rPr>
          <w:rFonts w:hint="eastAsia" w:ascii="黑体" w:hAnsi="黑体" w:eastAsia="黑体" w:cs="黑体"/>
          <w:b/>
          <w:bCs w:val="0"/>
          <w:sz w:val="28"/>
          <w:szCs w:val="24"/>
          <w:highlight w:val="none"/>
          <w:lang w:val="en-US" w:eastAsia="zh-CN"/>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pStyle w:val="6"/>
        <w:numPr>
          <w:ilvl w:val="0"/>
          <w:numId w:val="0"/>
        </w:numPr>
        <w:jc w:val="center"/>
        <w:rPr>
          <w:rFonts w:hint="eastAsia" w:ascii="黑体" w:hAnsi="黑体" w:eastAsia="黑体" w:cs="黑体"/>
          <w:b/>
          <w:bCs w:val="0"/>
          <w:sz w:val="28"/>
          <w:szCs w:val="24"/>
          <w:highlight w:val="none"/>
          <w:lang w:val="en-US" w:eastAsia="zh-CN"/>
        </w:rPr>
      </w:pPr>
      <w:bookmarkStart w:id="133" w:name="_Toc1452_WPSOffice_Level1"/>
      <w:bookmarkStart w:id="134" w:name="_Toc5072_WPSOffice_Level1"/>
      <w:bookmarkStart w:id="135" w:name="_Toc3912"/>
      <w:bookmarkStart w:id="136" w:name="_Toc19004_WPSOffice_Level1"/>
      <w:bookmarkStart w:id="137" w:name="_Toc18547_WPSOffice_Level1"/>
      <w:bookmarkStart w:id="138" w:name="_Toc3772_WPSOffice_Level1"/>
      <w:r>
        <w:rPr>
          <w:rFonts w:hint="eastAsia" w:ascii="黑体" w:hAnsi="黑体" w:eastAsia="黑体" w:cs="黑体"/>
          <w:b/>
          <w:bCs w:val="0"/>
          <w:sz w:val="28"/>
          <w:szCs w:val="24"/>
          <w:highlight w:val="none"/>
          <w:lang w:val="en-US" w:eastAsia="zh-CN"/>
        </w:rPr>
        <w:t>四、近年类似业绩情况</w:t>
      </w:r>
      <w:bookmarkEnd w:id="133"/>
      <w:bookmarkEnd w:id="134"/>
      <w:bookmarkEnd w:id="135"/>
      <w:bookmarkEnd w:id="136"/>
      <w:bookmarkEnd w:id="137"/>
      <w:bookmarkEnd w:id="138"/>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3"/>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pStyle w:val="6"/>
        <w:numPr>
          <w:ilvl w:val="0"/>
          <w:numId w:val="0"/>
        </w:numPr>
        <w:jc w:val="center"/>
        <w:rPr>
          <w:rFonts w:hint="eastAsia" w:ascii="黑体" w:hAnsi="黑体" w:eastAsia="黑体" w:cs="黑体"/>
          <w:b/>
          <w:bCs w:val="0"/>
          <w:sz w:val="28"/>
          <w:szCs w:val="24"/>
          <w:highlight w:val="none"/>
          <w:lang w:val="en-US" w:eastAsia="zh-CN"/>
        </w:rPr>
      </w:pPr>
      <w:bookmarkStart w:id="139" w:name="_Toc12019_WPSOffice_Level1"/>
      <w:bookmarkStart w:id="140" w:name="_Toc26594_WPSOffice_Level1"/>
      <w:bookmarkStart w:id="141" w:name="_Toc5403_WPSOffice_Level1"/>
      <w:bookmarkStart w:id="142" w:name="_Toc10810_WPSOffice_Level1"/>
      <w:bookmarkStart w:id="143" w:name="_Toc5889_WPSOffice_Level1"/>
      <w:bookmarkStart w:id="144" w:name="_Toc3893_WPSOffice_Level1"/>
      <w:r>
        <w:rPr>
          <w:rFonts w:hint="eastAsia" w:ascii="黑体" w:hAnsi="黑体" w:eastAsia="黑体" w:cs="黑体"/>
          <w:b/>
          <w:bCs w:val="0"/>
          <w:sz w:val="28"/>
          <w:szCs w:val="24"/>
          <w:highlight w:val="none"/>
          <w:lang w:val="en-US" w:eastAsia="zh-CN"/>
        </w:rPr>
        <w:t>五、信誉情况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20"/>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8"/>
                <w:color w:val="auto"/>
                <w:sz w:val="22"/>
                <w:szCs w:val="22"/>
                <w:highlight w:val="none"/>
              </w:rPr>
              <w:t>在</w:t>
            </w:r>
            <w:r>
              <w:rPr>
                <w:rStyle w:val="28"/>
                <w:rFonts w:hint="eastAsia"/>
                <w:color w:val="auto"/>
                <w:sz w:val="22"/>
                <w:szCs w:val="22"/>
                <w:highlight w:val="none"/>
              </w:rPr>
              <w:t>“</w:t>
            </w:r>
            <w:r>
              <w:rPr>
                <w:rStyle w:val="28"/>
                <w:color w:val="auto"/>
                <w:sz w:val="22"/>
                <w:szCs w:val="22"/>
                <w:highlight w:val="none"/>
              </w:rPr>
              <w:t>信用中国</w:t>
            </w:r>
            <w:r>
              <w:rPr>
                <w:rStyle w:val="28"/>
                <w:rFonts w:hint="eastAsia"/>
                <w:color w:val="auto"/>
                <w:sz w:val="22"/>
                <w:szCs w:val="22"/>
                <w:highlight w:val="none"/>
              </w:rPr>
              <w:t>”</w:t>
            </w:r>
            <w:r>
              <w:rPr>
                <w:rStyle w:val="28"/>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8"/>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2"/>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2"/>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2"/>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19034_WPSOffice_Level1"/>
      <w:bookmarkStart w:id="147" w:name="_Toc31963_WPSOffice_Level1"/>
      <w:bookmarkStart w:id="148" w:name="_Toc2428_WPSOffice_Level1"/>
      <w:bookmarkStart w:id="149" w:name="_Toc13165_WPSOffice_Level1"/>
      <w:bookmarkStart w:id="150" w:name="_Toc5957_WPSOffice_Level1"/>
    </w:p>
    <w:p>
      <w:pPr>
        <w:rPr>
          <w:rFonts w:hint="eastAsia"/>
          <w:lang w:val="en-US" w:eastAsia="zh-CN"/>
        </w:rPr>
      </w:pPr>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32"/>
        <w:rPr>
          <w:rFonts w:hint="eastAsia"/>
        </w:rPr>
      </w:pPr>
    </w:p>
    <w:p>
      <w:pPr>
        <w:pStyle w:val="32"/>
        <w:rPr>
          <w:rFonts w:hint="eastAsia"/>
        </w:rPr>
      </w:pPr>
    </w:p>
    <w:p>
      <w:pPr>
        <w:pStyle w:val="32"/>
        <w:rPr>
          <w:rFonts w:hint="eastAsia"/>
        </w:rPr>
      </w:pPr>
    </w:p>
    <w:p>
      <w:pPr>
        <w:pStyle w:val="32"/>
        <w:rPr>
          <w:rFonts w:hint="eastAsia"/>
        </w:rPr>
      </w:pPr>
    </w:p>
    <w:p>
      <w:pP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br w:type="page"/>
      </w:r>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七、其</w:t>
      </w:r>
      <w:bookmarkEnd w:id="145"/>
      <w:r>
        <w:rPr>
          <w:rFonts w:hint="eastAsia" w:ascii="黑体" w:hAnsi="黑体" w:eastAsia="黑体" w:cs="黑体"/>
          <w:b/>
          <w:bCs w:val="0"/>
          <w:sz w:val="28"/>
          <w:szCs w:val="24"/>
          <w:highlight w:val="none"/>
          <w:lang w:val="en-US" w:eastAsia="zh-CN"/>
        </w:rPr>
        <w:t>他材料</w:t>
      </w:r>
      <w:bookmarkEnd w:id="146"/>
      <w:bookmarkEnd w:id="147"/>
      <w:bookmarkEnd w:id="148"/>
      <w:bookmarkEnd w:id="149"/>
      <w:bookmarkEnd w:id="150"/>
    </w:p>
    <w:p>
      <w:pPr>
        <w:pStyle w:val="32"/>
        <w:rPr>
          <w:rFonts w:hint="default" w:ascii="Times New Roman" w:hAnsi="Times New Roman"/>
          <w:color w:val="auto"/>
          <w:szCs w:val="28"/>
        </w:rPr>
      </w:pPr>
    </w:p>
    <w:p>
      <w:pPr>
        <w:pStyle w:val="32"/>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pStyle w:val="19"/>
      </w:pP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pStyle w:val="2"/>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rPr>
          <w:rFonts w:ascii="Times New Roman" w:hAnsi="Times New Roman" w:eastAsia="黑体" w:cs="Times New Roman"/>
          <w:sz w:val="28"/>
          <w:szCs w:val="28"/>
        </w:rPr>
      </w:pPr>
    </w:p>
    <w:p>
      <w:pPr>
        <w:pStyle w:val="19"/>
      </w:pPr>
    </w:p>
    <w:p/>
    <w:p>
      <w:r>
        <w:br w:type="page"/>
      </w:r>
    </w:p>
    <w:p>
      <w:pPr>
        <w:pStyle w:val="2"/>
      </w:pPr>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一、报价函</w:t>
      </w:r>
    </w:p>
    <w:p>
      <w:pPr>
        <w:pStyle w:val="19"/>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包</w:t>
      </w:r>
      <w:r>
        <w:rPr>
          <w:rFonts w:ascii="Times New Roman" w:hAnsi="Times New Roman" w:cs="Times New Roman"/>
          <w:sz w:val="24"/>
        </w:rPr>
        <w:t>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pStyle w:val="6"/>
        <w:numPr>
          <w:ilvl w:val="0"/>
          <w:numId w:val="0"/>
        </w:numPr>
        <w:jc w:val="center"/>
        <w:rPr>
          <w:rFonts w:hint="eastAsia" w:ascii="黑体" w:hAnsi="黑体" w:eastAsia="黑体" w:cs="黑体"/>
          <w:b/>
          <w:bCs w:val="0"/>
          <w:sz w:val="28"/>
          <w:szCs w:val="24"/>
          <w:highlight w:val="none"/>
          <w:lang w:val="en-US" w:eastAsia="zh-CN"/>
        </w:rPr>
      </w:pPr>
      <w:bookmarkStart w:id="151" w:name="_Toc272486050"/>
      <w:bookmarkStart w:id="152" w:name="_Toc153421230"/>
      <w:bookmarkStart w:id="153" w:name="_Toc162490440"/>
      <w:r>
        <w:rPr>
          <w:rFonts w:hint="eastAsia" w:ascii="黑体" w:hAnsi="黑体" w:eastAsia="黑体" w:cs="黑体"/>
          <w:b/>
          <w:bCs w:val="0"/>
          <w:sz w:val="28"/>
          <w:szCs w:val="24"/>
          <w:highlight w:val="none"/>
          <w:lang w:val="en-US" w:eastAsia="zh-CN"/>
        </w:rPr>
        <w:t>二、</w:t>
      </w:r>
      <w:bookmarkEnd w:id="151"/>
      <w:bookmarkEnd w:id="152"/>
      <w:bookmarkEnd w:id="153"/>
      <w:r>
        <w:rPr>
          <w:rFonts w:hint="eastAsia" w:ascii="黑体" w:hAnsi="黑体" w:eastAsia="黑体" w:cs="黑体"/>
          <w:b/>
          <w:bCs w:val="0"/>
          <w:sz w:val="28"/>
          <w:szCs w:val="24"/>
          <w:highlight w:val="none"/>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jc w:val="center"/>
        <w:rPr>
          <w:rFonts w:hint="default" w:ascii="Times New Roman" w:hAnsi="Times New Roman" w:eastAsia="仿宋_GB2312" w:cs="Times New Roman"/>
          <w:b/>
          <w:bCs/>
          <w:sz w:val="28"/>
          <w:szCs w:val="24"/>
          <w:highlight w:val="none"/>
        </w:rPr>
      </w:pPr>
      <w:r>
        <w:rPr>
          <w:rFonts w:hint="default" w:ascii="Times New Roman" w:hAnsi="Times New Roman" w:eastAsia="仿宋_GB2312" w:cs="Times New Roman"/>
          <w:b/>
          <w:bCs/>
          <w:sz w:val="28"/>
          <w:szCs w:val="24"/>
          <w:highlight w:val="none"/>
        </w:rPr>
        <w:t>A.说明</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本报价清单应与投标人须知、专用合同条款、技术规格等文件结合起来查阅与理解。</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除非合同另有规定，清单中综合单价和总价应包括了为实施和完成合同所需的设计费、制造费、材料费、利润、税费（含增值税</w:t>
      </w:r>
      <w:r>
        <w:rPr>
          <w:rFonts w:hint="default" w:ascii="Times New Roman" w:hAnsi="Times New Roman" w:eastAsia="仿宋_GB2312" w:cs="Times New Roman"/>
          <w:sz w:val="24"/>
          <w:szCs w:val="24"/>
          <w:highlight w:val="none"/>
          <w:lang w:val="en-US" w:eastAsia="zh-CN"/>
        </w:rPr>
        <w:t>13%</w:t>
      </w:r>
      <w:r>
        <w:rPr>
          <w:rFonts w:hint="default" w:ascii="Times New Roman" w:hAnsi="Times New Roman" w:eastAsia="仿宋_GB2312" w:cs="Times New Roman"/>
          <w:sz w:val="24"/>
          <w:szCs w:val="24"/>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报价清单中的各项费用货币单位均为人民币(元)。</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交货期以合同签订之日起算。</w:t>
      </w:r>
    </w:p>
    <w:p>
      <w:pPr>
        <w:pStyle w:val="18"/>
        <w:jc w:val="right"/>
        <w:rPr>
          <w:rFonts w:hint="eastAsia"/>
          <w:lang w:val="en-US" w:eastAsia="zh-CN"/>
        </w:rPr>
      </w:pPr>
    </w:p>
    <w:p>
      <w:pPr>
        <w:pStyle w:val="18"/>
        <w:rPr>
          <w:rFonts w:hint="eastAsia"/>
          <w:lang w:val="en-US" w:eastAsia="zh-CN"/>
        </w:rPr>
      </w:pPr>
    </w:p>
    <w:p>
      <w:pPr>
        <w:rPr>
          <w:rFonts w:hint="eastAsia"/>
          <w:lang w:val="en-US" w:eastAsia="zh-CN"/>
        </w:rPr>
      </w:pPr>
      <w:r>
        <w:rPr>
          <w:rFonts w:hint="eastAsia"/>
          <w:lang w:val="en-US" w:eastAsia="zh-CN"/>
        </w:rPr>
        <w:br w:type="page"/>
      </w:r>
    </w:p>
    <w:p>
      <w:pPr>
        <w:spacing w:line="360" w:lineRule="auto"/>
        <w:jc w:val="center"/>
        <w:rPr>
          <w:rFonts w:hint="eastAsia" w:ascii="仿宋_GB2312" w:hAnsi="仿宋_GB2312" w:eastAsia="仿宋_GB2312" w:cs="仿宋_GB2312"/>
          <w:b/>
          <w:bCs/>
          <w:sz w:val="28"/>
          <w:szCs w:val="24"/>
          <w:highlight w:val="none"/>
          <w:lang w:eastAsia="zh-CN"/>
        </w:rPr>
      </w:pPr>
      <w:r>
        <w:rPr>
          <w:rFonts w:hint="eastAsia" w:ascii="仿宋_GB2312" w:hAnsi="仿宋_GB2312" w:eastAsia="仿宋_GB2312" w:cs="仿宋_GB2312"/>
          <w:b/>
          <w:bCs/>
          <w:sz w:val="28"/>
          <w:szCs w:val="24"/>
          <w:highlight w:val="none"/>
        </w:rPr>
        <w:t>B.</w:t>
      </w:r>
      <w:r>
        <w:rPr>
          <w:rFonts w:hint="eastAsia" w:ascii="仿宋_GB2312" w:hAnsi="仿宋_GB2312" w:eastAsia="仿宋_GB2312" w:cs="仿宋_GB2312"/>
          <w:b/>
          <w:bCs/>
          <w:sz w:val="28"/>
          <w:szCs w:val="24"/>
          <w:highlight w:val="none"/>
          <w:lang w:eastAsia="zh-CN"/>
        </w:rPr>
        <w:t>已标价工程量清单</w:t>
      </w:r>
    </w:p>
    <w:p>
      <w:pPr>
        <w:spacing w:line="360" w:lineRule="auto"/>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Cs/>
          <w:sz w:val="24"/>
          <w:szCs w:val="24"/>
          <w:highlight w:val="none"/>
          <w:lang w:val="en-US" w:eastAsia="zh-CN"/>
        </w:rPr>
        <w:t>供应商</w:t>
      </w:r>
      <w:r>
        <w:rPr>
          <w:rFonts w:hint="default" w:ascii="Times New Roman" w:hAnsi="Times New Roman" w:eastAsia="仿宋_GB2312" w:cs="Times New Roman"/>
          <w:bCs/>
          <w:sz w:val="24"/>
          <w:szCs w:val="24"/>
          <w:highlight w:val="none"/>
        </w:rPr>
        <w:t>按照</w:t>
      </w:r>
      <w:r>
        <w:rPr>
          <w:rFonts w:hint="default" w:ascii="Times New Roman" w:hAnsi="Times New Roman" w:eastAsia="仿宋_GB2312" w:cs="Times New Roman"/>
          <w:bCs/>
          <w:sz w:val="24"/>
          <w:szCs w:val="24"/>
          <w:highlight w:val="none"/>
          <w:lang w:eastAsia="zh-CN"/>
        </w:rPr>
        <w:t>采购人</w:t>
      </w:r>
      <w:r>
        <w:rPr>
          <w:rFonts w:hint="default" w:ascii="Times New Roman" w:hAnsi="Times New Roman" w:eastAsia="仿宋_GB2312" w:cs="Times New Roman"/>
          <w:bCs/>
          <w:sz w:val="24"/>
          <w:szCs w:val="24"/>
          <w:highlight w:val="none"/>
        </w:rPr>
        <w:t>提供的“</w:t>
      </w:r>
      <w:r>
        <w:rPr>
          <w:rFonts w:hint="default" w:ascii="Times New Roman" w:hAnsi="Times New Roman" w:eastAsia="仿宋_GB2312" w:cs="Times New Roman"/>
          <w:bCs/>
          <w:sz w:val="24"/>
          <w:szCs w:val="24"/>
          <w:highlight w:val="none"/>
          <w:lang w:val="en-US" w:eastAsia="zh-CN"/>
        </w:rPr>
        <w:t>附件：</w:t>
      </w:r>
      <w:r>
        <w:rPr>
          <w:rFonts w:hint="default" w:ascii="Times New Roman" w:hAnsi="Times New Roman" w:eastAsia="仿宋_GB2312" w:cs="Times New Roman"/>
          <w:bCs/>
          <w:sz w:val="24"/>
          <w:szCs w:val="24"/>
          <w:highlight w:val="none"/>
        </w:rPr>
        <w:t>工程量清单”的要求逐项填报工程量清单，包括但不限于工程量清单说明、投标报价说明及工程量清单各项表格。</w:t>
      </w:r>
    </w:p>
    <w:p>
      <w:pPr>
        <w:pStyle w:val="18"/>
        <w:rPr>
          <w:rFonts w:hint="eastAsia"/>
          <w:b/>
          <w:bCs/>
          <w:sz w:val="28"/>
          <w:szCs w:val="28"/>
          <w:lang w:val="en-US" w:eastAsia="zh-CN"/>
        </w:rPr>
      </w:pPr>
    </w:p>
    <w:p>
      <w:pPr>
        <w:pStyle w:val="18"/>
        <w:rPr>
          <w:rFonts w:hint="eastAsia"/>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8BD782-8795-4F2B-B3BB-31C509A95C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7D891BB-578D-4501-8F8D-B079C98B4DEC}"/>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6AC337EC-4284-4DC2-A9F3-38BE6134EE68}"/>
  </w:font>
  <w:font w:name="华文楷体">
    <w:panose1 w:val="02010600040101010101"/>
    <w:charset w:val="86"/>
    <w:family w:val="auto"/>
    <w:pitch w:val="default"/>
    <w:sig w:usb0="00000287" w:usb1="080F0000" w:usb2="00000000" w:usb3="00000000" w:csb0="0004009F" w:csb1="DFD70000"/>
    <w:embedRegular r:id="rId4" w:fontKey="{68EA5062-BE80-4499-B39B-103C668614D2}"/>
  </w:font>
  <w:font w:name="仿宋_GB2312">
    <w:panose1 w:val="02010609030101010101"/>
    <w:charset w:val="86"/>
    <w:family w:val="modern"/>
    <w:pitch w:val="default"/>
    <w:sig w:usb0="00000001" w:usb1="080E0000" w:usb2="00000000" w:usb3="00000000" w:csb0="00040000" w:csb1="00000000"/>
    <w:embedRegular r:id="rId5" w:fontKey="{AF4FE85F-90BC-41AC-A0DC-B35993823B2D}"/>
  </w:font>
  <w:font w:name="楷体">
    <w:panose1 w:val="02010609060101010101"/>
    <w:charset w:val="86"/>
    <w:family w:val="auto"/>
    <w:pitch w:val="default"/>
    <w:sig w:usb0="800002BF" w:usb1="38CF7CFA" w:usb2="00000016" w:usb3="00000000" w:csb0="00040001" w:csb1="00000000"/>
    <w:embedRegular r:id="rId6" w:fontKey="{13A02EC5-BE8F-4166-BB3E-5BB2F5D619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61C7D68E"/>
    <w:multiLevelType w:val="singleLevel"/>
    <w:tmpl w:val="61C7D6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c1018a2c-1e76-4c83-890d-e25759c739ad"/>
  </w:docVars>
  <w:rsids>
    <w:rsidRoot w:val="6F4D02A4"/>
    <w:rsid w:val="000708FD"/>
    <w:rsid w:val="00127C7B"/>
    <w:rsid w:val="0018274C"/>
    <w:rsid w:val="0022317B"/>
    <w:rsid w:val="00302DB5"/>
    <w:rsid w:val="00302F3A"/>
    <w:rsid w:val="005607D6"/>
    <w:rsid w:val="00641E35"/>
    <w:rsid w:val="00653222"/>
    <w:rsid w:val="00691F7C"/>
    <w:rsid w:val="00724BD4"/>
    <w:rsid w:val="0079782D"/>
    <w:rsid w:val="007C6E94"/>
    <w:rsid w:val="00861DAB"/>
    <w:rsid w:val="00950240"/>
    <w:rsid w:val="00A15DCF"/>
    <w:rsid w:val="00BC57CD"/>
    <w:rsid w:val="00D704DB"/>
    <w:rsid w:val="00E8570D"/>
    <w:rsid w:val="010A3C11"/>
    <w:rsid w:val="01457570"/>
    <w:rsid w:val="017D7CB0"/>
    <w:rsid w:val="01910DE7"/>
    <w:rsid w:val="0211370D"/>
    <w:rsid w:val="022655F4"/>
    <w:rsid w:val="023D46EC"/>
    <w:rsid w:val="023E3C6A"/>
    <w:rsid w:val="028D5673"/>
    <w:rsid w:val="02C26D91"/>
    <w:rsid w:val="02D346A3"/>
    <w:rsid w:val="02F05C02"/>
    <w:rsid w:val="0364380A"/>
    <w:rsid w:val="0371289F"/>
    <w:rsid w:val="03855DF8"/>
    <w:rsid w:val="038863C7"/>
    <w:rsid w:val="03A9557F"/>
    <w:rsid w:val="03F914B2"/>
    <w:rsid w:val="042516B9"/>
    <w:rsid w:val="042F2C67"/>
    <w:rsid w:val="043B4C5B"/>
    <w:rsid w:val="045E338A"/>
    <w:rsid w:val="047010F6"/>
    <w:rsid w:val="04701D1E"/>
    <w:rsid w:val="04E034BC"/>
    <w:rsid w:val="04FF037E"/>
    <w:rsid w:val="054416D2"/>
    <w:rsid w:val="05D2339D"/>
    <w:rsid w:val="05F94BA8"/>
    <w:rsid w:val="060774EA"/>
    <w:rsid w:val="06341F34"/>
    <w:rsid w:val="068727A0"/>
    <w:rsid w:val="07063EDC"/>
    <w:rsid w:val="070752C8"/>
    <w:rsid w:val="071D689A"/>
    <w:rsid w:val="073835B2"/>
    <w:rsid w:val="076958CF"/>
    <w:rsid w:val="07A31864"/>
    <w:rsid w:val="07AF3996"/>
    <w:rsid w:val="080B2B96"/>
    <w:rsid w:val="081D6FC0"/>
    <w:rsid w:val="08907C6B"/>
    <w:rsid w:val="08A22B86"/>
    <w:rsid w:val="08A915C9"/>
    <w:rsid w:val="08E91129"/>
    <w:rsid w:val="08EE02B1"/>
    <w:rsid w:val="09187C60"/>
    <w:rsid w:val="091A677A"/>
    <w:rsid w:val="09210464"/>
    <w:rsid w:val="097E3F67"/>
    <w:rsid w:val="0A2E7496"/>
    <w:rsid w:val="0A466107"/>
    <w:rsid w:val="0A64315D"/>
    <w:rsid w:val="0A941F2B"/>
    <w:rsid w:val="0AAD73BC"/>
    <w:rsid w:val="0AB43F10"/>
    <w:rsid w:val="0AED0915"/>
    <w:rsid w:val="0AF3003D"/>
    <w:rsid w:val="0B093D05"/>
    <w:rsid w:val="0B286939"/>
    <w:rsid w:val="0B860EB1"/>
    <w:rsid w:val="0BA10DDD"/>
    <w:rsid w:val="0BB2614A"/>
    <w:rsid w:val="0BDD422F"/>
    <w:rsid w:val="0C0D3381"/>
    <w:rsid w:val="0C126BE9"/>
    <w:rsid w:val="0C425774"/>
    <w:rsid w:val="0C56100B"/>
    <w:rsid w:val="0CB62B1E"/>
    <w:rsid w:val="0CCA74C4"/>
    <w:rsid w:val="0D604989"/>
    <w:rsid w:val="0D6A6684"/>
    <w:rsid w:val="0DBD0BDC"/>
    <w:rsid w:val="0DC42165"/>
    <w:rsid w:val="0DE02F17"/>
    <w:rsid w:val="0E3E7B9F"/>
    <w:rsid w:val="0E436CA2"/>
    <w:rsid w:val="0EA07AC2"/>
    <w:rsid w:val="0EBA46A3"/>
    <w:rsid w:val="0EBB2DAD"/>
    <w:rsid w:val="0F1D7D7F"/>
    <w:rsid w:val="0F531ACB"/>
    <w:rsid w:val="0F692FC4"/>
    <w:rsid w:val="0F6F4854"/>
    <w:rsid w:val="0F9D4A1B"/>
    <w:rsid w:val="0F9F0794"/>
    <w:rsid w:val="0FB568C1"/>
    <w:rsid w:val="0FBE1FCA"/>
    <w:rsid w:val="0FD41FBD"/>
    <w:rsid w:val="0FD4370B"/>
    <w:rsid w:val="102173FB"/>
    <w:rsid w:val="103E486A"/>
    <w:rsid w:val="106D5B52"/>
    <w:rsid w:val="108A1444"/>
    <w:rsid w:val="1090350E"/>
    <w:rsid w:val="10944070"/>
    <w:rsid w:val="10A6372F"/>
    <w:rsid w:val="10DA535D"/>
    <w:rsid w:val="10F863AD"/>
    <w:rsid w:val="110D2AFF"/>
    <w:rsid w:val="11681ED6"/>
    <w:rsid w:val="119C482A"/>
    <w:rsid w:val="11DF30C9"/>
    <w:rsid w:val="11F528ED"/>
    <w:rsid w:val="129325F3"/>
    <w:rsid w:val="12983425"/>
    <w:rsid w:val="12FA3B2F"/>
    <w:rsid w:val="13431F92"/>
    <w:rsid w:val="13763F01"/>
    <w:rsid w:val="13955E86"/>
    <w:rsid w:val="13C13BEB"/>
    <w:rsid w:val="13D604FC"/>
    <w:rsid w:val="13E11194"/>
    <w:rsid w:val="13E50081"/>
    <w:rsid w:val="13EC1865"/>
    <w:rsid w:val="144A391D"/>
    <w:rsid w:val="14AD4E8A"/>
    <w:rsid w:val="14B7657F"/>
    <w:rsid w:val="14CE63E8"/>
    <w:rsid w:val="14F15C58"/>
    <w:rsid w:val="150E5893"/>
    <w:rsid w:val="15133F2C"/>
    <w:rsid w:val="15C3657D"/>
    <w:rsid w:val="16201F02"/>
    <w:rsid w:val="163D1F3A"/>
    <w:rsid w:val="16414AC9"/>
    <w:rsid w:val="167C0AF5"/>
    <w:rsid w:val="167C76AF"/>
    <w:rsid w:val="16A14FAE"/>
    <w:rsid w:val="16C60CFC"/>
    <w:rsid w:val="17024379"/>
    <w:rsid w:val="17755202"/>
    <w:rsid w:val="1776370C"/>
    <w:rsid w:val="17CF3BE0"/>
    <w:rsid w:val="17D17958"/>
    <w:rsid w:val="185F3FF8"/>
    <w:rsid w:val="186C7681"/>
    <w:rsid w:val="18786026"/>
    <w:rsid w:val="188C4113"/>
    <w:rsid w:val="189E5E26"/>
    <w:rsid w:val="18D04606"/>
    <w:rsid w:val="18D70F9E"/>
    <w:rsid w:val="190A3122"/>
    <w:rsid w:val="190D676E"/>
    <w:rsid w:val="191A46EE"/>
    <w:rsid w:val="19600F94"/>
    <w:rsid w:val="19647370"/>
    <w:rsid w:val="19DE1C05"/>
    <w:rsid w:val="1A185E2C"/>
    <w:rsid w:val="1A3C6E09"/>
    <w:rsid w:val="1A657CD8"/>
    <w:rsid w:val="1A741F99"/>
    <w:rsid w:val="1AA97D25"/>
    <w:rsid w:val="1AF44089"/>
    <w:rsid w:val="1B1F49AA"/>
    <w:rsid w:val="1B87260E"/>
    <w:rsid w:val="1B9916E8"/>
    <w:rsid w:val="1BF956CF"/>
    <w:rsid w:val="1BFD0D5D"/>
    <w:rsid w:val="1C0C5403"/>
    <w:rsid w:val="1C511068"/>
    <w:rsid w:val="1C7D1E5D"/>
    <w:rsid w:val="1CB03FE0"/>
    <w:rsid w:val="1CB304A3"/>
    <w:rsid w:val="1CCC06EE"/>
    <w:rsid w:val="1CD07137"/>
    <w:rsid w:val="1CF12CD2"/>
    <w:rsid w:val="1D3772E3"/>
    <w:rsid w:val="1D3F5364"/>
    <w:rsid w:val="1D583653"/>
    <w:rsid w:val="1D9C6C71"/>
    <w:rsid w:val="1DAC3DB6"/>
    <w:rsid w:val="1DBC0763"/>
    <w:rsid w:val="1DC0096E"/>
    <w:rsid w:val="1DD02C25"/>
    <w:rsid w:val="1DFB32CC"/>
    <w:rsid w:val="1E085F02"/>
    <w:rsid w:val="1E3649B9"/>
    <w:rsid w:val="1E403142"/>
    <w:rsid w:val="1E4E3AB1"/>
    <w:rsid w:val="1E764DB5"/>
    <w:rsid w:val="1E7E7378"/>
    <w:rsid w:val="1E8578BB"/>
    <w:rsid w:val="1F2E5690"/>
    <w:rsid w:val="1F8615BF"/>
    <w:rsid w:val="1F93095F"/>
    <w:rsid w:val="1FAE4963"/>
    <w:rsid w:val="1FB449F5"/>
    <w:rsid w:val="1FC01B05"/>
    <w:rsid w:val="1FE64151"/>
    <w:rsid w:val="1FEA7927"/>
    <w:rsid w:val="20220D88"/>
    <w:rsid w:val="202D724A"/>
    <w:rsid w:val="203647FC"/>
    <w:rsid w:val="20432E03"/>
    <w:rsid w:val="20703AC9"/>
    <w:rsid w:val="20A91472"/>
    <w:rsid w:val="20CE5700"/>
    <w:rsid w:val="20CE712B"/>
    <w:rsid w:val="20E701EC"/>
    <w:rsid w:val="21076199"/>
    <w:rsid w:val="21366A7E"/>
    <w:rsid w:val="2188552B"/>
    <w:rsid w:val="21EC1864"/>
    <w:rsid w:val="2211172D"/>
    <w:rsid w:val="222F5C4D"/>
    <w:rsid w:val="22456F98"/>
    <w:rsid w:val="22853AE2"/>
    <w:rsid w:val="22A243CB"/>
    <w:rsid w:val="23610B8C"/>
    <w:rsid w:val="241155A9"/>
    <w:rsid w:val="241D716E"/>
    <w:rsid w:val="24BB5C18"/>
    <w:rsid w:val="250F1A33"/>
    <w:rsid w:val="252F3F10"/>
    <w:rsid w:val="253902A6"/>
    <w:rsid w:val="253F05F7"/>
    <w:rsid w:val="254A0D4A"/>
    <w:rsid w:val="254B358D"/>
    <w:rsid w:val="256E6DFD"/>
    <w:rsid w:val="25891872"/>
    <w:rsid w:val="25CC7C14"/>
    <w:rsid w:val="2613091A"/>
    <w:rsid w:val="264D0AF2"/>
    <w:rsid w:val="265909F3"/>
    <w:rsid w:val="26A60202"/>
    <w:rsid w:val="26BB5A5B"/>
    <w:rsid w:val="26E81DCB"/>
    <w:rsid w:val="26FE3B9A"/>
    <w:rsid w:val="270F3FF9"/>
    <w:rsid w:val="27621A0B"/>
    <w:rsid w:val="279E7B84"/>
    <w:rsid w:val="27B103DE"/>
    <w:rsid w:val="285445B2"/>
    <w:rsid w:val="28D24D9C"/>
    <w:rsid w:val="28F25980"/>
    <w:rsid w:val="28FE7045"/>
    <w:rsid w:val="2941798C"/>
    <w:rsid w:val="29474AEB"/>
    <w:rsid w:val="294C5129"/>
    <w:rsid w:val="295C70D0"/>
    <w:rsid w:val="296F6FD1"/>
    <w:rsid w:val="29C70BBB"/>
    <w:rsid w:val="29D55086"/>
    <w:rsid w:val="29E4351B"/>
    <w:rsid w:val="2A8F70B0"/>
    <w:rsid w:val="2AE43776"/>
    <w:rsid w:val="2B1D5459"/>
    <w:rsid w:val="2B276CB6"/>
    <w:rsid w:val="2B4F4ECF"/>
    <w:rsid w:val="2B964CE9"/>
    <w:rsid w:val="2BA82771"/>
    <w:rsid w:val="2C2263B3"/>
    <w:rsid w:val="2C9C2F72"/>
    <w:rsid w:val="2CC15D7F"/>
    <w:rsid w:val="2CE83322"/>
    <w:rsid w:val="2D141CF6"/>
    <w:rsid w:val="2D984126"/>
    <w:rsid w:val="2DBE22D5"/>
    <w:rsid w:val="2E0A4375"/>
    <w:rsid w:val="2E0C3040"/>
    <w:rsid w:val="2E0D52BF"/>
    <w:rsid w:val="2E2948CC"/>
    <w:rsid w:val="2E35623B"/>
    <w:rsid w:val="2E4E3659"/>
    <w:rsid w:val="2E6740D2"/>
    <w:rsid w:val="2EC138D2"/>
    <w:rsid w:val="2ED8288A"/>
    <w:rsid w:val="2EE205A6"/>
    <w:rsid w:val="2F18216E"/>
    <w:rsid w:val="2F1E127D"/>
    <w:rsid w:val="2F462582"/>
    <w:rsid w:val="2F582D90"/>
    <w:rsid w:val="2F652D29"/>
    <w:rsid w:val="2F714B04"/>
    <w:rsid w:val="2F920A3A"/>
    <w:rsid w:val="2FED3439"/>
    <w:rsid w:val="300246FB"/>
    <w:rsid w:val="30793AE8"/>
    <w:rsid w:val="30986E0D"/>
    <w:rsid w:val="30B55C11"/>
    <w:rsid w:val="31374878"/>
    <w:rsid w:val="31660CB9"/>
    <w:rsid w:val="319B3695"/>
    <w:rsid w:val="31D976DD"/>
    <w:rsid w:val="32164205"/>
    <w:rsid w:val="32332253"/>
    <w:rsid w:val="324271A8"/>
    <w:rsid w:val="32747406"/>
    <w:rsid w:val="329D4BAF"/>
    <w:rsid w:val="3316226B"/>
    <w:rsid w:val="333F226C"/>
    <w:rsid w:val="339A2E9C"/>
    <w:rsid w:val="33A51F6D"/>
    <w:rsid w:val="33C26030"/>
    <w:rsid w:val="33C547A5"/>
    <w:rsid w:val="34CD139C"/>
    <w:rsid w:val="34EA61B8"/>
    <w:rsid w:val="3518676F"/>
    <w:rsid w:val="35201A23"/>
    <w:rsid w:val="352E500F"/>
    <w:rsid w:val="35470E02"/>
    <w:rsid w:val="355434F9"/>
    <w:rsid w:val="35727A6C"/>
    <w:rsid w:val="35843E04"/>
    <w:rsid w:val="358907BF"/>
    <w:rsid w:val="35B540D6"/>
    <w:rsid w:val="35BB3BDF"/>
    <w:rsid w:val="35C66E2C"/>
    <w:rsid w:val="35CA2312"/>
    <w:rsid w:val="35F76384"/>
    <w:rsid w:val="361938E0"/>
    <w:rsid w:val="366A124C"/>
    <w:rsid w:val="36C144C3"/>
    <w:rsid w:val="372633C5"/>
    <w:rsid w:val="377C4EB7"/>
    <w:rsid w:val="38545D10"/>
    <w:rsid w:val="3885411B"/>
    <w:rsid w:val="388C7CC2"/>
    <w:rsid w:val="38B92676"/>
    <w:rsid w:val="38C23C8C"/>
    <w:rsid w:val="39B20761"/>
    <w:rsid w:val="39D37108"/>
    <w:rsid w:val="39F257E0"/>
    <w:rsid w:val="3A1C1BAF"/>
    <w:rsid w:val="3A1F1997"/>
    <w:rsid w:val="3A287454"/>
    <w:rsid w:val="3A7129B2"/>
    <w:rsid w:val="3AD4138A"/>
    <w:rsid w:val="3AE54FB3"/>
    <w:rsid w:val="3AE758D2"/>
    <w:rsid w:val="3AF61300"/>
    <w:rsid w:val="3AF8151D"/>
    <w:rsid w:val="3B096510"/>
    <w:rsid w:val="3B2E0A9A"/>
    <w:rsid w:val="3B3377A5"/>
    <w:rsid w:val="3B361C73"/>
    <w:rsid w:val="3B414529"/>
    <w:rsid w:val="3B47240E"/>
    <w:rsid w:val="3B5A188F"/>
    <w:rsid w:val="3B7C2F21"/>
    <w:rsid w:val="3B8A41D3"/>
    <w:rsid w:val="3BC00DC4"/>
    <w:rsid w:val="3C243C4B"/>
    <w:rsid w:val="3C4D6CFE"/>
    <w:rsid w:val="3C651D50"/>
    <w:rsid w:val="3C8666FD"/>
    <w:rsid w:val="3CAF79B9"/>
    <w:rsid w:val="3CF7310E"/>
    <w:rsid w:val="3D5347E8"/>
    <w:rsid w:val="3D734E8A"/>
    <w:rsid w:val="3D805368"/>
    <w:rsid w:val="3D912D0A"/>
    <w:rsid w:val="3DB57993"/>
    <w:rsid w:val="3E103B9E"/>
    <w:rsid w:val="3E2829E9"/>
    <w:rsid w:val="3E5113D8"/>
    <w:rsid w:val="3E832EAB"/>
    <w:rsid w:val="3ECC22A5"/>
    <w:rsid w:val="3EDB2CE7"/>
    <w:rsid w:val="3EFE0783"/>
    <w:rsid w:val="3F1E0E25"/>
    <w:rsid w:val="3F3E3276"/>
    <w:rsid w:val="3FA70E1B"/>
    <w:rsid w:val="3FB452E6"/>
    <w:rsid w:val="3FB5178A"/>
    <w:rsid w:val="3FF744E4"/>
    <w:rsid w:val="40077B0C"/>
    <w:rsid w:val="40297A82"/>
    <w:rsid w:val="403D54CD"/>
    <w:rsid w:val="407707ED"/>
    <w:rsid w:val="40786454"/>
    <w:rsid w:val="408028ED"/>
    <w:rsid w:val="40B01B97"/>
    <w:rsid w:val="40D95004"/>
    <w:rsid w:val="41212AAF"/>
    <w:rsid w:val="4178455B"/>
    <w:rsid w:val="41B25855"/>
    <w:rsid w:val="41B873F1"/>
    <w:rsid w:val="41BB6E00"/>
    <w:rsid w:val="41BF1500"/>
    <w:rsid w:val="41CF3C5E"/>
    <w:rsid w:val="41EC520B"/>
    <w:rsid w:val="41FB71FC"/>
    <w:rsid w:val="42440BA3"/>
    <w:rsid w:val="424D3EFC"/>
    <w:rsid w:val="425D1BF0"/>
    <w:rsid w:val="426A68F1"/>
    <w:rsid w:val="426B29F2"/>
    <w:rsid w:val="42754E3B"/>
    <w:rsid w:val="42764AD5"/>
    <w:rsid w:val="42E414A5"/>
    <w:rsid w:val="42ED38B0"/>
    <w:rsid w:val="430239C6"/>
    <w:rsid w:val="435F025C"/>
    <w:rsid w:val="43B23CA8"/>
    <w:rsid w:val="43DF111F"/>
    <w:rsid w:val="442716E3"/>
    <w:rsid w:val="444255B6"/>
    <w:rsid w:val="44623B29"/>
    <w:rsid w:val="44CB7E92"/>
    <w:rsid w:val="44D37FBC"/>
    <w:rsid w:val="44D53D34"/>
    <w:rsid w:val="44DD0E3B"/>
    <w:rsid w:val="44DD1721"/>
    <w:rsid w:val="44E8716A"/>
    <w:rsid w:val="450E7246"/>
    <w:rsid w:val="45260A34"/>
    <w:rsid w:val="45303661"/>
    <w:rsid w:val="4551727C"/>
    <w:rsid w:val="4574425A"/>
    <w:rsid w:val="45C218AE"/>
    <w:rsid w:val="45E82159"/>
    <w:rsid w:val="45ED0F61"/>
    <w:rsid w:val="45FB77CB"/>
    <w:rsid w:val="460C19D8"/>
    <w:rsid w:val="46767799"/>
    <w:rsid w:val="46B5206F"/>
    <w:rsid w:val="46CA0775"/>
    <w:rsid w:val="471825FE"/>
    <w:rsid w:val="475036EC"/>
    <w:rsid w:val="47574ED5"/>
    <w:rsid w:val="476304E5"/>
    <w:rsid w:val="47A878A3"/>
    <w:rsid w:val="483D1893"/>
    <w:rsid w:val="48407E8B"/>
    <w:rsid w:val="48492B5E"/>
    <w:rsid w:val="486A70F8"/>
    <w:rsid w:val="48941C0A"/>
    <w:rsid w:val="48D016B1"/>
    <w:rsid w:val="48EB621C"/>
    <w:rsid w:val="48EF63BC"/>
    <w:rsid w:val="48F03833"/>
    <w:rsid w:val="492B6619"/>
    <w:rsid w:val="494E2307"/>
    <w:rsid w:val="497B5EAF"/>
    <w:rsid w:val="49AF724A"/>
    <w:rsid w:val="49BB5BEF"/>
    <w:rsid w:val="49E550B8"/>
    <w:rsid w:val="4A304D72"/>
    <w:rsid w:val="4ADA08DD"/>
    <w:rsid w:val="4AF53CDA"/>
    <w:rsid w:val="4B302190"/>
    <w:rsid w:val="4B4B4D50"/>
    <w:rsid w:val="4B920BD1"/>
    <w:rsid w:val="4BCD1E1A"/>
    <w:rsid w:val="4C0D05F0"/>
    <w:rsid w:val="4C4D68A6"/>
    <w:rsid w:val="4C5B1CC0"/>
    <w:rsid w:val="4C6063F0"/>
    <w:rsid w:val="4D237C5B"/>
    <w:rsid w:val="4D6E195B"/>
    <w:rsid w:val="4DB33731"/>
    <w:rsid w:val="4DB34E9F"/>
    <w:rsid w:val="4DDE57A5"/>
    <w:rsid w:val="4DE4323A"/>
    <w:rsid w:val="4DED5CE9"/>
    <w:rsid w:val="4E015B9A"/>
    <w:rsid w:val="4E040F77"/>
    <w:rsid w:val="4E0D2791"/>
    <w:rsid w:val="4E9B1B4B"/>
    <w:rsid w:val="4EF15C0F"/>
    <w:rsid w:val="4F0478A8"/>
    <w:rsid w:val="4F0E4A13"/>
    <w:rsid w:val="4F18763F"/>
    <w:rsid w:val="4F245FE4"/>
    <w:rsid w:val="4F570614"/>
    <w:rsid w:val="4F5D2DEA"/>
    <w:rsid w:val="4F7A3E56"/>
    <w:rsid w:val="4F7E3AF1"/>
    <w:rsid w:val="4F7F146C"/>
    <w:rsid w:val="4FF260E2"/>
    <w:rsid w:val="50083210"/>
    <w:rsid w:val="501047BA"/>
    <w:rsid w:val="5051384E"/>
    <w:rsid w:val="50596486"/>
    <w:rsid w:val="507C1E50"/>
    <w:rsid w:val="50932863"/>
    <w:rsid w:val="50C64757"/>
    <w:rsid w:val="511A7AB0"/>
    <w:rsid w:val="51801680"/>
    <w:rsid w:val="51D82289"/>
    <w:rsid w:val="51E101BC"/>
    <w:rsid w:val="522600D8"/>
    <w:rsid w:val="5230624E"/>
    <w:rsid w:val="524B7D2C"/>
    <w:rsid w:val="525E7F64"/>
    <w:rsid w:val="528B597C"/>
    <w:rsid w:val="52A031D1"/>
    <w:rsid w:val="52B24B47"/>
    <w:rsid w:val="52B3031A"/>
    <w:rsid w:val="52BA1516"/>
    <w:rsid w:val="530879CB"/>
    <w:rsid w:val="531E71EE"/>
    <w:rsid w:val="5367649F"/>
    <w:rsid w:val="53966D81"/>
    <w:rsid w:val="53B01CF2"/>
    <w:rsid w:val="53C77F81"/>
    <w:rsid w:val="5428397F"/>
    <w:rsid w:val="54856390"/>
    <w:rsid w:val="549A28A4"/>
    <w:rsid w:val="549C03CB"/>
    <w:rsid w:val="54E35FFA"/>
    <w:rsid w:val="54F71AA5"/>
    <w:rsid w:val="55CE5FAF"/>
    <w:rsid w:val="55D65B5E"/>
    <w:rsid w:val="55FF50B5"/>
    <w:rsid w:val="563E671E"/>
    <w:rsid w:val="5647080A"/>
    <w:rsid w:val="568D4A8B"/>
    <w:rsid w:val="56AD68BF"/>
    <w:rsid w:val="56F72C39"/>
    <w:rsid w:val="57044CE4"/>
    <w:rsid w:val="5787376C"/>
    <w:rsid w:val="581A249A"/>
    <w:rsid w:val="58340631"/>
    <w:rsid w:val="58823D7B"/>
    <w:rsid w:val="588621CE"/>
    <w:rsid w:val="588927B2"/>
    <w:rsid w:val="58A14202"/>
    <w:rsid w:val="58A14BE8"/>
    <w:rsid w:val="58AC03AC"/>
    <w:rsid w:val="58B3037A"/>
    <w:rsid w:val="5906675A"/>
    <w:rsid w:val="59103135"/>
    <w:rsid w:val="593432C8"/>
    <w:rsid w:val="598F3C15"/>
    <w:rsid w:val="599E4BE5"/>
    <w:rsid w:val="59A44AE5"/>
    <w:rsid w:val="59C43179"/>
    <w:rsid w:val="59CC320E"/>
    <w:rsid w:val="59D10B16"/>
    <w:rsid w:val="59E21F44"/>
    <w:rsid w:val="59EF7044"/>
    <w:rsid w:val="59FB5B93"/>
    <w:rsid w:val="5A1256BA"/>
    <w:rsid w:val="5A323AEF"/>
    <w:rsid w:val="5A736D06"/>
    <w:rsid w:val="5AB51CCA"/>
    <w:rsid w:val="5AB57322"/>
    <w:rsid w:val="5AB86B82"/>
    <w:rsid w:val="5AED4C1B"/>
    <w:rsid w:val="5B0F630F"/>
    <w:rsid w:val="5B2D4472"/>
    <w:rsid w:val="5BA52831"/>
    <w:rsid w:val="5BC0596D"/>
    <w:rsid w:val="5BE5635E"/>
    <w:rsid w:val="5BE74621"/>
    <w:rsid w:val="5C03587B"/>
    <w:rsid w:val="5C4805D9"/>
    <w:rsid w:val="5C7236C4"/>
    <w:rsid w:val="5CAD7A90"/>
    <w:rsid w:val="5CBA0A27"/>
    <w:rsid w:val="5CF30AA7"/>
    <w:rsid w:val="5D047455"/>
    <w:rsid w:val="5D445AA3"/>
    <w:rsid w:val="5D656145"/>
    <w:rsid w:val="5DA53F1B"/>
    <w:rsid w:val="5DA54794"/>
    <w:rsid w:val="5DC63FF9"/>
    <w:rsid w:val="5DE80B25"/>
    <w:rsid w:val="5F02557F"/>
    <w:rsid w:val="5F41673E"/>
    <w:rsid w:val="5F6A078D"/>
    <w:rsid w:val="5F86664A"/>
    <w:rsid w:val="5F9A7BFD"/>
    <w:rsid w:val="5FA23A48"/>
    <w:rsid w:val="5FB36CBE"/>
    <w:rsid w:val="5FC627A0"/>
    <w:rsid w:val="5FD076A0"/>
    <w:rsid w:val="5FED36FB"/>
    <w:rsid w:val="606F72DB"/>
    <w:rsid w:val="60CC0666"/>
    <w:rsid w:val="610E27AB"/>
    <w:rsid w:val="61393910"/>
    <w:rsid w:val="61710A64"/>
    <w:rsid w:val="61DA4AD9"/>
    <w:rsid w:val="61F335F4"/>
    <w:rsid w:val="62397BA1"/>
    <w:rsid w:val="62726C0F"/>
    <w:rsid w:val="629D4803"/>
    <w:rsid w:val="62AE498D"/>
    <w:rsid w:val="62C84A81"/>
    <w:rsid w:val="62ED1A72"/>
    <w:rsid w:val="637F5A87"/>
    <w:rsid w:val="63D52938"/>
    <w:rsid w:val="63D57455"/>
    <w:rsid w:val="63EF49BB"/>
    <w:rsid w:val="63F74842"/>
    <w:rsid w:val="63FF44D2"/>
    <w:rsid w:val="64601415"/>
    <w:rsid w:val="64774677"/>
    <w:rsid w:val="64AB0CD1"/>
    <w:rsid w:val="64C96613"/>
    <w:rsid w:val="64D84E1A"/>
    <w:rsid w:val="65312DB1"/>
    <w:rsid w:val="6558033E"/>
    <w:rsid w:val="65675ED4"/>
    <w:rsid w:val="65CD0D2C"/>
    <w:rsid w:val="65EB11B2"/>
    <w:rsid w:val="6683497C"/>
    <w:rsid w:val="66B21CD0"/>
    <w:rsid w:val="66D32372"/>
    <w:rsid w:val="676E5CC7"/>
    <w:rsid w:val="67E14BAB"/>
    <w:rsid w:val="67EE0AE5"/>
    <w:rsid w:val="67F71E56"/>
    <w:rsid w:val="683A3D2B"/>
    <w:rsid w:val="684C44B3"/>
    <w:rsid w:val="686D5EAE"/>
    <w:rsid w:val="68880F3A"/>
    <w:rsid w:val="690F1726"/>
    <w:rsid w:val="69AA5856"/>
    <w:rsid w:val="69F86FD8"/>
    <w:rsid w:val="6A2D5CB0"/>
    <w:rsid w:val="6A663992"/>
    <w:rsid w:val="6A6908F7"/>
    <w:rsid w:val="6AA302AD"/>
    <w:rsid w:val="6AB10CF8"/>
    <w:rsid w:val="6ABA6C3B"/>
    <w:rsid w:val="6B246DE4"/>
    <w:rsid w:val="6B4078AA"/>
    <w:rsid w:val="6B4663C9"/>
    <w:rsid w:val="6B785296"/>
    <w:rsid w:val="6B981494"/>
    <w:rsid w:val="6BB90159"/>
    <w:rsid w:val="6BCC3834"/>
    <w:rsid w:val="6BD84130"/>
    <w:rsid w:val="6C111246"/>
    <w:rsid w:val="6C124248"/>
    <w:rsid w:val="6C450EF0"/>
    <w:rsid w:val="6C4D6279"/>
    <w:rsid w:val="6C6B059F"/>
    <w:rsid w:val="6C8E6D3B"/>
    <w:rsid w:val="6C9555FE"/>
    <w:rsid w:val="6CA00B62"/>
    <w:rsid w:val="6CBD4F2A"/>
    <w:rsid w:val="6CE05D4C"/>
    <w:rsid w:val="6CFE27E3"/>
    <w:rsid w:val="6D274D94"/>
    <w:rsid w:val="6D4318D3"/>
    <w:rsid w:val="6D8C026B"/>
    <w:rsid w:val="6D955447"/>
    <w:rsid w:val="6DB8406F"/>
    <w:rsid w:val="6DD01AB0"/>
    <w:rsid w:val="6DD857F0"/>
    <w:rsid w:val="6DEB139F"/>
    <w:rsid w:val="6E62222D"/>
    <w:rsid w:val="6E741A47"/>
    <w:rsid w:val="6E846891"/>
    <w:rsid w:val="6E8A3EFB"/>
    <w:rsid w:val="6E8B3FD1"/>
    <w:rsid w:val="6E9D5013"/>
    <w:rsid w:val="6E9E14B7"/>
    <w:rsid w:val="6EB34837"/>
    <w:rsid w:val="6EC73382"/>
    <w:rsid w:val="6EDB181C"/>
    <w:rsid w:val="6F0843FC"/>
    <w:rsid w:val="6F0C014F"/>
    <w:rsid w:val="6F0D11E7"/>
    <w:rsid w:val="6F1D644C"/>
    <w:rsid w:val="6F4D02A4"/>
    <w:rsid w:val="6FAC3760"/>
    <w:rsid w:val="6FC83DE4"/>
    <w:rsid w:val="6FD9651F"/>
    <w:rsid w:val="6FDB7D0C"/>
    <w:rsid w:val="6FF46EB5"/>
    <w:rsid w:val="705D0EFE"/>
    <w:rsid w:val="7060279C"/>
    <w:rsid w:val="706B3710"/>
    <w:rsid w:val="706B4417"/>
    <w:rsid w:val="70784F6A"/>
    <w:rsid w:val="70B2470E"/>
    <w:rsid w:val="70D77260"/>
    <w:rsid w:val="71097952"/>
    <w:rsid w:val="713117D3"/>
    <w:rsid w:val="713F23B2"/>
    <w:rsid w:val="716B764B"/>
    <w:rsid w:val="716D5171"/>
    <w:rsid w:val="71817101"/>
    <w:rsid w:val="71943263"/>
    <w:rsid w:val="71B80224"/>
    <w:rsid w:val="71CF7BDA"/>
    <w:rsid w:val="71E05943"/>
    <w:rsid w:val="720B21A0"/>
    <w:rsid w:val="72414B2C"/>
    <w:rsid w:val="725956F5"/>
    <w:rsid w:val="72775B5D"/>
    <w:rsid w:val="72CA214F"/>
    <w:rsid w:val="72E163D5"/>
    <w:rsid w:val="73010267"/>
    <w:rsid w:val="730651BF"/>
    <w:rsid w:val="73400A3E"/>
    <w:rsid w:val="734D2E7F"/>
    <w:rsid w:val="735D7E91"/>
    <w:rsid w:val="737A5923"/>
    <w:rsid w:val="7395275D"/>
    <w:rsid w:val="73CF6471"/>
    <w:rsid w:val="74956EB9"/>
    <w:rsid w:val="7496678D"/>
    <w:rsid w:val="74982505"/>
    <w:rsid w:val="749E5641"/>
    <w:rsid w:val="74EE7509"/>
    <w:rsid w:val="751540E3"/>
    <w:rsid w:val="754E7067"/>
    <w:rsid w:val="757762DF"/>
    <w:rsid w:val="75986535"/>
    <w:rsid w:val="75D91027"/>
    <w:rsid w:val="76085468"/>
    <w:rsid w:val="76183CDA"/>
    <w:rsid w:val="764861AD"/>
    <w:rsid w:val="764C0E19"/>
    <w:rsid w:val="76570D9E"/>
    <w:rsid w:val="765A1D4D"/>
    <w:rsid w:val="765F7782"/>
    <w:rsid w:val="766308F1"/>
    <w:rsid w:val="76B55A6D"/>
    <w:rsid w:val="76F37EC6"/>
    <w:rsid w:val="772B58B2"/>
    <w:rsid w:val="7735228D"/>
    <w:rsid w:val="777E3905"/>
    <w:rsid w:val="77822AD2"/>
    <w:rsid w:val="779A33A8"/>
    <w:rsid w:val="77D31AA6"/>
    <w:rsid w:val="78160310"/>
    <w:rsid w:val="78263FA6"/>
    <w:rsid w:val="783E7867"/>
    <w:rsid w:val="7846297D"/>
    <w:rsid w:val="7859644F"/>
    <w:rsid w:val="78941235"/>
    <w:rsid w:val="791E0B39"/>
    <w:rsid w:val="79487052"/>
    <w:rsid w:val="794E780F"/>
    <w:rsid w:val="7958670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796F1F"/>
    <w:rsid w:val="7CAA6238"/>
    <w:rsid w:val="7CB9207A"/>
    <w:rsid w:val="7D085F7C"/>
    <w:rsid w:val="7D2708CA"/>
    <w:rsid w:val="7D404FB3"/>
    <w:rsid w:val="7D8C697F"/>
    <w:rsid w:val="7DA02855"/>
    <w:rsid w:val="7DC73E5B"/>
    <w:rsid w:val="7DC73F51"/>
    <w:rsid w:val="7DF509C8"/>
    <w:rsid w:val="7E134C71"/>
    <w:rsid w:val="7E2A3C98"/>
    <w:rsid w:val="7E403C7E"/>
    <w:rsid w:val="7E5043EB"/>
    <w:rsid w:val="7E604231"/>
    <w:rsid w:val="7EB34E00"/>
    <w:rsid w:val="7EE747B5"/>
    <w:rsid w:val="7EF2571C"/>
    <w:rsid w:val="7F210F90"/>
    <w:rsid w:val="7F361298"/>
    <w:rsid w:val="7F837A13"/>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annotation text"/>
    <w:basedOn w:val="1"/>
    <w:qFormat/>
    <w:uiPriority w:val="0"/>
    <w:pPr>
      <w:jc w:val="left"/>
    </w:p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19455</Words>
  <Characters>20377</Characters>
  <Lines>180</Lines>
  <Paragraphs>50</Paragraphs>
  <TotalTime>4</TotalTime>
  <ScaleCrop>false</ScaleCrop>
  <LinksUpToDate>false</LinksUpToDate>
  <CharactersWithSpaces>22911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2023-10-11T07:52:00Z</cp:lastPrinted>
  <dcterms:modified xsi:type="dcterms:W3CDTF">2024-06-05T07:20:01Z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75BD5AB1F0274271A17CCFFE778D9DF2_13</vt:lpwstr>
  </property>
</Properties>
</file>