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柯家村矿区产业园、徐淮阜高速亳州段、天天高速无为安庆段防水材料</w:t>
      </w:r>
    </w:p>
    <w:p>
      <w:pPr>
        <w:pStyle w:val="2"/>
        <w:jc w:val="center"/>
        <w:rPr>
          <w:rFonts w:ascii="Times New Roman" w:hAnsi="Times New Roman" w:cs="Times New Roman"/>
          <w:color w:val="auto"/>
          <w:szCs w:val="21"/>
          <w:highlight w:val="none"/>
        </w:rPr>
      </w:pPr>
      <w:r>
        <w:rPr>
          <w:rFonts w:hint="eastAsia" w:ascii="方正小标宋简体" w:hAnsi="方正小标宋简体" w:eastAsia="方正小标宋简体" w:cs="方正小标宋简体"/>
          <w:sz w:val="44"/>
          <w:szCs w:val="44"/>
          <w:lang w:val="en-US" w:eastAsia="zh-CN"/>
        </w:rPr>
        <w:t>采购项目</w:t>
      </w:r>
    </w:p>
    <w:p>
      <w:pPr>
        <w:pStyle w:val="2"/>
        <w:rPr>
          <w:rFonts w:ascii="Times New Roman" w:hAnsi="Times New Roman" w:cs="Times New Roman"/>
          <w:color w:val="auto"/>
          <w:szCs w:val="21"/>
          <w:highlight w:val="none"/>
        </w:rPr>
      </w:pPr>
    </w:p>
    <w:p>
      <w:pPr>
        <w:pStyle w:val="2"/>
        <w:rPr>
          <w:rFonts w:ascii="Times New Roman" w:hAnsi="Times New Roman" w:cs="Times New Roman"/>
          <w:color w:val="auto"/>
          <w:szCs w:val="21"/>
          <w:highlight w:val="none"/>
        </w:rPr>
      </w:pPr>
    </w:p>
    <w:p>
      <w:pPr>
        <w:spacing w:line="540" w:lineRule="exact"/>
        <w:ind w:firstLine="420"/>
        <w:rPr>
          <w:rFonts w:ascii="Times New Roman" w:hAnsi="Times New Roman" w:cs="Times New Roman"/>
          <w:color w:val="auto"/>
          <w:szCs w:val="21"/>
          <w:highlight w:val="none"/>
        </w:rPr>
      </w:pPr>
    </w:p>
    <w:p>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eastAsia="zh-CN"/>
        </w:rPr>
        <w:t>询</w:t>
      </w:r>
      <w:r>
        <w:rPr>
          <w:rFonts w:ascii="Times New Roman" w:hAnsi="Times New Roman" w:eastAsia="黑体" w:cs="Times New Roman"/>
          <w:color w:val="auto"/>
          <w:sz w:val="52"/>
          <w:szCs w:val="52"/>
          <w:highlight w:val="none"/>
        </w:rPr>
        <w:t xml:space="preserve"> </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hint="eastAsia"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eastAsia="zh-CN"/>
        </w:rPr>
        <w:t>比</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文</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ascii="Times New Roman" w:hAnsi="Times New Roman" w:cs="Times New Roman"/>
          <w:color w:val="auto"/>
          <w:sz w:val="52"/>
          <w:szCs w:val="52"/>
          <w:highlight w:val="none"/>
        </w:rPr>
      </w:pPr>
      <w:r>
        <w:rPr>
          <w:rFonts w:ascii="Times New Roman" w:hAnsi="Times New Roman" w:eastAsia="黑体" w:cs="Times New Roman"/>
          <w:color w:val="auto"/>
          <w:sz w:val="52"/>
          <w:szCs w:val="52"/>
          <w:highlight w:val="none"/>
        </w:rPr>
        <w:t>件</w:t>
      </w:r>
    </w:p>
    <w:p>
      <w:pPr>
        <w:pStyle w:val="25"/>
        <w:ind w:left="0" w:leftChars="0" w:firstLine="0" w:firstLineChars="0"/>
        <w:rPr>
          <w:rFonts w:ascii="Times New Roman" w:hAnsi="Times New Roman" w:cs="Times New Roman"/>
          <w:color w:val="auto"/>
          <w:szCs w:val="21"/>
          <w:highlight w:val="none"/>
        </w:rPr>
      </w:pPr>
    </w:p>
    <w:p>
      <w:pPr>
        <w:spacing w:line="540" w:lineRule="exact"/>
        <w:rPr>
          <w:rFonts w:ascii="Times New Roman" w:hAnsi="Times New Roman" w:cs="Times New Roman"/>
          <w:color w:val="auto"/>
          <w:szCs w:val="21"/>
          <w:highlight w:val="none"/>
        </w:rPr>
      </w:pPr>
    </w:p>
    <w:p>
      <w:pPr>
        <w:spacing w:line="540" w:lineRule="exact"/>
        <w:ind w:firstLine="420"/>
        <w:rPr>
          <w:rFonts w:ascii="Times New Roman" w:hAnsi="Times New Roman" w:cs="Times New Roman"/>
          <w:color w:val="auto"/>
          <w:szCs w:val="21"/>
          <w:highlight w:val="none"/>
        </w:rPr>
      </w:pPr>
    </w:p>
    <w:p>
      <w:pPr>
        <w:spacing w:line="440" w:lineRule="exact"/>
        <w:rPr>
          <w:rFonts w:eastAsia="黑体"/>
          <w:color w:val="auto"/>
          <w:sz w:val="20"/>
          <w:szCs w:val="20"/>
          <w:highlight w:val="none"/>
          <w:u w:val="none"/>
        </w:rPr>
      </w:pPr>
    </w:p>
    <w:p>
      <w:pPr>
        <w:spacing w:line="440" w:lineRule="exact"/>
        <w:jc w:val="center"/>
        <w:rPr>
          <w:rFonts w:eastAsia="黑体"/>
          <w:color w:val="auto"/>
          <w:sz w:val="28"/>
          <w:szCs w:val="28"/>
          <w:highlight w:val="none"/>
          <w:u w:val="none"/>
        </w:rPr>
      </w:pPr>
      <w:r>
        <w:rPr>
          <w:rFonts w:hint="eastAsia" w:eastAsia="黑体"/>
          <w:color w:val="auto"/>
          <w:sz w:val="28"/>
          <w:szCs w:val="28"/>
          <w:highlight w:val="none"/>
          <w:u w:val="none"/>
          <w:lang w:eastAsia="zh-CN"/>
        </w:rPr>
        <w:t>采购人</w:t>
      </w:r>
      <w:r>
        <w:rPr>
          <w:rFonts w:eastAsia="黑体"/>
          <w:color w:val="auto"/>
          <w:sz w:val="28"/>
          <w:szCs w:val="28"/>
          <w:highlight w:val="none"/>
          <w:u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lang w:val="en-US" w:eastAsia="zh-CN"/>
        </w:rPr>
        <w:t xml:space="preserve">安徽交控建设工程集团有限公司  </w:t>
      </w:r>
      <w:r>
        <w:rPr>
          <w:rFonts w:eastAsia="黑体"/>
          <w:color w:val="auto"/>
          <w:sz w:val="28"/>
          <w:szCs w:val="28"/>
          <w:highlight w:val="none"/>
          <w:u w:val="none"/>
        </w:rPr>
        <w:t xml:space="preserve"> </w:t>
      </w:r>
    </w:p>
    <w:p>
      <w:pPr>
        <w:spacing w:line="440" w:lineRule="exact"/>
        <w:rPr>
          <w:rFonts w:eastAsia="黑体"/>
          <w:color w:val="auto"/>
          <w:sz w:val="28"/>
          <w:szCs w:val="28"/>
          <w:highlight w:val="none"/>
          <w:u w:val="none"/>
        </w:rPr>
      </w:pPr>
    </w:p>
    <w:p>
      <w:pPr>
        <w:spacing w:line="440" w:lineRule="exact"/>
        <w:jc w:val="center"/>
        <w:rPr>
          <w:rFonts w:ascii="Times New Roman" w:hAnsi="Times New Roman" w:eastAsia="宋体" w:cs="Times New Roman"/>
          <w:color w:val="auto"/>
          <w:sz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eastAsia="黑体"/>
          <w:color w:val="auto"/>
          <w:sz w:val="28"/>
          <w:szCs w:val="28"/>
          <w:highlight w:val="none"/>
          <w:u w:val="none"/>
          <w:lang w:val="en-US" w:eastAsia="zh-CN"/>
        </w:rPr>
        <w:t>2024</w:t>
      </w:r>
      <w:r>
        <w:rPr>
          <w:rFonts w:eastAsia="黑体"/>
          <w:color w:val="auto"/>
          <w:sz w:val="28"/>
          <w:szCs w:val="28"/>
          <w:highlight w:val="none"/>
          <w:u w:val="none"/>
        </w:rPr>
        <w:t>年</w:t>
      </w:r>
      <w:r>
        <w:rPr>
          <w:rFonts w:hint="eastAsia" w:eastAsia="黑体"/>
          <w:color w:val="auto"/>
          <w:sz w:val="28"/>
          <w:szCs w:val="28"/>
          <w:highlight w:val="none"/>
          <w:u w:val="none"/>
          <w:lang w:val="en-US" w:eastAsia="zh-CN"/>
        </w:rPr>
        <w:t>6</w:t>
      </w:r>
      <w:r>
        <w:rPr>
          <w:rFonts w:eastAsia="黑体"/>
          <w:color w:val="auto"/>
          <w:sz w:val="28"/>
          <w:szCs w:val="28"/>
          <w:highlight w:val="none"/>
          <w:u w:val="none"/>
        </w:rPr>
        <w:t>月</w:t>
      </w:r>
      <w:r>
        <w:rPr>
          <w:rFonts w:hint="eastAsia" w:eastAsia="黑体"/>
          <w:color w:val="auto"/>
          <w:sz w:val="28"/>
          <w:szCs w:val="28"/>
          <w:highlight w:val="none"/>
          <w:u w:val="none"/>
          <w:lang w:val="en-US" w:eastAsia="zh-CN"/>
        </w:rPr>
        <w:t xml:space="preserve"> </w:t>
      </w:r>
    </w:p>
    <w:sdt>
      <w:sdtPr>
        <w:rPr>
          <w:rFonts w:hint="eastAsia" w:ascii="方正小标宋简体" w:hAnsi="方正小标宋简体" w:eastAsia="方正小标宋简体" w:cs="方正小标宋简体"/>
          <w:sz w:val="44"/>
          <w:szCs w:val="44"/>
        </w:rPr>
        <w:id w:val="147464949"/>
        <w:docPartObj>
          <w:docPartGallery w:val="Table of Contents"/>
          <w:docPartUnique/>
        </w:docPartObj>
      </w:sdtPr>
      <w:sdtEndPr>
        <w:rPr>
          <w:rFonts w:hint="eastAsia" w:ascii="宋体" w:hAnsi="宋体" w:eastAsia="宋体" w:cs="方正小标宋简体"/>
          <w:sz w:val="21"/>
          <w:szCs w:val="24"/>
        </w:rPr>
      </w:sdtEndPr>
      <w:sdtContent>
        <w:p>
          <w:pPr>
            <w:jc w:val="center"/>
          </w:pPr>
          <w:r>
            <w:rPr>
              <w:rFonts w:hint="eastAsia" w:ascii="方正小标宋简体" w:hAnsi="方正小标宋简体" w:eastAsia="方正小标宋简体" w:cs="方正小标宋简体"/>
              <w:sz w:val="44"/>
              <w:szCs w:val="44"/>
            </w:rPr>
            <w:t>目录</w:t>
          </w:r>
          <w:r>
            <w:rPr>
              <w:rFonts w:ascii="宋体" w:hAnsi="宋体" w:eastAsia="宋体"/>
              <w:sz w:val="21"/>
            </w:rPr>
            <w:fldChar w:fldCharType="begin"/>
          </w:r>
          <w:r>
            <w:rPr>
              <w:rFonts w:ascii="宋体" w:hAnsi="宋体" w:eastAsia="宋体"/>
              <w:sz w:val="21"/>
            </w:rPr>
            <w:instrText xml:space="preserve">TOC \o "1-1" \h \u </w:instrText>
          </w:r>
          <w:r>
            <w:rPr>
              <w:rFonts w:ascii="宋体" w:hAnsi="宋体" w:eastAsia="宋体"/>
              <w:sz w:val="21"/>
            </w:rPr>
            <w:fldChar w:fldCharType="separate"/>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_Toc5561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第一章 采购公告</w:t>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_Toc6562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第二章 供应商须知</w:t>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_Toc15674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第三章 评审办法</w:t>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_Toc14098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xml:space="preserve">第四章 </w:t>
          </w:r>
          <w:r>
            <w:rPr>
              <w:rFonts w:hint="eastAsia" w:ascii="宋体" w:hAnsi="宋体" w:eastAsia="宋体" w:cs="宋体"/>
              <w:b w:val="0"/>
              <w:bCs w:val="0"/>
              <w:sz w:val="28"/>
              <w:szCs w:val="28"/>
              <w:lang w:val="en-US" w:eastAsia="zh-CN"/>
            </w:rPr>
            <w:t>采购</w:t>
          </w:r>
          <w:r>
            <w:rPr>
              <w:rFonts w:hint="eastAsia" w:ascii="宋体" w:hAnsi="宋体" w:eastAsia="宋体" w:cs="宋体"/>
              <w:b w:val="0"/>
              <w:bCs w:val="0"/>
              <w:sz w:val="28"/>
              <w:szCs w:val="28"/>
            </w:rPr>
            <w:t>合同内容</w:t>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_Toc31285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第五章 采购需求及清单</w:t>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_Toc17056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第六章 响应文件格式</w:t>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p>
        <w:p>
          <w:pPr>
            <w:pStyle w:val="18"/>
            <w:tabs>
              <w:tab w:val="right" w:leader="dot" w:pos="8312"/>
            </w:tabs>
          </w:pPr>
        </w:p>
        <w:p>
          <w:pPr>
            <w:jc w:val="center"/>
            <w:rPr>
              <w:rFonts w:ascii="宋体" w:hAnsi="宋体" w:eastAsia="宋体"/>
            </w:rPr>
          </w:pPr>
          <w:r>
            <w:rPr>
              <w:rFonts w:ascii="宋体" w:hAnsi="宋体" w:eastAsia="宋体"/>
            </w:rPr>
            <w:fldChar w:fldCharType="end"/>
          </w:r>
        </w:p>
      </w:sdtContent>
    </w:sdt>
    <w:p>
      <w:pPr>
        <w:jc w:val="center"/>
        <w:rPr>
          <w:rFonts w:ascii="宋体" w:hAnsi="宋体" w:eastAsia="宋体"/>
        </w:rPr>
      </w:pPr>
    </w:p>
    <w:p>
      <w:pPr>
        <w:rPr>
          <w:rFonts w:ascii="宋体" w:hAnsi="宋体" w:eastAsia="宋体"/>
        </w:rPr>
      </w:pPr>
    </w:p>
    <w:p>
      <w:pPr>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3"/>
        <w:spacing w:before="312" w:after="312"/>
        <w:rPr>
          <w:rFonts w:ascii="Times New Roman" w:hAnsi="Times New Roman" w:eastAsia="宋体" w:cs="Times New Roman"/>
        </w:rPr>
      </w:pPr>
      <w:bookmarkStart w:id="0" w:name="_Toc5561"/>
      <w:r>
        <w:rPr>
          <w:rFonts w:ascii="Times New Roman" w:hAnsi="Times New Roman" w:eastAsia="宋体" w:cs="Times New Roman"/>
        </w:rPr>
        <w:t>采购公告</w:t>
      </w:r>
      <w:bookmarkEnd w:id="0"/>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 w:name="_Toc13871"/>
      <w:bookmarkStart w:id="2" w:name="_Toc6496_WPSOffice_Level2"/>
      <w:bookmarkStart w:id="3" w:name="_Toc12765"/>
      <w:bookmarkStart w:id="4" w:name="_Toc24354_WPSOffice_Level2"/>
      <w:bookmarkStart w:id="5" w:name="_Toc10395_WPSOffice_Level2"/>
      <w:bookmarkStart w:id="6" w:name="_Toc525632585"/>
      <w:bookmarkStart w:id="7" w:name="_Toc4489_WPSOffice_Level2"/>
      <w:r>
        <w:rPr>
          <w:rFonts w:ascii="Times New Roman" w:hAnsi="Times New Roman" w:eastAsia="黑体" w:cs="Times New Roman"/>
          <w:bCs w:val="0"/>
          <w:sz w:val="22"/>
          <w:szCs w:val="15"/>
        </w:rPr>
        <w:t>项目简介</w:t>
      </w:r>
      <w:bookmarkEnd w:id="1"/>
      <w:bookmarkEnd w:id="2"/>
      <w:bookmarkEnd w:id="3"/>
      <w:bookmarkEnd w:id="4"/>
      <w:bookmarkEnd w:id="5"/>
      <w:bookmarkEnd w:id="6"/>
      <w:bookmarkEnd w:id="7"/>
    </w:p>
    <w:p>
      <w:pPr>
        <w:numPr>
          <w:ilvl w:val="1"/>
          <w:numId w:val="4"/>
        </w:num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bookmarkStart w:id="8" w:name="_Toc10074_WPSOffice_Level2"/>
      <w:bookmarkStart w:id="9" w:name="_Toc23755_WPSOffice_Level2"/>
      <w:r>
        <w:rPr>
          <w:rFonts w:ascii="Times New Roman" w:hAnsi="Times New Roman" w:cs="Times New Roman"/>
          <w:color w:val="auto"/>
          <w:szCs w:val="22"/>
          <w:highlight w:val="none"/>
        </w:rPr>
        <w:t>项目名称：</w:t>
      </w:r>
      <w:bookmarkEnd w:id="8"/>
      <w:bookmarkEnd w:id="9"/>
      <w:bookmarkStart w:id="10" w:name="_Toc9705_WPSOffice_Level2"/>
      <w:bookmarkStart w:id="11" w:name="_Toc4396_WPSOffice_Level2"/>
      <w:r>
        <w:rPr>
          <w:rFonts w:hint="eastAsia" w:ascii="Times New Roman" w:hAnsi="Times New Roman" w:cs="Times New Roman"/>
          <w:color w:val="auto"/>
          <w:szCs w:val="22"/>
          <w:highlight w:val="none"/>
          <w:u w:val="single"/>
          <w:lang w:val="en-US" w:eastAsia="zh-CN"/>
        </w:rPr>
        <w:t>柯家村矿区产业园、徐淮阜高速亳州段、天天高速无为安庆段防水材料采购项目</w:t>
      </w:r>
    </w:p>
    <w:p>
      <w:pPr>
        <w:numPr>
          <w:ilvl w:val="0"/>
          <w:numId w:val="0"/>
        </w:numPr>
        <w:snapToGrid w:val="0"/>
        <w:spacing w:line="440" w:lineRule="exact"/>
        <w:ind w:left="0" w:leftChars="0" w:firstLine="420" w:firstLineChars="200"/>
        <w:jc w:val="left"/>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 xml:space="preserve">1.2 </w:t>
      </w:r>
      <w:r>
        <w:rPr>
          <w:rFonts w:ascii="Times New Roman" w:hAnsi="Times New Roman" w:cs="Times New Roman"/>
          <w:color w:val="auto"/>
          <w:szCs w:val="22"/>
          <w:highlight w:val="none"/>
        </w:rPr>
        <w:t>采 购 人：</w:t>
      </w:r>
      <w:bookmarkEnd w:id="10"/>
      <w:bookmarkEnd w:id="11"/>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bookmarkStart w:id="262" w:name="_GoBack"/>
      <w:bookmarkEnd w:id="262"/>
    </w:p>
    <w:p>
      <w:pPr>
        <w:snapToGrid w:val="0"/>
        <w:spacing w:line="440" w:lineRule="exact"/>
        <w:ind w:firstLine="420" w:firstLineChars="200"/>
        <w:rPr>
          <w:rFonts w:ascii="Times New Roman" w:hAnsi="Times New Roman" w:eastAsia="宋体" w:cs="Times New Roman"/>
          <w:color w:val="auto"/>
          <w:szCs w:val="22"/>
          <w:highlight w:val="none"/>
        </w:rPr>
      </w:pPr>
      <w:bookmarkStart w:id="12" w:name="_Toc25273_WPSOffice_Level2"/>
      <w:bookmarkStart w:id="13" w:name="_Toc18704_WPSOffice_Level2"/>
      <w:r>
        <w:rPr>
          <w:rFonts w:ascii="Times New Roman" w:hAnsi="Times New Roman" w:cs="Times New Roman"/>
          <w:color w:val="auto"/>
          <w:szCs w:val="22"/>
          <w:highlight w:val="none"/>
        </w:rPr>
        <w:t>1.3 项目概况：</w:t>
      </w:r>
      <w:bookmarkEnd w:id="12"/>
      <w:bookmarkEnd w:id="13"/>
      <w:r>
        <w:rPr>
          <w:rFonts w:hint="eastAsia" w:ascii="Times New Roman" w:hAnsi="Times New Roman" w:cs="Times New Roman"/>
          <w:b/>
          <w:bCs/>
          <w:color w:val="auto"/>
          <w:szCs w:val="22"/>
          <w:highlight w:val="none"/>
          <w:u w:val="single"/>
          <w:lang w:val="en-US" w:eastAsia="zh-CN"/>
        </w:rPr>
        <w:t>01包段安徽交控东流新材料有限公司柯家村矿区及深加工产业园房建工程(EPC)、徐州至淮北至阜阳高速公路亳州段房建工程防水材料采购项目</w:t>
      </w:r>
      <w:r>
        <w:rPr>
          <w:rFonts w:hint="eastAsia" w:ascii="Times New Roman" w:hAnsi="Times New Roman" w:cs="Times New Roman"/>
          <w:color w:val="auto"/>
          <w:szCs w:val="22"/>
          <w:highlight w:val="none"/>
          <w:u w:val="single"/>
          <w:lang w:eastAsia="zh-CN"/>
        </w:rPr>
        <w:t>；</w:t>
      </w:r>
      <w:r>
        <w:rPr>
          <w:rFonts w:hint="eastAsia" w:ascii="Times New Roman" w:hAnsi="Times New Roman" w:cs="Times New Roman"/>
          <w:b/>
          <w:bCs/>
          <w:color w:val="auto"/>
          <w:szCs w:val="22"/>
          <w:highlight w:val="none"/>
          <w:u w:val="single"/>
          <w:lang w:val="en-US" w:eastAsia="zh-CN"/>
        </w:rPr>
        <w:t>02包段天天高速公路无为至安庆段房建工程施工防水材料采购项目</w:t>
      </w:r>
      <w:r>
        <w:rPr>
          <w:rFonts w:hint="eastAsia" w:cs="Times New Roman"/>
          <w:color w:val="auto"/>
          <w:sz w:val="21"/>
          <w:szCs w:val="22"/>
          <w:highlight w:val="none"/>
          <w:u w:val="single"/>
          <w:lang w:eastAsia="zh-CN"/>
        </w:rPr>
        <w:t>。采购人要求送货到指定位置，符合各项要求并通过验收。</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4" w:name="_Toc55466804"/>
      <w:bookmarkStart w:id="15" w:name="_Toc2127_WPSOffice_Level2"/>
      <w:bookmarkStart w:id="16" w:name="_Toc2938"/>
      <w:bookmarkStart w:id="17" w:name="_Toc1586"/>
      <w:r>
        <w:rPr>
          <w:rFonts w:ascii="Times New Roman" w:hAnsi="Times New Roman" w:eastAsia="黑体" w:cs="Times New Roman"/>
          <w:bCs w:val="0"/>
          <w:color w:val="auto"/>
          <w:sz w:val="22"/>
          <w:szCs w:val="15"/>
          <w:highlight w:val="none"/>
        </w:rPr>
        <w:t>采购说明</w:t>
      </w:r>
      <w:bookmarkEnd w:id="14"/>
      <w:bookmarkEnd w:id="15"/>
      <w:bookmarkEnd w:id="16"/>
      <w:bookmarkEnd w:id="17"/>
    </w:p>
    <w:p>
      <w:pPr>
        <w:snapToGrid w:val="0"/>
        <w:spacing w:line="440" w:lineRule="exact"/>
        <w:ind w:firstLine="420" w:firstLineChars="200"/>
        <w:rPr>
          <w:rFonts w:ascii="Times New Roman" w:hAnsi="Times New Roman" w:cs="Times New Roman"/>
          <w:color w:val="auto"/>
          <w:szCs w:val="22"/>
          <w:highlight w:val="none"/>
          <w:u w:val="single"/>
        </w:rPr>
      </w:pPr>
      <w:bookmarkStart w:id="18" w:name="_Toc31676_WPSOffice_Level2"/>
      <w:r>
        <w:rPr>
          <w:rFonts w:ascii="Times New Roman" w:hAnsi="Times New Roman" w:cs="Times New Roman"/>
          <w:color w:val="auto"/>
          <w:szCs w:val="22"/>
          <w:highlight w:val="none"/>
        </w:rPr>
        <w:t>2.1 采购方式：</w:t>
      </w:r>
      <w:r>
        <w:rPr>
          <w:rFonts w:hint="eastAsia" w:ascii="Times New Roman" w:hAnsi="Times New Roman" w:cs="Times New Roman"/>
          <w:color w:val="auto"/>
          <w:szCs w:val="22"/>
          <w:highlight w:val="none"/>
          <w:u w:val="single"/>
          <w:lang w:eastAsia="zh-CN"/>
        </w:rPr>
        <w:t>询比</w:t>
      </w:r>
      <w:r>
        <w:rPr>
          <w:rFonts w:ascii="Times New Roman" w:hAnsi="Times New Roman" w:cs="Times New Roman"/>
          <w:color w:val="auto"/>
          <w:szCs w:val="22"/>
          <w:highlight w:val="none"/>
          <w:u w:val="single"/>
        </w:rPr>
        <w:t>采购</w:t>
      </w:r>
      <w:bookmarkEnd w:id="18"/>
    </w:p>
    <w:p>
      <w:pPr>
        <w:snapToGrid w:val="0"/>
        <w:spacing w:line="440" w:lineRule="exact"/>
        <w:ind w:firstLine="420" w:firstLineChars="200"/>
        <w:rPr>
          <w:rFonts w:hint="default" w:ascii="Times New Roman" w:hAnsi="Times New Roman" w:cs="Times New Roman" w:eastAsiaTheme="minorEastAsia"/>
          <w:color w:val="auto"/>
          <w:szCs w:val="22"/>
          <w:highlight w:val="none"/>
          <w:u w:val="single"/>
          <w:lang w:val="en-US" w:eastAsia="zh-CN"/>
        </w:rPr>
      </w:pPr>
      <w:bookmarkStart w:id="19" w:name="_Toc2142_WPSOffice_Level2"/>
      <w:r>
        <w:rPr>
          <w:rFonts w:ascii="Times New Roman" w:hAnsi="Times New Roman" w:cs="Times New Roman"/>
          <w:color w:val="auto"/>
          <w:szCs w:val="22"/>
          <w:highlight w:val="none"/>
        </w:rPr>
        <w:t>2.2 资金来源及比例：</w:t>
      </w:r>
      <w:r>
        <w:rPr>
          <w:rFonts w:ascii="Times New Roman" w:hAnsi="Times New Roman" w:cs="Times New Roman"/>
          <w:color w:val="auto"/>
          <w:szCs w:val="22"/>
          <w:highlight w:val="none"/>
          <w:u w:val="single"/>
        </w:rPr>
        <w:t>企业自筹</w:t>
      </w:r>
      <w:bookmarkEnd w:id="19"/>
      <w:r>
        <w:rPr>
          <w:rFonts w:hint="eastAsia" w:ascii="Times New Roman" w:hAnsi="Times New Roman" w:cs="Times New Roman"/>
          <w:color w:val="auto"/>
          <w:szCs w:val="22"/>
          <w:highlight w:val="none"/>
          <w:u w:val="single"/>
          <w:lang w:val="en-US" w:eastAsia="zh-CN"/>
        </w:rPr>
        <w:t>100%</w:t>
      </w:r>
    </w:p>
    <w:p>
      <w:pPr>
        <w:snapToGrid w:val="0"/>
        <w:spacing w:line="440" w:lineRule="exact"/>
        <w:ind w:firstLine="420" w:firstLineChars="200"/>
        <w:rPr>
          <w:rFonts w:hint="eastAsia" w:cs="Times New Roman"/>
          <w:color w:val="auto"/>
          <w:sz w:val="21"/>
          <w:szCs w:val="22"/>
          <w:highlight w:val="none"/>
          <w:u w:val="single"/>
          <w:lang w:eastAsia="zh-CN"/>
        </w:rPr>
      </w:pPr>
      <w:bookmarkStart w:id="20" w:name="_Toc6523_WPSOffice_Level2"/>
      <w:r>
        <w:rPr>
          <w:rFonts w:ascii="Times New Roman" w:hAnsi="Times New Roman" w:cs="Times New Roman"/>
          <w:color w:val="auto"/>
          <w:szCs w:val="22"/>
          <w:highlight w:val="none"/>
        </w:rPr>
        <w:t xml:space="preserve">2.3 </w:t>
      </w:r>
      <w:r>
        <w:rPr>
          <w:rFonts w:hint="eastAsia" w:ascii="Times New Roman" w:hAnsi="Times New Roman" w:cs="Times New Roman"/>
          <w:color w:val="auto"/>
          <w:szCs w:val="22"/>
          <w:highlight w:val="none"/>
        </w:rPr>
        <w:t>采购范围：</w:t>
      </w:r>
      <w:bookmarkEnd w:id="20"/>
      <w:bookmarkStart w:id="21" w:name="_Toc4684_WPSOffice_Level2"/>
      <w:r>
        <w:rPr>
          <w:rFonts w:hint="eastAsia" w:ascii="Times New Roman" w:hAnsi="Times New Roman" w:cs="Times New Roman"/>
          <w:color w:val="auto"/>
          <w:szCs w:val="22"/>
          <w:highlight w:val="none"/>
          <w:u w:val="single"/>
        </w:rPr>
        <w:t>安徽交控东流新材料有限公司柯家村矿区及深加工产业园房建工程(EPC)</w:t>
      </w:r>
      <w:r>
        <w:rPr>
          <w:rFonts w:hint="eastAsia" w:ascii="Times New Roman" w:hAnsi="Times New Roman" w:cs="Times New Roman"/>
          <w:color w:val="auto"/>
          <w:szCs w:val="22"/>
          <w:highlight w:val="none"/>
          <w:u w:val="single"/>
          <w:lang w:eastAsia="zh-CN"/>
        </w:rPr>
        <w:t>、徐州至淮北至阜阳高速公路亳州段房建工程、天天高速公路无为至安庆段房建工程施工项目施工</w:t>
      </w:r>
      <w:r>
        <w:rPr>
          <w:rFonts w:hint="eastAsia" w:ascii="Times New Roman" w:hAnsi="Times New Roman" w:cs="Times New Roman"/>
          <w:color w:val="auto"/>
          <w:szCs w:val="22"/>
          <w:highlight w:val="none"/>
          <w:u w:val="single"/>
          <w:lang w:val="en-US" w:eastAsia="zh-CN"/>
        </w:rPr>
        <w:t>防水材料</w:t>
      </w:r>
      <w:r>
        <w:rPr>
          <w:rFonts w:hint="eastAsia" w:cs="Times New Roman"/>
          <w:color w:val="auto"/>
          <w:sz w:val="21"/>
          <w:szCs w:val="22"/>
          <w:highlight w:val="none"/>
          <w:u w:val="single"/>
          <w:lang w:eastAsia="zh-CN"/>
        </w:rPr>
        <w:t>。</w:t>
      </w:r>
    </w:p>
    <w:p>
      <w:pPr>
        <w:snapToGrid w:val="0"/>
        <w:spacing w:line="440" w:lineRule="exact"/>
        <w:ind w:firstLine="420" w:firstLineChars="200"/>
        <w:rPr>
          <w:rFonts w:hint="eastAsia" w:asciiTheme="minorEastAsia" w:hAnsiTheme="minorEastAsia" w:cstheme="minorEastAsia"/>
          <w:color w:val="auto"/>
          <w:szCs w:val="22"/>
          <w:highlight w:val="none"/>
          <w:u w:val="single"/>
          <w:lang w:val="en-US" w:eastAsia="zh-CN"/>
        </w:rPr>
      </w:pPr>
      <w:r>
        <w:rPr>
          <w:rFonts w:hint="default" w:ascii="Times New Roman" w:hAnsi="Times New Roman" w:cs="Times New Roman" w:eastAsiaTheme="minorEastAsia"/>
          <w:color w:val="auto"/>
          <w:szCs w:val="22"/>
          <w:highlight w:val="none"/>
          <w:lang w:val="en-US" w:eastAsia="zh-CN"/>
        </w:rPr>
        <w:t>2.4</w:t>
      </w:r>
      <w:r>
        <w:rPr>
          <w:rFonts w:hint="eastAsia" w:ascii="Times New Roman" w:hAnsi="Times New Roman" w:cs="Times New Roman"/>
          <w:color w:val="auto"/>
          <w:szCs w:val="22"/>
          <w:highlight w:val="none"/>
          <w:lang w:val="en-US" w:eastAsia="zh-CN"/>
        </w:rPr>
        <w:t xml:space="preserve"> </w:t>
      </w:r>
      <w:r>
        <w:rPr>
          <w:rFonts w:hint="eastAsia" w:asciiTheme="minorEastAsia" w:hAnsiTheme="minorEastAsia" w:eastAsiaTheme="minorEastAsia" w:cstheme="minorEastAsia"/>
          <w:color w:val="auto"/>
          <w:szCs w:val="22"/>
          <w:highlight w:val="none"/>
          <w:lang w:val="en-US" w:eastAsia="zh-CN"/>
        </w:rPr>
        <w:t>品牌范围：</w:t>
      </w:r>
      <w:r>
        <w:rPr>
          <w:rFonts w:hint="eastAsia" w:asciiTheme="minorEastAsia" w:hAnsiTheme="minorEastAsia" w:cstheme="minorEastAsia"/>
          <w:b w:val="0"/>
          <w:bCs w:val="0"/>
          <w:color w:val="auto"/>
          <w:szCs w:val="22"/>
          <w:highlight w:val="none"/>
          <w:u w:val="single"/>
          <w:lang w:val="en-US" w:eastAsia="zh-CN"/>
        </w:rPr>
        <w:t>东方雨虹、科顺、宏源、卓宝</w:t>
      </w:r>
      <w:r>
        <w:rPr>
          <w:rFonts w:hint="eastAsia" w:asciiTheme="minorEastAsia" w:hAnsiTheme="minorEastAsia" w:cstheme="minorEastAsia"/>
          <w:color w:val="auto"/>
          <w:szCs w:val="22"/>
          <w:highlight w:val="none"/>
          <w:u w:val="single"/>
          <w:lang w:val="en-US" w:eastAsia="zh-CN"/>
        </w:rPr>
        <w:t>。</w:t>
      </w:r>
    </w:p>
    <w:p>
      <w:p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5</w:t>
      </w:r>
      <w:r>
        <w:rPr>
          <w:rFonts w:ascii="Times New Roman" w:hAnsi="Times New Roman" w:cs="Times New Roman"/>
          <w:color w:val="auto"/>
          <w:szCs w:val="22"/>
          <w:highlight w:val="none"/>
        </w:rPr>
        <w:t xml:space="preserve"> 合同包划分：</w:t>
      </w:r>
      <w:r>
        <w:rPr>
          <w:rFonts w:hint="eastAsia" w:ascii="Times New Roman" w:hAnsi="Times New Roman" w:cs="Times New Roman"/>
          <w:color w:val="auto"/>
          <w:szCs w:val="22"/>
          <w:highlight w:val="none"/>
          <w:u w:val="single"/>
          <w:lang w:eastAsia="zh-CN"/>
        </w:rPr>
        <w:t>共</w:t>
      </w:r>
      <w:r>
        <w:rPr>
          <w:rFonts w:hint="eastAsia" w:ascii="Times New Roman" w:hAnsi="Times New Roman" w:cs="Times New Roman"/>
          <w:color w:val="auto"/>
          <w:szCs w:val="22"/>
          <w:highlight w:val="none"/>
          <w:u w:val="single"/>
          <w:lang w:val="en-US" w:eastAsia="zh-CN"/>
        </w:rPr>
        <w:t>2个</w:t>
      </w:r>
      <w:bookmarkEnd w:id="21"/>
      <w:r>
        <w:rPr>
          <w:rFonts w:hint="eastAsia" w:ascii="Times New Roman" w:hAnsi="Times New Roman" w:cs="Times New Roman"/>
          <w:color w:val="auto"/>
          <w:szCs w:val="22"/>
          <w:highlight w:val="none"/>
          <w:u w:val="single"/>
          <w:lang w:val="en-US" w:eastAsia="zh-CN"/>
        </w:rPr>
        <w:t>包段</w:t>
      </w:r>
      <w:r>
        <w:rPr>
          <w:rFonts w:hint="eastAsia" w:ascii="Times New Roman" w:hAnsi="Times New Roman" w:cs="Times New Roman"/>
          <w:b/>
          <w:bCs/>
          <w:color w:val="auto"/>
          <w:szCs w:val="22"/>
          <w:highlight w:val="none"/>
          <w:u w:val="single"/>
          <w:lang w:eastAsia="zh-CN"/>
        </w:rPr>
        <w:t>。</w:t>
      </w:r>
    </w:p>
    <w:p>
      <w:p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r>
        <w:rPr>
          <w:rFonts w:hint="eastAsia" w:ascii="Times New Roman" w:hAnsi="Times New Roman" w:cs="Times New Roman"/>
          <w:color w:val="auto"/>
          <w:szCs w:val="22"/>
          <w:highlight w:val="none"/>
          <w:lang w:val="en-US" w:eastAsia="zh-CN"/>
        </w:rPr>
        <w:t xml:space="preserve">2.6 </w:t>
      </w:r>
      <w:r>
        <w:rPr>
          <w:rFonts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01包段人民币557万元，02包段人民币468万元。</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color w:val="auto"/>
          <w:szCs w:val="22"/>
          <w:highlight w:val="none"/>
        </w:rPr>
      </w:pPr>
      <w:r>
        <w:rPr>
          <w:rFonts w:hint="eastAsia" w:ascii="Times New Roman" w:hAnsi="Times New Roman" w:cs="Times New Roman"/>
          <w:b/>
          <w:bCs/>
          <w:color w:val="auto"/>
          <w:szCs w:val="22"/>
          <w:highlight w:val="none"/>
          <w:u w:val="single"/>
          <w:lang w:val="en-US" w:eastAsia="zh-CN"/>
        </w:rPr>
        <w:t>注：本项目中不同的包段,供应商均可以参与。多包段的成交原则：一家供应商原则上只允许承接一个包段，如果某一供应商同时在多个包段排名第一，排名靠后的供应商可响应该包段第一名的报价，由采购人确定该包段成交供应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color w:val="auto"/>
          <w:szCs w:val="22"/>
          <w:highlight w:val="none"/>
          <w:u w:val="single"/>
        </w:rPr>
      </w:pPr>
      <w:bookmarkStart w:id="22" w:name="_Toc28622_WPSOffice_Level2"/>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7</w:t>
      </w:r>
      <w:r>
        <w:rPr>
          <w:rFonts w:ascii="Times New Roman" w:hAnsi="Times New Roman" w:cs="Times New Roman"/>
          <w:color w:val="auto"/>
          <w:szCs w:val="22"/>
          <w:highlight w:val="none"/>
        </w:rPr>
        <w:t xml:space="preserve"> 计划</w:t>
      </w:r>
      <w:r>
        <w:rPr>
          <w:rFonts w:hint="eastAsia" w:ascii="Times New Roman" w:hAnsi="Times New Roman" w:cs="Times New Roman"/>
          <w:color w:val="auto"/>
          <w:szCs w:val="22"/>
          <w:highlight w:val="none"/>
          <w:lang w:val="en-US" w:eastAsia="zh-CN"/>
        </w:rPr>
        <w:t>交货期</w:t>
      </w:r>
      <w:r>
        <w:rPr>
          <w:rFonts w:ascii="Times New Roman" w:hAnsi="Times New Roman" w:cs="Times New Roman"/>
          <w:color w:val="auto"/>
          <w:szCs w:val="22"/>
          <w:highlight w:val="none"/>
        </w:rPr>
        <w:t>：</w:t>
      </w:r>
      <w:bookmarkEnd w:id="22"/>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接采购人通知后10天内到货（根据实际情况安排进度）</w:t>
      </w:r>
      <w:r>
        <w:rPr>
          <w:rFonts w:ascii="Times New Roman" w:hAnsi="Times New Roman" w:cs="Times New Roman"/>
          <w:color w:val="auto"/>
          <w:szCs w:val="22"/>
          <w:highlight w:val="none"/>
          <w:u w:val="single"/>
        </w:rPr>
        <w:t xml:space="preserve"> </w:t>
      </w:r>
    </w:p>
    <w:p>
      <w:pPr>
        <w:pStyle w:val="2"/>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default" w:eastAsiaTheme="minorEastAsia"/>
          <w:u w:val="none"/>
          <w:lang w:val="en-US" w:eastAsia="zh-CN"/>
        </w:rPr>
      </w:pPr>
      <w:r>
        <w:rPr>
          <w:rFonts w:hint="eastAsia" w:ascii="Times New Roman" w:hAnsi="Times New Roman" w:cs="Times New Roman"/>
          <w:color w:val="auto"/>
          <w:szCs w:val="22"/>
          <w:highlight w:val="none"/>
          <w:u w:val="none"/>
          <w:lang w:val="en-US" w:eastAsia="zh-CN"/>
        </w:rPr>
        <w:t>2.8 项目地点：</w:t>
      </w:r>
      <w:r>
        <w:rPr>
          <w:rFonts w:hint="eastAsia" w:ascii="Times New Roman" w:hAnsi="Times New Roman" w:cs="Times New Roman"/>
          <w:b/>
          <w:bCs/>
          <w:color w:val="auto"/>
          <w:szCs w:val="22"/>
          <w:highlight w:val="none"/>
          <w:u w:val="none"/>
          <w:lang w:val="en-US" w:eastAsia="zh-CN"/>
        </w:rPr>
        <w:t>01包</w:t>
      </w:r>
      <w:r>
        <w:rPr>
          <w:rFonts w:hint="eastAsia" w:ascii="Times New Roman" w:hAnsi="Times New Roman" w:cs="Times New Roman"/>
          <w:color w:val="auto"/>
          <w:szCs w:val="22"/>
          <w:highlight w:val="none"/>
          <w:u w:val="single"/>
        </w:rPr>
        <w:t>安徽交控东流新材料有限公司柯家村矿区及深加工产业园房建工程(EPC)</w:t>
      </w:r>
      <w:r>
        <w:rPr>
          <w:rFonts w:hint="eastAsia" w:ascii="Times New Roman" w:hAnsi="Times New Roman" w:cs="Times New Roman"/>
          <w:color w:val="auto"/>
          <w:szCs w:val="22"/>
          <w:highlight w:val="none"/>
          <w:u w:val="single"/>
          <w:lang w:eastAsia="zh-CN"/>
        </w:rPr>
        <w:t>：</w:t>
      </w:r>
      <w:r>
        <w:rPr>
          <w:rFonts w:hint="eastAsia" w:ascii="Times New Roman" w:hAnsi="Times New Roman" w:cs="Times New Roman"/>
          <w:color w:val="auto"/>
          <w:szCs w:val="22"/>
          <w:highlight w:val="none"/>
          <w:u w:val="single"/>
          <w:lang w:val="en-US" w:eastAsia="zh-CN"/>
        </w:rPr>
        <w:t>安徽省池州市东至县东流镇；</w:t>
      </w:r>
      <w:r>
        <w:rPr>
          <w:rFonts w:hint="eastAsia" w:ascii="Times New Roman" w:hAnsi="Times New Roman" w:cs="Times New Roman"/>
          <w:color w:val="auto"/>
          <w:szCs w:val="22"/>
          <w:highlight w:val="none"/>
          <w:u w:val="single"/>
          <w:lang w:eastAsia="zh-CN"/>
        </w:rPr>
        <w:t>徐州至淮北至阜阳高速公路亳州段房建工程：涡阳服务区（两侧）、涡阳收费站、涡阳西收费站、蚌埠收费站</w:t>
      </w:r>
      <w:r>
        <w:rPr>
          <w:rFonts w:hint="eastAsia" w:ascii="Times New Roman" w:hAnsi="Times New Roman" w:cs="Times New Roman"/>
          <w:color w:val="auto"/>
          <w:szCs w:val="22"/>
          <w:highlight w:val="none"/>
          <w:u w:val="single"/>
          <w:lang w:val="en-US" w:eastAsia="zh-CN"/>
        </w:rPr>
        <w:t>；</w:t>
      </w:r>
      <w:r>
        <w:rPr>
          <w:rFonts w:hint="eastAsia" w:ascii="Times New Roman" w:hAnsi="Times New Roman" w:cs="Times New Roman"/>
          <w:b/>
          <w:bCs/>
          <w:color w:val="auto"/>
          <w:szCs w:val="22"/>
          <w:highlight w:val="none"/>
          <w:u w:val="single"/>
          <w:lang w:val="en-US" w:eastAsia="zh-CN"/>
        </w:rPr>
        <w:t>02包</w:t>
      </w:r>
      <w:r>
        <w:rPr>
          <w:rFonts w:hint="eastAsia" w:ascii="Times New Roman" w:hAnsi="Times New Roman" w:cs="Times New Roman"/>
          <w:color w:val="auto"/>
          <w:szCs w:val="22"/>
          <w:highlight w:val="none"/>
          <w:u w:val="single"/>
          <w:lang w:val="en-US" w:eastAsia="zh-CN"/>
        </w:rPr>
        <w:t xml:space="preserve"> </w:t>
      </w:r>
      <w:r>
        <w:rPr>
          <w:rFonts w:hint="eastAsia" w:ascii="Times New Roman" w:hAnsi="Times New Roman" w:cs="Times New Roman"/>
          <w:color w:val="auto"/>
          <w:szCs w:val="22"/>
          <w:highlight w:val="none"/>
          <w:u w:val="single"/>
          <w:lang w:eastAsia="zh-CN"/>
        </w:rPr>
        <w:t>天天高速公路无为至安庆段房建工程施工项目：竹丝湖服务区（两侧）、金社服务区（两侧）、牛埠收费站及养护工区、项铺收费站、枞阳收费站、巨石山收费站、陈瑶湖收费站及交警营房、6 个隧道配电房。</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3" w:name="_Toc6427"/>
      <w:bookmarkStart w:id="24" w:name="_Toc55466805"/>
      <w:bookmarkStart w:id="25" w:name="_Toc22521"/>
      <w:bookmarkStart w:id="26" w:name="_Toc26260_WPSOffice_Level2"/>
      <w:r>
        <w:rPr>
          <w:rFonts w:ascii="Times New Roman" w:hAnsi="Times New Roman" w:eastAsia="黑体" w:cs="Times New Roman"/>
          <w:bCs w:val="0"/>
          <w:color w:val="auto"/>
          <w:sz w:val="22"/>
          <w:szCs w:val="15"/>
          <w:highlight w:val="none"/>
        </w:rPr>
        <w:t>供应商资格条件</w:t>
      </w:r>
      <w:bookmarkEnd w:id="23"/>
      <w:bookmarkEnd w:id="24"/>
      <w:bookmarkEnd w:id="25"/>
      <w:bookmarkEnd w:id="26"/>
      <w:r>
        <w:rPr>
          <w:rFonts w:hint="eastAsia" w:ascii="Times New Roman" w:hAnsi="Times New Roman" w:eastAsia="黑体" w:cs="Times New Roman"/>
          <w:bCs w:val="0"/>
          <w:color w:val="auto"/>
          <w:sz w:val="22"/>
          <w:szCs w:val="15"/>
          <w:highlight w:val="none"/>
          <w:lang w:eastAsia="zh-CN"/>
        </w:rPr>
        <w:t>（</w:t>
      </w:r>
      <w:r>
        <w:rPr>
          <w:rFonts w:hint="eastAsia" w:ascii="Times New Roman" w:hAnsi="Times New Roman" w:eastAsia="黑体" w:cs="Times New Roman"/>
          <w:bCs w:val="0"/>
          <w:color w:val="auto"/>
          <w:sz w:val="22"/>
          <w:szCs w:val="15"/>
          <w:highlight w:val="none"/>
          <w:lang w:val="en-US" w:eastAsia="zh-CN"/>
        </w:rPr>
        <w:t>2包通用</w:t>
      </w:r>
      <w:r>
        <w:rPr>
          <w:rFonts w:hint="eastAsia" w:ascii="Times New Roman" w:hAnsi="Times New Roman" w:eastAsia="黑体" w:cs="Times New Roman"/>
          <w:bCs w:val="0"/>
          <w:color w:val="auto"/>
          <w:sz w:val="22"/>
          <w:szCs w:val="15"/>
          <w:highlight w:val="none"/>
          <w:lang w:eastAsia="zh-CN"/>
        </w:rPr>
        <w:t>）</w:t>
      </w:r>
    </w:p>
    <w:p>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3.1</w:t>
      </w:r>
      <w:r>
        <w:rPr>
          <w:rFonts w:ascii="Times New Roman" w:hAnsi="Times New Roman" w:cs="Times New Roman"/>
          <w:color w:val="auto"/>
          <w:szCs w:val="22"/>
          <w:highlight w:val="none"/>
        </w:rPr>
        <w:t>本次采购要求供应商须具备：</w:t>
      </w:r>
    </w:p>
    <w:p>
      <w:pPr>
        <w:snapToGrid w:val="0"/>
        <w:spacing w:line="440" w:lineRule="exact"/>
        <w:ind w:firstLine="420" w:firstLineChars="200"/>
        <w:rPr>
          <w:rFonts w:hint="eastAsia" w:ascii="Times New Roman" w:hAnsi="Times New Roman" w:cs="Times New Roman"/>
          <w:color w:val="auto"/>
          <w:szCs w:val="21"/>
          <w:highlight w:val="none"/>
        </w:rPr>
      </w:pPr>
      <w:bookmarkStart w:id="27" w:name="_Toc1986_WPSOffice_Level2"/>
      <w:bookmarkStart w:id="28" w:name="_Toc23061_WPSOffice_Level2"/>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单位</w:t>
      </w:r>
      <w:r>
        <w:rPr>
          <w:rFonts w:ascii="Times New Roman" w:hAnsi="Times New Roman" w:cs="Times New Roman"/>
          <w:color w:val="auto"/>
          <w:szCs w:val="21"/>
          <w:highlight w:val="none"/>
        </w:rPr>
        <w:t>资</w:t>
      </w:r>
      <w:r>
        <w:rPr>
          <w:rFonts w:hint="eastAsia" w:ascii="Times New Roman" w:hAnsi="Times New Roman" w:cs="Times New Roman"/>
          <w:color w:val="auto"/>
          <w:szCs w:val="21"/>
          <w:highlight w:val="none"/>
          <w:lang w:val="en-US" w:eastAsia="zh-CN"/>
        </w:rPr>
        <w:t>格</w:t>
      </w:r>
      <w:r>
        <w:rPr>
          <w:rFonts w:ascii="Times New Roman" w:hAnsi="Times New Roman" w:cs="Times New Roman"/>
          <w:color w:val="auto"/>
          <w:szCs w:val="21"/>
          <w:highlight w:val="none"/>
        </w:rPr>
        <w:t>最低要求：</w:t>
      </w:r>
      <w:bookmarkEnd w:id="27"/>
      <w:bookmarkEnd w:id="28"/>
      <w:r>
        <w:rPr>
          <w:rFonts w:ascii="Times New Roman" w:hAnsi="Times New Roman" w:cs="Times New Roman"/>
          <w:color w:val="auto"/>
          <w:szCs w:val="21"/>
          <w:highlight w:val="none"/>
          <w:u w:val="single"/>
        </w:rPr>
        <w:t xml:space="preserve"> </w:t>
      </w:r>
      <w:r>
        <w:rPr>
          <w:rFonts w:hint="eastAsia" w:ascii="Times New Roman" w:hAnsi="Times New Roman" w:cs="Times New Roman"/>
          <w:b/>
          <w:bCs/>
          <w:color w:val="auto"/>
          <w:szCs w:val="21"/>
          <w:highlight w:val="none"/>
          <w:u w:val="single"/>
          <w:lang w:val="en-US" w:eastAsia="zh-CN"/>
        </w:rPr>
        <w:t>独立法人资格，能提供所投品牌产品的潜在供应商，若代理商投标，须提供所投品牌授权书</w:t>
      </w:r>
      <w:r>
        <w:rPr>
          <w:rFonts w:hint="eastAsia" w:ascii="Times New Roman" w:hAnsi="Times New Roman" w:cs="Times New Roman"/>
          <w:color w:val="auto"/>
          <w:szCs w:val="21"/>
          <w:highlight w:val="none"/>
          <w:u w:val="single"/>
          <w:lang w:val="en-US" w:eastAsia="zh-CN"/>
        </w:rPr>
        <w:t>。</w:t>
      </w:r>
    </w:p>
    <w:p>
      <w:pPr>
        <w:numPr>
          <w:ilvl w:val="0"/>
          <w:numId w:val="5"/>
        </w:numPr>
        <w:snapToGrid w:val="0"/>
        <w:spacing w:line="440" w:lineRule="exact"/>
        <w:ind w:firstLine="420" w:firstLineChars="200"/>
        <w:rPr>
          <w:rFonts w:ascii="Times New Roman" w:hAnsi="Times New Roman" w:cs="Times New Roman"/>
          <w:color w:val="auto"/>
          <w:sz w:val="21"/>
          <w:szCs w:val="21"/>
          <w:highlight w:val="none"/>
        </w:rPr>
      </w:pPr>
      <w:bookmarkStart w:id="29" w:name="_Toc24977_WPSOffice_Level2"/>
      <w:r>
        <w:rPr>
          <w:rFonts w:hint="eastAsia" w:ascii="Times New Roman" w:hAnsi="Times New Roman" w:cs="Times New Roman"/>
          <w:color w:val="auto"/>
          <w:szCs w:val="21"/>
          <w:highlight w:val="none"/>
          <w:lang w:val="en-US" w:eastAsia="zh-CN"/>
        </w:rPr>
        <w:t>业绩</w:t>
      </w:r>
      <w:r>
        <w:rPr>
          <w:rFonts w:hint="default" w:ascii="Times New Roman" w:hAnsi="Times New Roman" w:cs="Times New Roman"/>
          <w:color w:val="auto"/>
          <w:szCs w:val="21"/>
          <w:highlight w:val="none"/>
          <w:lang w:val="en-US" w:eastAsia="zh-CN"/>
        </w:rPr>
        <w:t>要求：</w:t>
      </w:r>
      <w:bookmarkEnd w:id="29"/>
      <w:r>
        <w:rPr>
          <w:rFonts w:hint="eastAsia" w:ascii="Times New Roman" w:hAnsi="Times New Roman" w:cs="Times New Roman"/>
          <w:b/>
          <w:bCs/>
          <w:color w:val="auto"/>
          <w:szCs w:val="21"/>
          <w:highlight w:val="none"/>
          <w:u w:val="single"/>
          <w:lang w:val="en-US" w:eastAsia="zh-CN"/>
        </w:rPr>
        <w:t>至少1个业绩证明（至少200万（含）防水材料销售业绩）。</w:t>
      </w:r>
      <w:r>
        <w:rPr>
          <w:rFonts w:hint="eastAsia" w:ascii="Times New Roman" w:hAnsi="Times New Roman" w:cs="Times New Roman"/>
          <w:color w:val="auto"/>
          <w:szCs w:val="21"/>
          <w:highlight w:val="none"/>
          <w:u w:val="single"/>
          <w:lang w:val="en-US" w:eastAsia="zh-CN"/>
        </w:rPr>
        <w:t xml:space="preserve"> </w:t>
      </w:r>
    </w:p>
    <w:p>
      <w:pPr>
        <w:numPr>
          <w:ilvl w:val="-1"/>
          <w:numId w:val="0"/>
        </w:numPr>
        <w:snapToGrid w:val="0"/>
        <w:spacing w:line="440" w:lineRule="exact"/>
        <w:ind w:left="0"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w:t>
      </w: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）信誉要求最低要求：</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①未被责令停业，暂扣或吊销执照，或吊销资质证书；</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color w:val="auto"/>
          <w:sz w:val="21"/>
          <w:szCs w:val="22"/>
          <w:highlight w:val="none"/>
          <w:u w:val="none"/>
          <w:lang w:val="en-US" w:eastAsia="zh-CN"/>
        </w:rPr>
        <w:t>②未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③在国家企业信用信息公示系统（http://www.gsxt.gov.cn）中未被列入严重违法失信企业名单；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④在“信用中国”网站（http://www.creditchina.gov.cn）中未被列入失信被执行人名单；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⑤在近三年内（自响应文件递交截止之日向前追溯3年）供应商或其法定代表人、项目负责人（如有）未有行贿犯罪行为。</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val="en-US" w:eastAsia="zh-CN"/>
        </w:rPr>
        <w:t>⑥</w:t>
      </w:r>
      <w:r>
        <w:rPr>
          <w:rFonts w:hint="default" w:ascii="Times New Roman" w:hAnsi="Times New Roman" w:cs="Times New Roman" w:eastAsiaTheme="minorEastAsia"/>
          <w:highlight w:val="none"/>
          <w:lang w:val="en-US" w:eastAsia="zh-CN"/>
        </w:rPr>
        <w:t>其他要求：</w:t>
      </w:r>
      <w:r>
        <w:rPr>
          <w:rFonts w:hint="eastAsia"/>
          <w:szCs w:val="21"/>
          <w:highlight w:val="none"/>
          <w:u w:val="none"/>
        </w:rPr>
        <w:t>没有法律法规规定的其他情形</w:t>
      </w:r>
      <w:r>
        <w:rPr>
          <w:rFonts w:hint="default" w:ascii="Times New Roman" w:hAnsi="Times New Roman" w:cs="Times New Roman" w:eastAsiaTheme="minorEastAsia"/>
          <w:highlight w:val="none"/>
          <w:u w:val="none"/>
          <w:lang w:val="en-US" w:eastAsia="zh-CN"/>
        </w:rPr>
        <w:t>。</w:t>
      </w:r>
    </w:p>
    <w:p>
      <w:pPr>
        <w:snapToGrid w:val="0"/>
        <w:spacing w:line="440" w:lineRule="exact"/>
        <w:ind w:firstLine="420" w:firstLineChars="200"/>
        <w:rPr>
          <w:rFonts w:hint="default" w:ascii="Times New Roman" w:hAnsi="Times New Roman" w:cs="Times New Roman"/>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default"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p>
    <w:p>
      <w:pPr>
        <w:snapToGrid w:val="0"/>
        <w:spacing w:line="440" w:lineRule="exact"/>
        <w:ind w:firstLine="420" w:firstLineChars="200"/>
        <w:rPr>
          <w:rFonts w:hint="eastAsia" w:eastAsiaTheme="minorEastAsia"/>
          <w:lang w:eastAsia="zh-CN"/>
        </w:rPr>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0" w:name="_Toc26312"/>
      <w:bookmarkStart w:id="31" w:name="_Toc55466806"/>
      <w:bookmarkStart w:id="32" w:name="_Toc22256"/>
      <w:bookmarkStart w:id="33" w:name="_Toc9021_WPSOffice_Level2"/>
      <w:r>
        <w:rPr>
          <w:rFonts w:hint="eastAsia" w:ascii="Times New Roman" w:hAnsi="Times New Roman" w:eastAsia="黑体" w:cs="Times New Roman"/>
          <w:bCs w:val="0"/>
          <w:color w:val="auto"/>
          <w:sz w:val="22"/>
          <w:szCs w:val="15"/>
          <w:highlight w:val="none"/>
          <w:lang w:eastAsia="zh-CN"/>
        </w:rPr>
        <w:t>采购文件</w:t>
      </w:r>
      <w:r>
        <w:rPr>
          <w:rFonts w:ascii="Times New Roman" w:hAnsi="Times New Roman" w:eastAsia="黑体" w:cs="Times New Roman"/>
          <w:bCs w:val="0"/>
          <w:color w:val="auto"/>
          <w:sz w:val="22"/>
          <w:szCs w:val="15"/>
          <w:highlight w:val="none"/>
        </w:rPr>
        <w:t>的获取</w:t>
      </w:r>
      <w:bookmarkEnd w:id="30"/>
      <w:bookmarkEnd w:id="31"/>
      <w:bookmarkEnd w:id="32"/>
      <w:bookmarkEnd w:id="33"/>
    </w:p>
    <w:p>
      <w:pPr>
        <w:snapToGrid w:val="0"/>
        <w:spacing w:line="440" w:lineRule="exact"/>
        <w:ind w:firstLine="367" w:firstLineChars="175"/>
        <w:rPr>
          <w:rFonts w:ascii="Times New Roman" w:hAnsi="Times New Roman" w:cs="Times New Roman"/>
          <w:color w:val="000000" w:themeColor="text1"/>
          <w:szCs w:val="22"/>
          <w14:textFill>
            <w14:solidFill>
              <w14:schemeClr w14:val="tx1"/>
            </w14:solidFill>
          </w14:textFill>
        </w:rPr>
      </w:pPr>
      <w:bookmarkStart w:id="34" w:name="_Toc27599_WPSOffice_Level2"/>
      <w:bookmarkStart w:id="35" w:name="_Toc55466807"/>
      <w:bookmarkStart w:id="36" w:name="_Toc19495"/>
      <w:bookmarkStart w:id="37" w:name="_Toc19124"/>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13135521559</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响应保证金</w:t>
      </w:r>
    </w:p>
    <w:p>
      <w:pPr>
        <w:spacing w:line="440" w:lineRule="exact"/>
        <w:ind w:firstLine="420"/>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lang w:val="en-US" w:eastAsia="zh-CN"/>
        </w:rPr>
        <w:t>响应保证金的金额：</w:t>
      </w:r>
      <w:r>
        <w:rPr>
          <w:rFonts w:hint="eastAsia" w:ascii="Times New Roman" w:hAnsi="Times New Roman" w:cs="Times New Roman"/>
          <w:color w:val="auto"/>
          <w:highlight w:val="none"/>
          <w:u w:val="single"/>
          <w:lang w:val="en-US" w:eastAsia="zh-CN"/>
        </w:rPr>
        <w:t>肆万元整 （</w:t>
      </w:r>
      <w:r>
        <w:rPr>
          <w:rFonts w:hint="default"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u w:val="single"/>
          <w:lang w:val="en-US" w:eastAsia="zh-CN"/>
        </w:rPr>
        <w:t>：40000.00）（如参与多个包段，只需缴纳一次保证金）</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响应保证金的递交形式：银行转账</w:t>
      </w:r>
    </w:p>
    <w:p>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递交截止时间：2024年6月14日14时30分。</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若采用电汇（转账）形式，响应保证金必须由供应商的基本账户一次性汇入所示账户，并在响应截止时间前到账，否则无效。</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响应保证金的账户信息：</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户    名： 安徽省经工物资有限公司</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开户银行： 工行合肥蜀山支行</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账    号：1302012119200034038</w:t>
      </w:r>
    </w:p>
    <w:p>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付款备注：防水材料响应保证金</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上述账号为本项目专用账号，为保证响应保证金准确及时的支付至本项目专用账号，请采用网银或电汇形式支付，如果采用其他形式支付导致保证金信息不全或错误，由此产生的一切后果由供应商自行承担。</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（1）如采用银行转账或银行电汇：</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①响应保证金的到账截止时间：响应截止时间。</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②供应商基本账户汇入到上述账户，采购人不接受以个人名义或以现金形式提交的响应保证金。</w:t>
      </w:r>
    </w:p>
    <w:p>
      <w:pPr>
        <w:spacing w:line="440" w:lineRule="exact"/>
        <w:ind w:firstLine="420"/>
        <w:rPr>
          <w:rFonts w:hint="eastAsia"/>
          <w:lang w:val="en-US" w:eastAsia="zh-CN"/>
        </w:rPr>
      </w:pPr>
      <w:r>
        <w:rPr>
          <w:rFonts w:hint="eastAsia" w:ascii="Times New Roman" w:hAnsi="Times New Roman" w:cs="Times New Roman"/>
          <w:b/>
          <w:bCs/>
          <w:color w:val="auto"/>
          <w:highlight w:val="none"/>
          <w:lang w:val="en-US" w:eastAsia="zh-CN"/>
        </w:rPr>
        <w:t>（2）成交后，响应保证金自动转为履约保证金。</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响应文件的制作</w:t>
      </w:r>
      <w:bookmarkEnd w:id="34"/>
    </w:p>
    <w:p>
      <w:pPr>
        <w:spacing w:line="400" w:lineRule="exact"/>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6.1 响应文件应按第六章“响应文件格式”进行编写，并按要求进行签名和盖章。</w:t>
      </w:r>
    </w:p>
    <w:p>
      <w:pPr>
        <w:spacing w:line="400" w:lineRule="exact"/>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6.2</w:t>
      </w:r>
      <w:r>
        <w:rPr>
          <w:rFonts w:hint="eastAsia" w:ascii="Times New Roman" w:hAnsi="Times New Roman" w:cs="Times New Roman"/>
          <w:b/>
          <w:bCs/>
          <w:color w:val="auto"/>
          <w:highlight w:val="none"/>
          <w:lang w:val="en-US" w:eastAsia="zh-CN"/>
        </w:rPr>
        <w:t>响应文件成册胶装，响应文件正副本密封在同一密封袋，封口处须密封并加盖企业公章。注：</w:t>
      </w:r>
      <w:r>
        <w:rPr>
          <w:rFonts w:hint="eastAsia" w:ascii="Times New Roman" w:hAnsi="Times New Roman" w:cs="Times New Roman"/>
          <w:b/>
          <w:bCs/>
          <w:color w:val="auto"/>
          <w:highlight w:val="none"/>
          <w:u w:val="single"/>
          <w:lang w:val="en-US" w:eastAsia="zh-CN"/>
        </w:rPr>
        <w:t>如参与多个包段，响应文件分开密封。</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8" w:name="_Toc20535_WPSOffice_Level2"/>
      <w:r>
        <w:rPr>
          <w:rFonts w:ascii="Times New Roman" w:hAnsi="Times New Roman" w:eastAsia="黑体" w:cs="Times New Roman"/>
          <w:bCs w:val="0"/>
          <w:color w:val="auto"/>
          <w:sz w:val="22"/>
          <w:szCs w:val="15"/>
          <w:highlight w:val="none"/>
        </w:rPr>
        <w:t>响应文件的递交</w:t>
      </w:r>
      <w:bookmarkEnd w:id="35"/>
      <w:bookmarkEnd w:id="36"/>
      <w:bookmarkEnd w:id="37"/>
      <w:bookmarkEnd w:id="38"/>
    </w:p>
    <w:p>
      <w:pPr>
        <w:snapToGrid w:val="0"/>
        <w:spacing w:line="440" w:lineRule="exact"/>
        <w:ind w:firstLine="420" w:firstLineChars="200"/>
        <w:rPr>
          <w:rFonts w:hint="eastAsia" w:eastAsiaTheme="minorEastAsia"/>
          <w:color w:val="auto"/>
          <w:highlight w:val="none"/>
          <w:lang w:val="en-US" w:eastAsia="zh-CN"/>
        </w:rPr>
      </w:pPr>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6</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14</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6</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14</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none"/>
          <w:lang w:eastAsia="zh-CN"/>
        </w:rPr>
        <w:t>分</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9" w:name="_Toc55466809"/>
      <w:bookmarkStart w:id="40" w:name="_Toc32421"/>
      <w:bookmarkStart w:id="41" w:name="_Toc22486"/>
      <w:r>
        <w:rPr>
          <w:rFonts w:hint="eastAsia" w:ascii="Times New Roman" w:hAnsi="Times New Roman" w:eastAsia="黑体" w:cs="Times New Roman"/>
          <w:bCs w:val="0"/>
          <w:color w:val="auto"/>
          <w:sz w:val="22"/>
          <w:szCs w:val="15"/>
          <w:highlight w:val="none"/>
          <w:lang w:eastAsia="zh-CN"/>
        </w:rPr>
        <w:t>响应文件启封</w:t>
      </w:r>
    </w:p>
    <w:p>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bookmarkStart w:id="42" w:name="_Toc30169_WPSOffice_Level2"/>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_（地点）组织进行响应文件的启封。供应商的法定代表人或授权代理人应携带本人</w:t>
      </w:r>
      <w:r>
        <w:rPr>
          <w:rFonts w:hint="default" w:ascii="Times New Roman" w:hAnsi="Times New Roman" w:cs="Times New Roman"/>
          <w:b/>
          <w:bCs/>
          <w:color w:val="auto"/>
          <w:sz w:val="21"/>
          <w:szCs w:val="22"/>
          <w:highlight w:val="none"/>
          <w:lang w:val="en-US" w:eastAsia="zh-CN"/>
        </w:rPr>
        <w:t>身份证</w:t>
      </w:r>
      <w:r>
        <w:rPr>
          <w:rFonts w:hint="eastAsia" w:ascii="Times New Roman" w:hAnsi="Times New Roman" w:cs="Times New Roman"/>
          <w:b/>
          <w:bCs/>
          <w:color w:val="auto"/>
          <w:sz w:val="21"/>
          <w:szCs w:val="22"/>
          <w:highlight w:val="none"/>
          <w:lang w:val="en-US" w:eastAsia="zh-CN"/>
        </w:rPr>
        <w:t>、</w:t>
      </w:r>
      <w:r>
        <w:rPr>
          <w:rFonts w:hint="eastAsia" w:ascii="Times New Roman" w:hAnsi="Times New Roman" w:cs="Times New Roman"/>
          <w:b/>
          <w:bCs/>
          <w:color w:val="auto"/>
          <w:szCs w:val="22"/>
          <w:highlight w:val="none"/>
        </w:rPr>
        <w:t>授权代理人</w:t>
      </w:r>
      <w:r>
        <w:rPr>
          <w:rFonts w:hint="eastAsia" w:ascii="Times New Roman" w:hAnsi="Times New Roman" w:cs="Times New Roman"/>
          <w:b/>
          <w:bCs/>
          <w:color w:val="auto"/>
          <w:szCs w:val="22"/>
          <w:highlight w:val="none"/>
          <w:lang w:val="en-US" w:eastAsia="zh-CN"/>
        </w:rPr>
        <w:t>应携带</w:t>
      </w:r>
      <w:r>
        <w:rPr>
          <w:rFonts w:hint="eastAsia" w:ascii="Times New Roman" w:hAnsi="Times New Roman" w:cs="Times New Roman"/>
          <w:b/>
          <w:bCs/>
          <w:color w:val="auto"/>
          <w:sz w:val="21"/>
          <w:szCs w:val="22"/>
          <w:highlight w:val="none"/>
          <w:lang w:val="en-US" w:eastAsia="zh-CN"/>
        </w:rPr>
        <w:t>授权委托书</w:t>
      </w:r>
      <w:r>
        <w:rPr>
          <w:rFonts w:hint="default" w:ascii="Times New Roman" w:hAnsi="Times New Roman" w:cs="Times New Roman"/>
          <w:color w:val="auto"/>
          <w:sz w:val="21"/>
          <w:szCs w:val="22"/>
          <w:highlight w:val="none"/>
          <w:lang w:val="en-US" w:eastAsia="zh-CN"/>
        </w:rPr>
        <w:t>准时参加启封会议。</w:t>
      </w:r>
    </w:p>
    <w:p>
      <w:pPr>
        <w:pStyle w:val="4"/>
        <w:snapToGrid w:val="0"/>
        <w:spacing w:before="120" w:after="120" w:line="240" w:lineRule="auto"/>
        <w:ind w:firstLine="403"/>
        <w:rPr>
          <w:rFonts w:ascii="Times New Roman" w:hAnsi="Times New Roman" w:eastAsia="黑体" w:cs="Times New Roman"/>
          <w:bCs w:val="0"/>
          <w:sz w:val="22"/>
          <w:szCs w:val="15"/>
        </w:rPr>
      </w:pPr>
      <w:r>
        <w:rPr>
          <w:rFonts w:ascii="Times New Roman" w:hAnsi="Times New Roman" w:eastAsia="黑体" w:cs="Times New Roman"/>
          <w:bCs w:val="0"/>
          <w:sz w:val="22"/>
          <w:szCs w:val="15"/>
        </w:rPr>
        <w:t>发布公告的媒介</w:t>
      </w:r>
    </w:p>
    <w:p>
      <w:pPr>
        <w:snapToGrid w:val="0"/>
        <w:spacing w:line="440" w:lineRule="exact"/>
        <w:ind w:firstLine="420" w:firstLineChars="200"/>
        <w:rPr>
          <w:rFonts w:hint="default"/>
          <w:lang w:val="en-US" w:eastAsia="zh-CN"/>
        </w:rPr>
      </w:pPr>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”（网址：http://www.ahjggroup.com）“通知公告”栏目中</w:t>
      </w:r>
      <w:r>
        <w:rPr>
          <w:rFonts w:ascii="Times New Roman" w:hAnsi="Times New Roman" w:cs="Times New Roman"/>
          <w:color w:val="000000" w:themeColor="text1"/>
          <w:szCs w:val="22"/>
          <w14:textFill>
            <w14:solidFill>
              <w14:schemeClr w14:val="tx1"/>
            </w14:solidFill>
          </w14:textFill>
        </w:rPr>
        <w:t>发布。</w:t>
      </w:r>
    </w:p>
    <w:p>
      <w:pPr>
        <w:pStyle w:val="4"/>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rPr>
        <w:t>联系方式</w:t>
      </w:r>
      <w:bookmarkEnd w:id="39"/>
      <w:bookmarkEnd w:id="40"/>
      <w:bookmarkEnd w:id="41"/>
      <w:bookmarkEnd w:id="42"/>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安徽交控建设工程集团有限公</w:t>
      </w:r>
      <w:r>
        <w:rPr>
          <w:rFonts w:hint="eastAsia" w:ascii="Times New Roman" w:hAnsi="Times New Roman" w:cs="Times New Roman"/>
          <w:color w:val="auto"/>
          <w:sz w:val="21"/>
          <w:szCs w:val="22"/>
          <w:highlight w:val="none"/>
          <w:u w:val="single"/>
          <w:lang w:val="en-US" w:eastAsia="zh-CN"/>
        </w:rPr>
        <w:t>司</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高工    周工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pPr>
        <w:widowControl/>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13135521559    15855127123  </w:t>
      </w:r>
    </w:p>
    <w:p>
      <w:pPr>
        <w:spacing w:line="440" w:lineRule="exact"/>
        <w:ind w:firstLine="420" w:firstLineChars="200"/>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546117699@qq.com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pPr>
        <w:pStyle w:val="34"/>
        <w:jc w:val="center"/>
        <w:rPr>
          <w:rFonts w:hint="default" w:ascii="Times New Roman" w:hAnsi="Times New Roman"/>
          <w:color w:val="auto"/>
          <w:sz w:val="21"/>
          <w:szCs w:val="22"/>
        </w:rPr>
      </w:pPr>
      <w:r>
        <w:rPr>
          <w:rFonts w:hint="default" w:ascii="Times New Roman" w:hAnsi="Times New Roman"/>
          <w:color w:val="auto"/>
          <w:sz w:val="21"/>
          <w:szCs w:val="22"/>
        </w:rPr>
        <w:t xml:space="preserve">                                          </w:t>
      </w:r>
    </w:p>
    <w:p>
      <w:pPr>
        <w:pStyle w:val="34"/>
        <w:jc w:val="right"/>
        <w:rPr>
          <w:rFonts w:hint="default" w:ascii="Times New Roman" w:hAnsi="Times New Roman"/>
          <w:color w:val="auto"/>
          <w:sz w:val="21"/>
          <w:szCs w:val="22"/>
        </w:rPr>
      </w:pPr>
    </w:p>
    <w:p>
      <w:pPr>
        <w:rPr>
          <w:rFonts w:hint="default" w:ascii="Times New Roman" w:hAnsi="Times New Roman"/>
          <w:color w:val="auto"/>
          <w:sz w:val="21"/>
          <w:szCs w:val="22"/>
        </w:rPr>
      </w:pPr>
      <w:r>
        <w:rPr>
          <w:rFonts w:hint="default" w:ascii="Times New Roman" w:hAnsi="Times New Roman"/>
          <w:color w:val="auto"/>
          <w:sz w:val="21"/>
          <w:szCs w:val="22"/>
        </w:rPr>
        <w:br w:type="page"/>
      </w:r>
    </w:p>
    <w:p>
      <w:pPr>
        <w:pStyle w:val="3"/>
        <w:spacing w:before="312" w:after="312"/>
        <w:rPr>
          <w:rFonts w:hint="eastAsia" w:ascii="黑体" w:eastAsia="黑体"/>
          <w:kern w:val="0"/>
          <w:sz w:val="32"/>
          <w:szCs w:val="32"/>
        </w:rPr>
      </w:pPr>
      <w:bookmarkStart w:id="43" w:name="_Toc6562"/>
      <w:r>
        <w:rPr>
          <w:rFonts w:ascii="Times New Roman" w:hAnsi="Times New Roman" w:eastAsia="宋体" w:cs="Times New Roman"/>
        </w:rPr>
        <w:t>供应商须知</w:t>
      </w:r>
      <w:bookmarkEnd w:id="43"/>
      <w:bookmarkStart w:id="44" w:name="_Toc26656938"/>
      <w:bookmarkStart w:id="45" w:name="_Toc14201207"/>
      <w:bookmarkStart w:id="46" w:name="_Toc9067720"/>
    </w:p>
    <w:p>
      <w:pPr>
        <w:spacing w:line="360" w:lineRule="auto"/>
        <w:jc w:val="center"/>
        <w:outlineLvl w:val="1"/>
        <w:rPr>
          <w:rFonts w:eastAsia="黑体"/>
          <w:kern w:val="0"/>
          <w:sz w:val="28"/>
          <w:szCs w:val="28"/>
        </w:rPr>
      </w:pPr>
      <w:r>
        <w:rPr>
          <w:rFonts w:hint="eastAsia" w:ascii="黑体" w:eastAsia="黑体"/>
          <w:kern w:val="0"/>
          <w:sz w:val="32"/>
          <w:szCs w:val="32"/>
          <w:lang w:eastAsia="zh-CN"/>
        </w:rPr>
        <w:t>供应商</w:t>
      </w:r>
      <w:r>
        <w:rPr>
          <w:rFonts w:hint="eastAsia" w:ascii="黑体" w:eastAsia="黑体"/>
          <w:kern w:val="0"/>
          <w:sz w:val="32"/>
          <w:szCs w:val="32"/>
        </w:rPr>
        <w:t>须知</w:t>
      </w:r>
      <w:r>
        <w:rPr>
          <w:rFonts w:hint="eastAsia" w:ascii="黑体" w:eastAsia="黑体"/>
          <w:kern w:val="0"/>
          <w:sz w:val="32"/>
          <w:szCs w:val="32"/>
          <w:lang w:eastAsia="zh-CN"/>
        </w:rPr>
        <w:t>前</w:t>
      </w:r>
      <w:r>
        <w:rPr>
          <w:rFonts w:hint="eastAsia" w:ascii="黑体" w:eastAsia="黑体"/>
          <w:kern w:val="0"/>
          <w:sz w:val="32"/>
          <w:szCs w:val="32"/>
        </w:rPr>
        <w:t>附表</w:t>
      </w:r>
    </w:p>
    <w:tbl>
      <w:tblPr>
        <w:tblStyle w:val="26"/>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pPr>
              <w:jc w:val="center"/>
              <w:rPr>
                <w:b/>
                <w:color w:val="auto"/>
                <w:szCs w:val="21"/>
                <w:highlight w:val="none"/>
              </w:rPr>
            </w:pPr>
            <w:r>
              <w:rPr>
                <w:b/>
                <w:color w:val="auto"/>
                <w:sz w:val="22"/>
                <w:szCs w:val="21"/>
                <w:highlight w:val="none"/>
              </w:rPr>
              <w:t>条款号</w:t>
            </w:r>
          </w:p>
        </w:tc>
        <w:tc>
          <w:tcPr>
            <w:tcW w:w="3200" w:type="dxa"/>
            <w:vAlign w:val="center"/>
          </w:tcPr>
          <w:p>
            <w:pPr>
              <w:jc w:val="center"/>
              <w:rPr>
                <w:b/>
                <w:color w:val="auto"/>
                <w:szCs w:val="21"/>
                <w:highlight w:val="none"/>
              </w:rPr>
            </w:pPr>
            <w:r>
              <w:rPr>
                <w:b/>
                <w:color w:val="auto"/>
                <w:sz w:val="22"/>
                <w:szCs w:val="21"/>
                <w:highlight w:val="none"/>
              </w:rPr>
              <w:t>条 款 名 称</w:t>
            </w:r>
          </w:p>
        </w:tc>
        <w:tc>
          <w:tcPr>
            <w:tcW w:w="5107" w:type="dxa"/>
            <w:vAlign w:val="center"/>
          </w:tcPr>
          <w:p>
            <w:pPr>
              <w:ind w:left="42" w:leftChars="20" w:right="42" w:rightChars="20"/>
              <w:jc w:val="center"/>
              <w:rPr>
                <w:b/>
                <w:color w:val="auto"/>
                <w:szCs w:val="21"/>
                <w:highlight w:val="none"/>
              </w:rPr>
            </w:pPr>
            <w:r>
              <w:rPr>
                <w:b/>
                <w:color w:val="auto"/>
                <w:sz w:val="22"/>
                <w:szCs w:val="21"/>
                <w:highlight w:val="none"/>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pPr>
              <w:jc w:val="center"/>
              <w:rPr>
                <w:color w:val="auto"/>
                <w:szCs w:val="21"/>
                <w:highlight w:val="none"/>
              </w:rPr>
            </w:pPr>
            <w:r>
              <w:rPr>
                <w:rFonts w:hint="eastAsia"/>
                <w:color w:val="auto"/>
                <w:sz w:val="22"/>
                <w:szCs w:val="21"/>
                <w:highlight w:val="none"/>
                <w:lang w:eastAsia="zh-CN"/>
              </w:rPr>
              <w:t>采购</w:t>
            </w:r>
            <w:r>
              <w:rPr>
                <w:color w:val="auto"/>
                <w:sz w:val="22"/>
                <w:szCs w:val="21"/>
                <w:highlight w:val="none"/>
              </w:rPr>
              <w:t>人</w:t>
            </w:r>
          </w:p>
        </w:tc>
        <w:tc>
          <w:tcPr>
            <w:tcW w:w="5107" w:type="dxa"/>
            <w:vAlign w:val="center"/>
          </w:tcPr>
          <w:p>
            <w:pPr>
              <w:ind w:left="42" w:leftChars="20" w:right="42" w:rightChars="20"/>
              <w:rPr>
                <w:rFonts w:hint="default"/>
                <w:color w:val="auto"/>
                <w:szCs w:val="21"/>
                <w:highlight w:val="none"/>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pPr>
              <w:jc w:val="center"/>
              <w:rPr>
                <w:color w:val="auto"/>
                <w:szCs w:val="21"/>
                <w:highlight w:val="none"/>
              </w:rPr>
            </w:pPr>
            <w:r>
              <w:rPr>
                <w:color w:val="auto"/>
                <w:sz w:val="22"/>
                <w:szCs w:val="21"/>
                <w:highlight w:val="none"/>
              </w:rPr>
              <w:t>招标代理机构</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pPr>
              <w:jc w:val="center"/>
              <w:rPr>
                <w:color w:val="auto"/>
                <w:szCs w:val="21"/>
                <w:highlight w:val="none"/>
              </w:rPr>
            </w:pPr>
            <w:r>
              <w:rPr>
                <w:color w:val="auto"/>
                <w:sz w:val="22"/>
                <w:szCs w:val="21"/>
                <w:highlight w:val="none"/>
              </w:rPr>
              <w:t>项目名称</w:t>
            </w:r>
          </w:p>
        </w:tc>
        <w:tc>
          <w:tcPr>
            <w:tcW w:w="5107" w:type="dxa"/>
            <w:vAlign w:val="center"/>
          </w:tcPr>
          <w:p>
            <w:pPr>
              <w:ind w:left="42" w:leftChars="20" w:right="42" w:rightChars="20"/>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pPr>
              <w:jc w:val="center"/>
              <w:rPr>
                <w:color w:val="auto"/>
                <w:szCs w:val="21"/>
                <w:highlight w:val="none"/>
              </w:rPr>
            </w:pPr>
            <w:r>
              <w:rPr>
                <w:rFonts w:hint="eastAsia"/>
                <w:color w:val="auto"/>
                <w:sz w:val="22"/>
                <w:szCs w:val="21"/>
                <w:highlight w:val="none"/>
              </w:rPr>
              <w:t>工程项目名称</w:t>
            </w:r>
          </w:p>
        </w:tc>
        <w:tc>
          <w:tcPr>
            <w:tcW w:w="5107" w:type="dxa"/>
            <w:vAlign w:val="center"/>
          </w:tcPr>
          <w:p>
            <w:pPr>
              <w:ind w:left="42" w:leftChars="20" w:right="42" w:rightChars="20"/>
              <w:jc w:val="left"/>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pPr>
              <w:jc w:val="center"/>
              <w:rPr>
                <w:color w:val="auto"/>
                <w:szCs w:val="21"/>
                <w:highlight w:val="none"/>
              </w:rPr>
            </w:pPr>
            <w:r>
              <w:rPr>
                <w:color w:val="auto"/>
                <w:sz w:val="22"/>
                <w:szCs w:val="21"/>
                <w:highlight w:val="none"/>
              </w:rPr>
              <w:t>资金来源及比例</w:t>
            </w:r>
          </w:p>
        </w:tc>
        <w:tc>
          <w:tcPr>
            <w:tcW w:w="5107" w:type="dxa"/>
            <w:vAlign w:val="center"/>
          </w:tcPr>
          <w:p>
            <w:pPr>
              <w:ind w:left="42" w:leftChars="20" w:right="42" w:rightChars="20"/>
              <w:jc w:val="left"/>
              <w:rPr>
                <w:color w:val="auto"/>
                <w:szCs w:val="21"/>
                <w:highlight w:val="none"/>
              </w:rPr>
            </w:pPr>
            <w:r>
              <w:rPr>
                <w:rFonts w:hint="eastAsia" w:ascii="宋体" w:hAnsi="宋体" w:cs="宋体"/>
                <w:bCs/>
                <w:color w:val="auto"/>
                <w:kern w:val="0"/>
                <w:szCs w:val="21"/>
                <w:highlight w:val="none"/>
                <w:lang w:bidi="ar"/>
              </w:rPr>
              <w:t>业主自筹，100%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pPr>
              <w:jc w:val="center"/>
              <w:rPr>
                <w:rFonts w:hint="eastAsia"/>
                <w:color w:val="auto"/>
                <w:sz w:val="22"/>
                <w:szCs w:val="21"/>
                <w:highlight w:val="none"/>
              </w:rPr>
            </w:pPr>
            <w:r>
              <w:rPr>
                <w:color w:val="auto"/>
                <w:sz w:val="22"/>
                <w:szCs w:val="21"/>
                <w:highlight w:val="none"/>
              </w:rPr>
              <w:t>资金落实情况</w:t>
            </w:r>
          </w:p>
        </w:tc>
        <w:tc>
          <w:tcPr>
            <w:tcW w:w="5107" w:type="dxa"/>
            <w:vAlign w:val="center"/>
          </w:tcPr>
          <w:p>
            <w:pPr>
              <w:ind w:left="42" w:leftChars="20" w:right="42" w:rightChars="20"/>
              <w:rPr>
                <w:bCs/>
                <w:color w:val="auto"/>
                <w:kern w:val="0"/>
                <w:sz w:val="22"/>
                <w:szCs w:val="21"/>
                <w:highlight w:val="none"/>
                <w:lang w:bidi="ar"/>
              </w:rPr>
            </w:pPr>
            <w:r>
              <w:rPr>
                <w:color w:val="auto"/>
                <w:sz w:val="22"/>
                <w:szCs w:val="21"/>
                <w:highlight w:val="none"/>
              </w:rPr>
              <w:t>已落实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pPr>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pPr>
              <w:ind w:left="42" w:leftChars="20" w:right="42" w:rightChars="20"/>
              <w:rPr>
                <w:rFonts w:hint="eastAsia"/>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pPr>
              <w:jc w:val="center"/>
              <w:rPr>
                <w:color w:val="auto"/>
                <w:szCs w:val="21"/>
                <w:highlight w:val="none"/>
              </w:rPr>
            </w:pPr>
            <w:r>
              <w:rPr>
                <w:color w:val="auto"/>
                <w:sz w:val="22"/>
                <w:szCs w:val="21"/>
                <w:highlight w:val="none"/>
              </w:rPr>
              <w:t>交货地点</w:t>
            </w:r>
          </w:p>
        </w:tc>
        <w:tc>
          <w:tcPr>
            <w:tcW w:w="5107" w:type="dxa"/>
            <w:vAlign w:val="center"/>
          </w:tcPr>
          <w:p>
            <w:pPr>
              <w:ind w:left="42" w:leftChars="20" w:right="42" w:rightChars="20"/>
              <w:rPr>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pPr>
              <w:jc w:val="center"/>
              <w:rPr>
                <w:color w:val="auto"/>
                <w:szCs w:val="21"/>
                <w:highlight w:val="none"/>
              </w:rPr>
            </w:pPr>
            <w:r>
              <w:rPr>
                <w:color w:val="auto"/>
                <w:sz w:val="22"/>
                <w:szCs w:val="21"/>
                <w:highlight w:val="none"/>
              </w:rPr>
              <w:t xml:space="preserve">技术性能指标 </w:t>
            </w:r>
          </w:p>
        </w:tc>
        <w:tc>
          <w:tcPr>
            <w:tcW w:w="5107" w:type="dxa"/>
            <w:vAlign w:val="center"/>
          </w:tcPr>
          <w:p>
            <w:pPr>
              <w:ind w:left="42" w:leftChars="20" w:right="42" w:rightChars="20"/>
              <w:rPr>
                <w:color w:val="auto"/>
                <w:szCs w:val="21"/>
                <w:highlight w:val="none"/>
              </w:rPr>
            </w:pPr>
            <w:r>
              <w:rPr>
                <w:rFonts w:hint="eastAsia"/>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资质条件、能力</w:t>
            </w:r>
            <w:r>
              <w:rPr>
                <w:rFonts w:hint="eastAsia"/>
                <w:color w:val="auto"/>
                <w:sz w:val="22"/>
                <w:szCs w:val="21"/>
                <w:highlight w:val="none"/>
              </w:rPr>
              <w:t>、</w:t>
            </w:r>
            <w:r>
              <w:rPr>
                <w:color w:val="auto"/>
                <w:sz w:val="22"/>
                <w:szCs w:val="21"/>
                <w:highlight w:val="none"/>
              </w:rPr>
              <w:t>信誉</w:t>
            </w:r>
          </w:p>
        </w:tc>
        <w:tc>
          <w:tcPr>
            <w:tcW w:w="5107" w:type="dxa"/>
            <w:vAlign w:val="center"/>
          </w:tcPr>
          <w:p>
            <w:pPr>
              <w:ind w:left="42" w:leftChars="20" w:right="42" w:rightChars="20"/>
              <w:rPr>
                <w:rFonts w:hint="default" w:eastAsiaTheme="minorEastAsia"/>
                <w:color w:val="auto"/>
                <w:szCs w:val="21"/>
                <w:highlight w:val="none"/>
                <w:lang w:val="en-US" w:eastAsia="zh-CN"/>
              </w:rPr>
            </w:pPr>
            <w:r>
              <w:rPr>
                <w:rFonts w:hint="eastAsia"/>
                <w:color w:val="auto"/>
                <w:szCs w:val="21"/>
                <w:highlight w:val="none"/>
                <w:lang w:val="en-US" w:eastAsia="zh-CN"/>
              </w:rPr>
              <w:t>见附件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pPr>
              <w:jc w:val="center"/>
              <w:rPr>
                <w:color w:val="auto"/>
                <w:szCs w:val="21"/>
                <w:highlight w:val="none"/>
              </w:rPr>
            </w:pPr>
            <w:r>
              <w:rPr>
                <w:color w:val="auto"/>
                <w:sz w:val="22"/>
                <w:szCs w:val="21"/>
                <w:highlight w:val="none"/>
              </w:rPr>
              <w:t>是否接受联合体投标</w:t>
            </w:r>
          </w:p>
        </w:tc>
        <w:tc>
          <w:tcPr>
            <w:tcW w:w="5107" w:type="dxa"/>
            <w:vAlign w:val="center"/>
          </w:tcPr>
          <w:p>
            <w:pPr>
              <w:ind w:left="42" w:leftChars="20" w:right="42" w:rightChars="20"/>
              <w:rPr>
                <w:color w:val="auto"/>
                <w:szCs w:val="21"/>
                <w:highlight w:val="none"/>
              </w:rPr>
            </w:pPr>
            <w:r>
              <w:rPr>
                <w:color w:val="auto"/>
                <w:sz w:val="22"/>
                <w:szCs w:val="21"/>
                <w:highlight w:val="none"/>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不得存在的其他关联情形</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pPr>
              <w:ind w:left="105" w:leftChars="50"/>
              <w:jc w:val="center"/>
              <w:rPr>
                <w:color w:val="auto"/>
                <w:szCs w:val="21"/>
                <w:highlight w:val="none"/>
              </w:rPr>
            </w:pPr>
            <w:r>
              <w:rPr>
                <w:color w:val="auto"/>
                <w:sz w:val="22"/>
                <w:szCs w:val="21"/>
                <w:highlight w:val="none"/>
              </w:rPr>
              <w:t>投标预备会</w:t>
            </w:r>
          </w:p>
        </w:tc>
        <w:tc>
          <w:tcPr>
            <w:tcW w:w="5107" w:type="dxa"/>
            <w:vAlign w:val="center"/>
          </w:tcPr>
          <w:p>
            <w:pPr>
              <w:ind w:left="42" w:leftChars="20" w:right="42" w:rightChars="20"/>
              <w:rPr>
                <w:color w:val="auto"/>
                <w:szCs w:val="21"/>
                <w:highlight w:val="none"/>
              </w:rPr>
            </w:pPr>
            <w:r>
              <w:rPr>
                <w:color w:val="auto"/>
                <w:sz w:val="22"/>
                <w:szCs w:val="21"/>
                <w:highlight w:val="none"/>
              </w:rPr>
              <w:t>不召开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pPr>
              <w:jc w:val="center"/>
              <w:rPr>
                <w:rFonts w:hint="eastAsia"/>
                <w:color w:val="auto"/>
                <w:szCs w:val="21"/>
                <w:highlight w:val="none"/>
              </w:rPr>
            </w:pPr>
            <w:r>
              <w:rPr>
                <w:rFonts w:hint="eastAsia"/>
                <w:color w:val="auto"/>
                <w:sz w:val="22"/>
                <w:szCs w:val="21"/>
                <w:highlight w:val="none"/>
              </w:rPr>
              <w:t>分包</w:t>
            </w:r>
          </w:p>
        </w:tc>
        <w:tc>
          <w:tcPr>
            <w:tcW w:w="5107" w:type="dxa"/>
            <w:vAlign w:val="center"/>
          </w:tcPr>
          <w:p>
            <w:pPr>
              <w:ind w:left="42" w:leftChars="20" w:right="42" w:rightChars="20"/>
              <w:rPr>
                <w:color w:val="auto"/>
                <w:sz w:val="22"/>
                <w:szCs w:val="21"/>
                <w:highlight w:val="none"/>
              </w:rPr>
            </w:pPr>
            <w:r>
              <w:rPr>
                <w:rFonts w:hint="eastAsia" w:ascii="宋体" w:hAnsi="宋体" w:cs="宋体"/>
                <w:color w:val="auto"/>
                <w:sz w:val="22"/>
                <w:szCs w:val="21"/>
                <w:highlight w:val="none"/>
              </w:rPr>
              <w:sym w:font="Wingdings 2" w:char="0052"/>
            </w:r>
            <w:r>
              <w:rPr>
                <w:color w:val="auto"/>
                <w:sz w:val="22"/>
                <w:szCs w:val="21"/>
                <w:highlight w:val="none"/>
              </w:rPr>
              <w:t>不允许</w:t>
            </w:r>
          </w:p>
          <w:p>
            <w:pPr>
              <w:ind w:left="42" w:leftChars="20" w:right="42" w:rightChars="20"/>
              <w:rPr>
                <w:color w:val="auto"/>
                <w:sz w:val="22"/>
                <w:szCs w:val="21"/>
                <w:highlight w:val="none"/>
              </w:rPr>
            </w:pPr>
            <w:r>
              <w:rPr>
                <w:rFonts w:hint="eastAsia" w:ascii="宋体" w:hAnsi="宋体" w:cs="宋体"/>
                <w:color w:val="auto"/>
                <w:sz w:val="22"/>
                <w:szCs w:val="21"/>
                <w:highlight w:val="none"/>
              </w:rPr>
              <w:t>□</w:t>
            </w:r>
            <w:r>
              <w:rPr>
                <w:color w:val="auto"/>
                <w:sz w:val="22"/>
                <w:szCs w:val="21"/>
                <w:highlight w:val="none"/>
              </w:rPr>
              <w:t>允许，分包内容要求：</w:t>
            </w:r>
          </w:p>
          <w:p>
            <w:pPr>
              <w:ind w:left="42" w:leftChars="20" w:right="42" w:rightChars="20" w:firstLine="880" w:firstLineChars="400"/>
              <w:rPr>
                <w:color w:val="auto"/>
                <w:sz w:val="22"/>
                <w:szCs w:val="21"/>
                <w:highlight w:val="none"/>
              </w:rPr>
            </w:pPr>
            <w:r>
              <w:rPr>
                <w:color w:val="auto"/>
                <w:sz w:val="22"/>
                <w:szCs w:val="21"/>
                <w:highlight w:val="none"/>
              </w:rPr>
              <w:t>分包金额要求：</w:t>
            </w:r>
          </w:p>
          <w:p>
            <w:pPr>
              <w:ind w:left="42" w:leftChars="20" w:right="42" w:rightChars="20" w:firstLine="880" w:firstLineChars="400"/>
              <w:rPr>
                <w:color w:val="auto"/>
                <w:szCs w:val="21"/>
                <w:highlight w:val="none"/>
              </w:rPr>
            </w:pPr>
            <w:r>
              <w:rPr>
                <w:color w:val="auto"/>
                <w:sz w:val="22"/>
                <w:szCs w:val="21"/>
                <w:highlight w:val="none"/>
              </w:rPr>
              <w:t>对分包人的资质要求：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pPr>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pPr>
              <w:ind w:left="42" w:leftChars="20" w:right="42" w:rightChars="20"/>
              <w:rPr>
                <w:color w:val="auto"/>
                <w:szCs w:val="21"/>
                <w:highlight w:val="none"/>
              </w:rPr>
            </w:pPr>
            <w:r>
              <w:rPr>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bCs/>
                <w:color w:val="auto"/>
                <w:kern w:val="0"/>
                <w:sz w:val="22"/>
                <w:szCs w:val="21"/>
                <w:highlight w:val="none"/>
                <w:lang w:bidi="ar"/>
              </w:rPr>
              <w:t>第五章供货要求的相关规定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pPr>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pPr>
              <w:ind w:right="42" w:rightChars="20"/>
              <w:rPr>
                <w:rFonts w:hint="eastAsia"/>
                <w:color w:val="auto"/>
                <w:szCs w:val="21"/>
                <w:highlight w:val="none"/>
              </w:rPr>
            </w:pPr>
            <w:r>
              <w:rPr>
                <w:rFonts w:hint="eastAsia"/>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pPr>
              <w:jc w:val="center"/>
              <w:rPr>
                <w:rFonts w:hint="eastAsia"/>
                <w:color w:val="auto"/>
                <w:szCs w:val="21"/>
                <w:highlight w:val="none"/>
              </w:rPr>
            </w:pPr>
            <w:r>
              <w:rPr>
                <w:rFonts w:hint="eastAsia"/>
                <w:color w:val="auto"/>
                <w:sz w:val="22"/>
                <w:szCs w:val="21"/>
                <w:highlight w:val="none"/>
              </w:rPr>
              <w:t>偏差</w:t>
            </w:r>
          </w:p>
        </w:tc>
        <w:tc>
          <w:tcPr>
            <w:tcW w:w="5107" w:type="dxa"/>
            <w:vAlign w:val="center"/>
          </w:tcPr>
          <w:p>
            <w:pPr>
              <w:ind w:left="42" w:leftChars="20" w:right="42" w:rightChars="20"/>
              <w:rPr>
                <w:color w:val="auto"/>
                <w:szCs w:val="21"/>
                <w:highlight w:val="none"/>
              </w:rPr>
            </w:pPr>
            <w:r>
              <w:rPr>
                <w:rStyle w:val="50"/>
                <w:rFonts w:ascii="Times New Roman" w:hAnsi="Times New Roman" w:cs="Times New Roman"/>
                <w:bCs/>
                <w:color w:val="auto"/>
                <w:sz w:val="22"/>
                <w:szCs w:val="21"/>
                <w:highlight w:val="none"/>
                <w:lang w:bidi="ar"/>
              </w:rPr>
              <w:t>允许</w:t>
            </w:r>
            <w:r>
              <w:rPr>
                <w:rStyle w:val="50"/>
                <w:rFonts w:hint="eastAsia" w:ascii="Times New Roman" w:hAnsi="Times New Roman" w:cs="Times New Roman"/>
                <w:bCs/>
                <w:color w:val="auto"/>
                <w:sz w:val="22"/>
                <w:szCs w:val="21"/>
                <w:highlight w:val="none"/>
                <w:lang w:bidi="ar"/>
              </w:rPr>
              <w:t>有利于</w:t>
            </w:r>
            <w:r>
              <w:rPr>
                <w:rStyle w:val="50"/>
                <w:rFonts w:hint="eastAsia" w:ascii="Times New Roman" w:hAnsi="Times New Roman" w:cs="Times New Roman"/>
                <w:bCs/>
                <w:color w:val="auto"/>
                <w:sz w:val="22"/>
                <w:szCs w:val="21"/>
                <w:highlight w:val="none"/>
                <w:lang w:eastAsia="zh-CN" w:bidi="ar"/>
              </w:rPr>
              <w:t>采购人</w:t>
            </w:r>
            <w:r>
              <w:rPr>
                <w:rStyle w:val="50"/>
                <w:rFonts w:hint="eastAsia" w:ascii="Times New Roman" w:hAnsi="Times New Roman" w:cs="Times New Roman"/>
                <w:bCs/>
                <w:color w:val="auto"/>
                <w:sz w:val="22"/>
                <w:szCs w:val="21"/>
                <w:highlight w:val="none"/>
                <w:lang w:bidi="ar"/>
              </w:rPr>
              <w:t>的偏差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pPr>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pPr>
              <w:ind w:left="42" w:leftChars="20" w:right="42" w:rightChars="20"/>
              <w:rPr>
                <w:rFonts w:hint="eastAsia"/>
                <w:color w:val="auto"/>
                <w:szCs w:val="21"/>
                <w:highlight w:val="none"/>
              </w:rPr>
            </w:pPr>
            <w:r>
              <w:rPr>
                <w:rFonts w:hint="eastAsia"/>
                <w:color w:val="auto"/>
                <w:sz w:val="22"/>
                <w:highlight w:val="none"/>
                <w:lang w:eastAsia="zh-CN"/>
              </w:rPr>
              <w:t>采购人</w:t>
            </w:r>
            <w:r>
              <w:rPr>
                <w:color w:val="auto"/>
                <w:sz w:val="22"/>
                <w:highlight w:val="none"/>
              </w:rPr>
              <w:t>发布的有关本次</w:t>
            </w:r>
            <w:r>
              <w:rPr>
                <w:rFonts w:hint="eastAsia"/>
                <w:color w:val="auto"/>
                <w:sz w:val="22"/>
                <w:highlight w:val="none"/>
                <w:lang w:eastAsia="zh-CN"/>
              </w:rPr>
              <w:t>响应</w:t>
            </w:r>
            <w:r>
              <w:rPr>
                <w:color w:val="auto"/>
                <w:sz w:val="22"/>
                <w:highlight w:val="none"/>
              </w:rPr>
              <w:t>的补遗书（澄清与修改）等。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pPr>
              <w:ind w:left="105" w:leftChars="5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pPr>
              <w:pStyle w:val="46"/>
              <w:snapToGrid w:val="0"/>
              <w:ind w:left="42" w:leftChars="20" w:right="42" w:rightChars="20"/>
              <w:rPr>
                <w:color w:val="auto"/>
                <w:szCs w:val="21"/>
                <w:highlight w:val="none"/>
              </w:rPr>
            </w:pPr>
            <w:r>
              <w:rPr>
                <w:color w:val="auto"/>
                <w:sz w:val="22"/>
                <w:highlight w:val="none"/>
              </w:rPr>
              <w:t>时间：递交</w:t>
            </w:r>
            <w:r>
              <w:rPr>
                <w:rFonts w:hint="eastAsia"/>
                <w:color w:val="auto"/>
                <w:sz w:val="22"/>
                <w:highlight w:val="none"/>
                <w:lang w:eastAsia="zh-CN"/>
              </w:rPr>
              <w:t>响应</w:t>
            </w:r>
            <w:r>
              <w:rPr>
                <w:color w:val="auto"/>
                <w:sz w:val="22"/>
                <w:highlight w:val="none"/>
              </w:rPr>
              <w:t>文件</w:t>
            </w:r>
            <w:r>
              <w:rPr>
                <w:rFonts w:hint="eastAsia"/>
                <w:color w:val="auto"/>
                <w:sz w:val="22"/>
                <w:highlight w:val="none"/>
                <w:lang w:eastAsia="zh-CN"/>
              </w:rPr>
              <w:t>截止</w:t>
            </w:r>
            <w:r>
              <w:rPr>
                <w:color w:val="auto"/>
                <w:sz w:val="22"/>
                <w:highlight w:val="none"/>
              </w:rPr>
              <w:t>之日</w:t>
            </w:r>
            <w:r>
              <w:rPr>
                <w:rFonts w:hint="eastAsia"/>
                <w:color w:val="auto"/>
                <w:sz w:val="22"/>
                <w:highlight w:val="none"/>
                <w:lang w:val="en-US" w:eastAsia="zh-CN"/>
              </w:rPr>
              <w:t>3</w:t>
            </w:r>
            <w:r>
              <w:rPr>
                <w:color w:val="auto"/>
                <w:sz w:val="22"/>
                <w:highlight w:val="none"/>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pPr>
              <w:ind w:left="105" w:leftChars="50" w:right="113"/>
              <w:rPr>
                <w:color w:val="auto"/>
                <w:szCs w:val="21"/>
                <w:highlight w:val="none"/>
              </w:rPr>
            </w:pPr>
          </w:p>
        </w:tc>
        <w:tc>
          <w:tcPr>
            <w:tcW w:w="3200" w:type="dxa"/>
            <w:vMerge w:val="continue"/>
            <w:vAlign w:val="center"/>
          </w:tcPr>
          <w:p>
            <w:pPr>
              <w:ind w:left="105" w:leftChars="50" w:right="113"/>
              <w:rPr>
                <w:color w:val="auto"/>
                <w:szCs w:val="21"/>
                <w:highlight w:val="none"/>
              </w:rPr>
            </w:pPr>
          </w:p>
        </w:tc>
        <w:tc>
          <w:tcPr>
            <w:tcW w:w="5107" w:type="dxa"/>
            <w:vAlign w:val="center"/>
          </w:tcPr>
          <w:p>
            <w:pPr>
              <w:pStyle w:val="46"/>
              <w:snapToGrid w:val="0"/>
              <w:ind w:left="42" w:leftChars="20" w:right="42" w:rightChars="20"/>
              <w:rPr>
                <w:rFonts w:hint="eastAsia" w:eastAsiaTheme="minorEastAsia"/>
                <w:color w:val="auto"/>
                <w:szCs w:val="21"/>
                <w:highlight w:val="none"/>
                <w:lang w:eastAsia="zh-CN"/>
              </w:rPr>
            </w:pPr>
            <w:r>
              <w:rPr>
                <w:color w:val="auto"/>
                <w:sz w:val="22"/>
                <w:highlight w:val="none"/>
              </w:rPr>
              <w:t>形式：</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pPr>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pPr>
              <w:wordWrap w:val="0"/>
              <w:ind w:left="42" w:leftChars="20" w:right="42" w:rightChars="20"/>
              <w:jc w:val="left"/>
              <w:rPr>
                <w:rFonts w:hint="eastAsia" w:eastAsiaTheme="minorEastAsia"/>
                <w:color w:val="auto"/>
                <w:szCs w:val="21"/>
                <w:highlight w:val="none"/>
                <w:lang w:eastAsia="zh-CN"/>
              </w:rPr>
            </w:pPr>
            <w:r>
              <w:rPr>
                <w:rFonts w:hint="eastAsia"/>
                <w:color w:val="auto"/>
                <w:sz w:val="22"/>
                <w:highlight w:val="none"/>
                <w:lang w:eastAsia="zh-CN"/>
              </w:rPr>
              <w:t>响应文件</w:t>
            </w:r>
            <w:r>
              <w:rPr>
                <w:color w:val="auto"/>
                <w:sz w:val="22"/>
                <w:highlight w:val="none"/>
              </w:rPr>
              <w:t>澄清将在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pPr>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pPr>
              <w:pStyle w:val="46"/>
              <w:snapToGrid w:val="0"/>
              <w:ind w:left="42" w:leftChars="20" w:right="42" w:rightChars="20"/>
              <w:jc w:val="left"/>
              <w:rPr>
                <w:color w:val="auto"/>
                <w:szCs w:val="21"/>
                <w:highlight w:val="none"/>
              </w:rPr>
            </w:pPr>
            <w:r>
              <w:rPr>
                <w:color w:val="auto"/>
                <w:sz w:val="22"/>
                <w:highlight w:val="none"/>
              </w:rPr>
              <w:t>形式：</w:t>
            </w:r>
            <w:r>
              <w:rPr>
                <w:rFonts w:hint="eastAsia"/>
                <w:color w:val="auto"/>
                <w:sz w:val="22"/>
                <w:highlight w:val="none"/>
                <w:lang w:eastAsia="zh-CN"/>
              </w:rPr>
              <w:t>供应商</w:t>
            </w:r>
            <w:r>
              <w:rPr>
                <w:color w:val="auto"/>
                <w:sz w:val="22"/>
                <w:highlight w:val="none"/>
              </w:rPr>
              <w:t>应关注</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w:t>
            </w:r>
            <w:r>
              <w:rPr>
                <w:color w:val="auto"/>
                <w:sz w:val="22"/>
                <w:highlight w:val="none"/>
              </w:rPr>
              <w:t>的网站，及时</w:t>
            </w:r>
            <w:r>
              <w:rPr>
                <w:rFonts w:hint="eastAsia"/>
                <w:color w:val="auto"/>
                <w:sz w:val="22"/>
                <w:highlight w:val="none"/>
                <w:lang w:eastAsia="zh-CN"/>
              </w:rPr>
              <w:t>查看响应文件</w:t>
            </w:r>
            <w:r>
              <w:rPr>
                <w:color w:val="auto"/>
                <w:sz w:val="22"/>
                <w:highlight w:val="none"/>
              </w:rPr>
              <w:t>澄清。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pPr>
              <w:pStyle w:val="46"/>
              <w:snapToGrid w:val="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pPr>
              <w:pStyle w:val="46"/>
              <w:snapToGrid w:val="0"/>
              <w:ind w:left="42" w:leftChars="20" w:right="42" w:rightChars="20"/>
              <w:jc w:val="left"/>
              <w:rPr>
                <w:rFonts w:hint="eastAsia"/>
                <w:color w:val="auto"/>
                <w:sz w:val="22"/>
                <w:highlight w:val="none"/>
                <w:lang w:val="en-US" w:eastAsia="zh-CN"/>
              </w:rPr>
            </w:pPr>
            <w:r>
              <w:rPr>
                <w:rFonts w:hint="eastAsia"/>
                <w:b/>
                <w:bCs/>
                <w:color w:val="auto"/>
                <w:sz w:val="22"/>
                <w:highlight w:val="none"/>
                <w:lang w:val="en-US" w:eastAsia="zh-CN"/>
              </w:rPr>
              <w:t>正本壹份，副本壹份（需密封）。正副本内容不一致时，以正本为准。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pPr>
              <w:pStyle w:val="46"/>
              <w:snapToGrid w:val="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pPr>
              <w:pStyle w:val="46"/>
              <w:snapToGrid w:val="0"/>
              <w:ind w:left="42" w:leftChars="20" w:right="42" w:rightChars="20"/>
              <w:jc w:val="left"/>
              <w:rPr>
                <w:rFonts w:hint="eastAsia"/>
                <w:color w:val="auto"/>
                <w:sz w:val="22"/>
                <w:highlight w:val="none"/>
                <w:lang w:eastAsia="zh-CN"/>
              </w:rPr>
            </w:pPr>
            <w:r>
              <w:rPr>
                <w:rFonts w:hint="eastAsia"/>
                <w:b/>
                <w:bCs/>
                <w:color w:val="auto"/>
                <w:sz w:val="22"/>
                <w:highlight w:val="none"/>
                <w:lang w:val="en-US" w:eastAsia="zh-CN"/>
              </w:rPr>
              <w:t>响应文件胶装，商务技术文件、报价文件分别密封，正副本密封在同一密封袋，封口处须密封并加盖企业公章。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文件密封形式</w:t>
            </w:r>
          </w:p>
        </w:tc>
        <w:tc>
          <w:tcPr>
            <w:tcW w:w="5107" w:type="dxa"/>
            <w:vAlign w:val="center"/>
          </w:tcPr>
          <w:p>
            <w:pPr>
              <w:rPr>
                <w:color w:val="auto"/>
                <w:sz w:val="22"/>
                <w:szCs w:val="21"/>
                <w:highlight w:val="none"/>
              </w:rPr>
            </w:pPr>
            <w:r>
              <w:rPr>
                <w:rFonts w:hint="eastAsia" w:ascii="宋体" w:hAnsi="宋体" w:cs="宋体"/>
                <w:color w:val="auto"/>
                <w:sz w:val="22"/>
                <w:szCs w:val="22"/>
                <w:highlight w:val="none"/>
                <w:lang w:eastAsia="zh-CN"/>
              </w:rPr>
              <w:t>□</w:t>
            </w:r>
            <w:r>
              <w:rPr>
                <w:color w:val="auto"/>
                <w:sz w:val="22"/>
                <w:szCs w:val="21"/>
                <w:highlight w:val="none"/>
              </w:rPr>
              <w:t>单信封</w:t>
            </w:r>
          </w:p>
          <w:p>
            <w:pPr>
              <w:rPr>
                <w:color w:val="auto"/>
                <w:szCs w:val="21"/>
                <w:highlight w:val="none"/>
              </w:rPr>
            </w:pPr>
            <w:r>
              <w:rPr>
                <w:rFonts w:hint="eastAsia"/>
                <w:color w:val="auto"/>
                <w:szCs w:val="21"/>
                <w:highlight w:val="none"/>
              </w:rPr>
              <w:sym w:font="Wingdings" w:char="00FE"/>
            </w:r>
            <w:r>
              <w:rPr>
                <w:color w:val="auto"/>
                <w:sz w:val="22"/>
                <w:szCs w:val="21"/>
                <w:highlight w:val="none"/>
              </w:rPr>
              <w:t>双信封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pPr>
              <w:ind w:left="105" w:leftChars="50"/>
              <w:jc w:val="center"/>
              <w:rPr>
                <w:color w:val="auto"/>
                <w:szCs w:val="21"/>
                <w:highlight w:val="none"/>
              </w:rPr>
            </w:pPr>
            <w:r>
              <w:rPr>
                <w:color w:val="auto"/>
                <w:sz w:val="22"/>
                <w:szCs w:val="21"/>
                <w:highlight w:val="none"/>
              </w:rPr>
              <w:t>增值税税金的计算方法</w:t>
            </w:r>
          </w:p>
        </w:tc>
        <w:tc>
          <w:tcPr>
            <w:tcW w:w="5107" w:type="dxa"/>
            <w:vAlign w:val="center"/>
          </w:tcPr>
          <w:p>
            <w:pPr>
              <w:snapToGrid w:val="0"/>
              <w:ind w:left="42" w:leftChars="20" w:right="42" w:rightChars="20"/>
              <w:rPr>
                <w:color w:val="auto"/>
                <w:sz w:val="22"/>
                <w:szCs w:val="22"/>
                <w:highlight w:val="none"/>
              </w:rPr>
            </w:pPr>
            <w:r>
              <w:rPr>
                <w:color w:val="auto"/>
                <w:sz w:val="22"/>
                <w:szCs w:val="22"/>
                <w:highlight w:val="none"/>
              </w:rPr>
              <w:t>投标报价为含税价，税率</w:t>
            </w:r>
            <w:r>
              <w:rPr>
                <w:rFonts w:hint="eastAsia"/>
                <w:color w:val="auto"/>
                <w:sz w:val="22"/>
                <w:szCs w:val="22"/>
                <w:highlight w:val="none"/>
              </w:rPr>
              <w:t>按</w:t>
            </w:r>
            <w:r>
              <w:rPr>
                <w:color w:val="auto"/>
                <w:sz w:val="22"/>
                <w:szCs w:val="22"/>
                <w:highlight w:val="none"/>
              </w:rPr>
              <w:t>税法规定的一般纳税人计算</w:t>
            </w:r>
            <w:r>
              <w:rPr>
                <w:rFonts w:hint="eastAsia"/>
                <w:color w:val="auto"/>
                <w:sz w:val="22"/>
                <w:szCs w:val="22"/>
                <w:highlight w:val="none"/>
              </w:rPr>
              <w:t>，并执行国家最新税率标准</w:t>
            </w:r>
            <w:r>
              <w:rPr>
                <w:color w:val="auto"/>
                <w:sz w:val="22"/>
                <w:szCs w:val="22"/>
                <w:highlight w:val="none"/>
              </w:rPr>
              <w:t>。</w:t>
            </w:r>
          </w:p>
          <w:p>
            <w:pPr>
              <w:ind w:left="42" w:leftChars="20" w:right="42" w:rightChars="20"/>
              <w:rPr>
                <w:color w:val="auto"/>
                <w:sz w:val="22"/>
                <w:szCs w:val="22"/>
                <w:highlight w:val="none"/>
              </w:rPr>
            </w:pPr>
            <w:r>
              <w:rPr>
                <w:color w:val="auto"/>
                <w:sz w:val="22"/>
                <w:szCs w:val="22"/>
                <w:highlight w:val="none"/>
              </w:rPr>
              <w:t>承包人应提供增值税专用发票。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pPr>
              <w:jc w:val="center"/>
              <w:rPr>
                <w:color w:val="auto"/>
                <w:szCs w:val="21"/>
                <w:highlight w:val="none"/>
              </w:rPr>
            </w:pPr>
            <w:r>
              <w:rPr>
                <w:color w:val="auto"/>
                <w:sz w:val="22"/>
                <w:szCs w:val="21"/>
                <w:highlight w:val="none"/>
              </w:rPr>
              <w:t>最高</w:t>
            </w:r>
            <w:r>
              <w:rPr>
                <w:rFonts w:hint="eastAsia"/>
                <w:color w:val="auto"/>
                <w:sz w:val="22"/>
                <w:szCs w:val="21"/>
                <w:highlight w:val="none"/>
                <w:lang w:eastAsia="zh-CN"/>
              </w:rPr>
              <w:t>响应</w:t>
            </w:r>
            <w:r>
              <w:rPr>
                <w:color w:val="auto"/>
                <w:sz w:val="22"/>
                <w:szCs w:val="21"/>
                <w:highlight w:val="none"/>
              </w:rPr>
              <w:t>限价</w:t>
            </w:r>
          </w:p>
        </w:tc>
        <w:tc>
          <w:tcPr>
            <w:tcW w:w="5107" w:type="dxa"/>
            <w:vAlign w:val="center"/>
          </w:tcPr>
          <w:p>
            <w:pPr>
              <w:ind w:left="42" w:leftChars="20" w:right="42" w:rightChars="20"/>
              <w:rPr>
                <w:color w:val="auto"/>
                <w:sz w:val="22"/>
                <w:szCs w:val="22"/>
                <w:highlight w:val="none"/>
              </w:rPr>
            </w:pPr>
            <w:r>
              <w:rPr>
                <w:b/>
                <w:bCs/>
                <w:color w:val="auto"/>
                <w:sz w:val="22"/>
                <w:szCs w:val="22"/>
                <w:highlight w:val="none"/>
              </w:rPr>
              <w:t>最高投标限价</w:t>
            </w:r>
            <w:r>
              <w:rPr>
                <w:rFonts w:hint="eastAsia"/>
                <w:b/>
                <w:bCs/>
                <w:color w:val="auto"/>
                <w:sz w:val="22"/>
                <w:szCs w:val="22"/>
                <w:highlight w:val="none"/>
                <w:lang w:val="en-US" w:eastAsia="zh-CN"/>
              </w:rPr>
              <w:t>人民币</w:t>
            </w:r>
            <w:r>
              <w:rPr>
                <w:rFonts w:hint="eastAsia" w:ascii="Times New Roman" w:hAnsi="Times New Roman" w:cs="Times New Roman"/>
                <w:b/>
                <w:bCs/>
                <w:color w:val="auto"/>
                <w:szCs w:val="22"/>
                <w:highlight w:val="none"/>
                <w:u w:val="single"/>
                <w:lang w:val="en-US" w:eastAsia="zh-CN"/>
              </w:rPr>
              <w:t>01包段人民币557万元，02包段人民币468万</w:t>
            </w:r>
            <w:r>
              <w:rPr>
                <w:rFonts w:hint="eastAsia"/>
                <w:b/>
                <w:bCs/>
                <w:color w:val="auto"/>
                <w:sz w:val="22"/>
                <w:szCs w:val="22"/>
                <w:highlight w:val="none"/>
                <w:u w:val="single"/>
                <w:lang w:val="en-US" w:eastAsia="zh-CN"/>
              </w:rPr>
              <w:t>元</w:t>
            </w:r>
            <w:r>
              <w:rPr>
                <w:rFonts w:hint="eastAsia"/>
                <w:b/>
                <w:bCs/>
                <w:color w:val="auto"/>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报价的其他要求</w:t>
            </w:r>
          </w:p>
        </w:tc>
        <w:tc>
          <w:tcPr>
            <w:tcW w:w="5107" w:type="dxa"/>
            <w:vAlign w:val="center"/>
          </w:tcPr>
          <w:p>
            <w:pPr>
              <w:ind w:right="42" w:rightChars="20"/>
              <w:rPr>
                <w:color w:val="auto"/>
                <w:sz w:val="22"/>
                <w:szCs w:val="22"/>
                <w:highlight w:val="none"/>
              </w:rPr>
            </w:pPr>
            <w:r>
              <w:rPr>
                <w:rFonts w:hint="eastAsia"/>
                <w:color w:val="auto"/>
                <w:sz w:val="22"/>
                <w:szCs w:val="22"/>
                <w:highlight w:val="none"/>
                <w:lang w:val="en-US" w:eastAsia="zh-CN"/>
              </w:rPr>
              <w:t>详见报价清单要求</w:t>
            </w:r>
            <w:r>
              <w:rPr>
                <w:color w:val="auto"/>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有效期</w:t>
            </w:r>
          </w:p>
        </w:tc>
        <w:tc>
          <w:tcPr>
            <w:tcW w:w="5107" w:type="dxa"/>
            <w:vAlign w:val="center"/>
          </w:tcPr>
          <w:p>
            <w:pPr>
              <w:ind w:left="42" w:leftChars="20" w:right="42" w:rightChars="20"/>
              <w:rPr>
                <w:color w:val="auto"/>
                <w:szCs w:val="21"/>
                <w:highlight w:val="none"/>
              </w:rPr>
            </w:pPr>
            <w:r>
              <w:rPr>
                <w:color w:val="auto"/>
                <w:sz w:val="22"/>
                <w:szCs w:val="21"/>
                <w:highlight w:val="none"/>
              </w:rPr>
              <w:t>自</w:t>
            </w:r>
            <w:r>
              <w:rPr>
                <w:rFonts w:hint="eastAsia"/>
                <w:color w:val="auto"/>
                <w:sz w:val="22"/>
                <w:szCs w:val="21"/>
                <w:highlight w:val="none"/>
                <w:lang w:eastAsia="zh-CN"/>
              </w:rPr>
              <w:t>供应商</w:t>
            </w:r>
            <w:r>
              <w:rPr>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保证金</w:t>
            </w:r>
          </w:p>
        </w:tc>
        <w:tc>
          <w:tcPr>
            <w:tcW w:w="5107" w:type="dxa"/>
            <w:vAlign w:val="center"/>
          </w:tcPr>
          <w:p>
            <w:pPr>
              <w:pStyle w:val="7"/>
              <w:rPr>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pPr>
              <w:pStyle w:val="7"/>
              <w:rPr>
                <w:color w:val="auto"/>
                <w:szCs w:val="21"/>
                <w:highlight w:val="none"/>
              </w:rPr>
            </w:pPr>
            <w:r>
              <w:rPr>
                <w:rFonts w:hint="eastAsia"/>
                <w:color w:val="auto"/>
                <w:szCs w:val="21"/>
                <w:highlight w:val="none"/>
                <w:lang w:eastAsia="zh-CN"/>
              </w:rPr>
              <w:t>□</w:t>
            </w:r>
            <w:r>
              <w:rPr>
                <w:rFonts w:hint="eastAsia"/>
                <w:color w:val="auto"/>
                <w:szCs w:val="21"/>
                <w:highlight w:val="none"/>
              </w:rPr>
              <w:t xml:space="preserve">不要求     </w:t>
            </w:r>
            <w:r>
              <w:rPr>
                <w:rFonts w:hint="eastAsia" w:eastAsia="宋体"/>
                <w:color w:val="auto"/>
                <w:szCs w:val="21"/>
                <w:highlight w:val="none"/>
                <w:lang w:eastAsia="zh-CN"/>
              </w:rPr>
              <w:t>☑</w:t>
            </w:r>
            <w:r>
              <w:rPr>
                <w:color w:val="auto"/>
                <w:szCs w:val="21"/>
                <w:highlight w:val="none"/>
              </w:rPr>
              <w:t>要求，</w:t>
            </w:r>
          </w:p>
          <w:p>
            <w:pPr>
              <w:pStyle w:val="7"/>
              <w:rPr>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银行转账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银行电汇  </w:t>
            </w:r>
          </w:p>
          <w:p>
            <w:pPr>
              <w:pStyle w:val="7"/>
              <w:rPr>
                <w:b/>
                <w:bCs/>
                <w:color w:val="auto"/>
                <w:szCs w:val="21"/>
                <w:highlight w:val="none"/>
              </w:rPr>
            </w:pPr>
            <w:r>
              <w:rPr>
                <w:rFonts w:hint="eastAsia"/>
                <w:b/>
                <w:bCs/>
                <w:color w:val="auto"/>
                <w:szCs w:val="21"/>
                <w:highlight w:val="none"/>
                <w:lang w:eastAsia="zh-CN"/>
              </w:rPr>
              <w:t>响应</w:t>
            </w:r>
            <w:r>
              <w:rPr>
                <w:rFonts w:hint="eastAsia"/>
                <w:b/>
                <w:bCs/>
                <w:color w:val="auto"/>
                <w:szCs w:val="21"/>
                <w:highlight w:val="none"/>
              </w:rPr>
              <w:t>保证金的金额：人民币</w:t>
            </w:r>
            <w:r>
              <w:rPr>
                <w:rFonts w:hint="eastAsia"/>
                <w:b/>
                <w:bCs/>
                <w:highlight w:val="none"/>
                <w:u w:val="single"/>
                <w:lang w:val="en-US" w:eastAsia="zh-CN"/>
              </w:rPr>
              <w:t>肆</w:t>
            </w:r>
            <w:r>
              <w:rPr>
                <w:rFonts w:hint="eastAsia"/>
                <w:b/>
                <w:bCs/>
                <w:color w:val="auto"/>
                <w:szCs w:val="21"/>
                <w:highlight w:val="none"/>
              </w:rPr>
              <w:t>万元</w:t>
            </w:r>
          </w:p>
          <w:p>
            <w:pPr>
              <w:pStyle w:val="7"/>
              <w:rPr>
                <w:color w:val="auto"/>
                <w:szCs w:val="21"/>
                <w:highlight w:val="none"/>
              </w:rPr>
            </w:pPr>
            <w:r>
              <w:rPr>
                <w:rFonts w:hint="eastAsia"/>
                <w:color w:val="auto"/>
                <w:szCs w:val="21"/>
                <w:highlight w:val="none"/>
              </w:rPr>
              <w:t xml:space="preserve">递交要求： </w:t>
            </w:r>
          </w:p>
          <w:p>
            <w:pPr>
              <w:pStyle w:val="7"/>
              <w:rPr>
                <w:color w:val="auto"/>
                <w:szCs w:val="21"/>
                <w:highlight w:val="none"/>
              </w:rPr>
            </w:pPr>
            <w:r>
              <w:rPr>
                <w:rFonts w:hint="eastAsia"/>
                <w:color w:val="auto"/>
                <w:szCs w:val="21"/>
                <w:highlight w:val="none"/>
              </w:rPr>
              <w:t>①投标保证金的到账截止时间：投标截止时间。</w:t>
            </w:r>
          </w:p>
          <w:p>
            <w:pPr>
              <w:pStyle w:val="7"/>
              <w:rPr>
                <w:color w:val="auto"/>
                <w:szCs w:val="21"/>
                <w:highlight w:val="none"/>
              </w:rPr>
            </w:pPr>
            <w:r>
              <w:rPr>
                <w:rFonts w:hint="eastAsia"/>
                <w:color w:val="auto"/>
                <w:szCs w:val="21"/>
                <w:highlight w:val="none"/>
              </w:rPr>
              <w:t>②投标保证金应当从</w:t>
            </w:r>
            <w:r>
              <w:rPr>
                <w:rFonts w:hint="eastAsia"/>
                <w:color w:val="auto"/>
                <w:szCs w:val="21"/>
                <w:highlight w:val="none"/>
                <w:lang w:eastAsia="zh-CN"/>
              </w:rPr>
              <w:t>供应商</w:t>
            </w:r>
            <w:r>
              <w:rPr>
                <w:rFonts w:hint="eastAsia"/>
                <w:color w:val="auto"/>
                <w:szCs w:val="21"/>
                <w:highlight w:val="none"/>
              </w:rPr>
              <w:t>基本账户转出，转出保证金的账户与</w:t>
            </w:r>
            <w:r>
              <w:rPr>
                <w:rFonts w:hint="eastAsia"/>
                <w:color w:val="auto"/>
                <w:szCs w:val="21"/>
                <w:highlight w:val="none"/>
                <w:lang w:eastAsia="zh-CN"/>
              </w:rPr>
              <w:t>供应商</w:t>
            </w:r>
            <w:r>
              <w:rPr>
                <w:rFonts w:hint="eastAsia"/>
                <w:color w:val="auto"/>
                <w:szCs w:val="21"/>
                <w:highlight w:val="none"/>
              </w:rPr>
              <w:t>投标文件提供的基本账户不一致的，视为未按</w:t>
            </w:r>
            <w:r>
              <w:rPr>
                <w:rFonts w:hint="eastAsia"/>
                <w:color w:val="auto"/>
                <w:szCs w:val="21"/>
                <w:highlight w:val="none"/>
                <w:lang w:eastAsia="zh-CN"/>
              </w:rPr>
              <w:t>响应文件</w:t>
            </w:r>
            <w:r>
              <w:rPr>
                <w:rFonts w:hint="eastAsia"/>
                <w:color w:val="auto"/>
                <w:szCs w:val="21"/>
                <w:highlight w:val="none"/>
              </w:rPr>
              <w:t>规定要求递交投标保证金。</w:t>
            </w:r>
          </w:p>
          <w:p>
            <w:pPr>
              <w:pStyle w:val="7"/>
              <w:rPr>
                <w:rFonts w:hint="eastAsia" w:eastAsia="宋体"/>
                <w:color w:val="auto"/>
                <w:szCs w:val="21"/>
                <w:highlight w:val="none"/>
                <w:u w:val="single"/>
                <w:lang w:eastAsia="zh-CN"/>
              </w:rPr>
            </w:pPr>
            <w:r>
              <w:rPr>
                <w:rFonts w:hint="eastAsia"/>
                <w:color w:val="auto"/>
                <w:szCs w:val="21"/>
                <w:highlight w:val="none"/>
              </w:rPr>
              <w:t>③转入的开户银行及账号见本项目招标公告所示。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pPr>
              <w:ind w:left="105" w:leftChars="50"/>
              <w:jc w:val="center"/>
              <w:rPr>
                <w:color w:val="auto"/>
                <w:szCs w:val="21"/>
                <w:highlight w:val="none"/>
              </w:rPr>
            </w:pPr>
            <w:r>
              <w:rPr>
                <w:color w:val="auto"/>
                <w:sz w:val="22"/>
                <w:szCs w:val="21"/>
                <w:highlight w:val="none"/>
              </w:rPr>
              <w:t>其他可以不予退还投标保证金的情形</w:t>
            </w:r>
          </w:p>
        </w:tc>
        <w:tc>
          <w:tcPr>
            <w:tcW w:w="5107" w:type="dxa"/>
            <w:vAlign w:val="center"/>
          </w:tcPr>
          <w:p>
            <w:pPr>
              <w:snapToGrid w:val="0"/>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lang w:val="en-US" w:eastAsia="zh-CN"/>
              </w:rPr>
              <w:t>1</w:t>
            </w:r>
            <w:r>
              <w:rPr>
                <w:color w:val="auto"/>
                <w:sz w:val="22"/>
                <w:szCs w:val="21"/>
                <w:highlight w:val="none"/>
              </w:rPr>
              <w:t>）中标候选人放弃中标候选人资格；</w:t>
            </w:r>
          </w:p>
          <w:p>
            <w:pPr>
              <w:snapToGrid w:val="0"/>
              <w:ind w:left="42" w:leftChars="20" w:right="42" w:rightChars="20"/>
              <w:rPr>
                <w:rFonts w:hint="eastAsia" w:eastAsiaTheme="minorEastAsia"/>
                <w:color w:val="auto"/>
                <w:sz w:val="22"/>
                <w:szCs w:val="21"/>
                <w:highlight w:val="none"/>
                <w:lang w:eastAsia="zh-CN"/>
              </w:rPr>
            </w:pPr>
            <w:r>
              <w:rPr>
                <w:color w:val="auto"/>
                <w:sz w:val="22"/>
                <w:szCs w:val="21"/>
                <w:highlight w:val="none"/>
              </w:rPr>
              <w:t>（</w:t>
            </w:r>
            <w:r>
              <w:rPr>
                <w:rFonts w:hint="eastAsia"/>
                <w:color w:val="auto"/>
                <w:sz w:val="22"/>
                <w:szCs w:val="21"/>
                <w:highlight w:val="none"/>
                <w:lang w:val="en-US" w:eastAsia="zh-CN"/>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在投标过程中存在弄虚作假、与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pPr>
              <w:snapToGrid w:val="0"/>
              <w:ind w:left="42" w:leftChars="20" w:right="42" w:rightChars="20"/>
              <w:rPr>
                <w:color w:val="auto"/>
                <w:szCs w:val="21"/>
                <w:highlight w:val="none"/>
              </w:rPr>
            </w:pPr>
            <w:r>
              <w:rPr>
                <w:color w:val="auto"/>
                <w:sz w:val="22"/>
                <w:szCs w:val="21"/>
                <w:highlight w:val="none"/>
              </w:rPr>
              <w:t>（</w:t>
            </w:r>
            <w:r>
              <w:rPr>
                <w:rFonts w:hint="eastAsia"/>
                <w:color w:val="auto"/>
                <w:sz w:val="22"/>
                <w:szCs w:val="21"/>
                <w:highlight w:val="none"/>
                <w:lang w:val="en-US" w:eastAsia="zh-CN"/>
              </w:rPr>
              <w:t>3</w:t>
            </w:r>
            <w:r>
              <w:rPr>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color w:val="auto"/>
                <w:sz w:val="22"/>
                <w:szCs w:val="21"/>
                <w:highlight w:val="none"/>
              </w:rPr>
              <w:t>所要求的履约保证金的</w:t>
            </w:r>
            <w:r>
              <w:rPr>
                <w:rFonts w:hint="eastAsia"/>
                <w:color w:val="auto"/>
                <w:sz w:val="22"/>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pPr>
              <w:jc w:val="center"/>
              <w:rPr>
                <w:color w:val="auto"/>
                <w:szCs w:val="21"/>
                <w:highlight w:val="none"/>
              </w:rPr>
            </w:pPr>
            <w:r>
              <w:rPr>
                <w:color w:val="auto"/>
                <w:sz w:val="22"/>
                <w:szCs w:val="21"/>
                <w:highlight w:val="none"/>
              </w:rPr>
              <w:t>资格审查资料的特殊要求</w:t>
            </w:r>
          </w:p>
        </w:tc>
        <w:tc>
          <w:tcPr>
            <w:tcW w:w="5107" w:type="dxa"/>
            <w:vAlign w:val="center"/>
          </w:tcPr>
          <w:p>
            <w:pPr>
              <w:ind w:left="42" w:leftChars="20" w:right="42" w:rightChars="20"/>
              <w:rPr>
                <w:color w:val="auto"/>
                <w:szCs w:val="21"/>
                <w:highlight w:val="none"/>
              </w:rPr>
            </w:pPr>
            <w:r>
              <w:rPr>
                <w:color w:val="auto"/>
                <w:sz w:val="22"/>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pPr>
              <w:jc w:val="center"/>
              <w:rPr>
                <w:color w:val="auto"/>
                <w:szCs w:val="21"/>
                <w:highlight w:val="none"/>
              </w:rPr>
            </w:pPr>
            <w:r>
              <w:rPr>
                <w:color w:val="auto"/>
                <w:sz w:val="22"/>
                <w:szCs w:val="21"/>
                <w:highlight w:val="none"/>
              </w:rPr>
              <w:t>近年财务状况的年份要求</w:t>
            </w:r>
          </w:p>
        </w:tc>
        <w:tc>
          <w:tcPr>
            <w:tcW w:w="5107" w:type="dxa"/>
            <w:vAlign w:val="center"/>
          </w:tcPr>
          <w:p>
            <w:pPr>
              <w:ind w:right="42" w:rightChars="20"/>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pPr>
              <w:ind w:left="105" w:leftChars="50"/>
              <w:jc w:val="center"/>
              <w:rPr>
                <w:color w:val="auto"/>
                <w:szCs w:val="21"/>
                <w:highlight w:val="none"/>
              </w:rPr>
            </w:pPr>
            <w:r>
              <w:rPr>
                <w:color w:val="auto"/>
                <w:sz w:val="22"/>
                <w:szCs w:val="21"/>
                <w:highlight w:val="none"/>
              </w:rPr>
              <w:t>近年完成的类似项目情况的时间要求</w:t>
            </w:r>
          </w:p>
        </w:tc>
        <w:tc>
          <w:tcPr>
            <w:tcW w:w="5107" w:type="dxa"/>
            <w:vAlign w:val="center"/>
          </w:tcPr>
          <w:p>
            <w:pPr>
              <w:pStyle w:val="46"/>
              <w:tabs>
                <w:tab w:val="left" w:pos="799"/>
                <w:tab w:val="left" w:pos="1569"/>
                <w:tab w:val="left" w:pos="2340"/>
              </w:tabs>
              <w:snapToGrid w:val="0"/>
              <w:spacing w:before="122"/>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color w:val="auto"/>
                <w:sz w:val="22"/>
                <w:highlight w:val="none"/>
              </w:rPr>
              <w:t>至投标截止时间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pPr>
              <w:ind w:left="105" w:leftChars="50"/>
              <w:jc w:val="center"/>
              <w:rPr>
                <w:color w:val="auto"/>
                <w:szCs w:val="21"/>
                <w:highlight w:val="none"/>
              </w:rPr>
            </w:pPr>
            <w:r>
              <w:rPr>
                <w:color w:val="auto"/>
                <w:sz w:val="22"/>
                <w:szCs w:val="21"/>
                <w:highlight w:val="none"/>
              </w:rPr>
              <w:t>近年发生的诉讼及仲裁情况的时间要求</w:t>
            </w:r>
          </w:p>
        </w:tc>
        <w:tc>
          <w:tcPr>
            <w:tcW w:w="5107" w:type="dxa"/>
            <w:vAlign w:val="center"/>
          </w:tcPr>
          <w:p>
            <w:pPr>
              <w:pStyle w:val="46"/>
              <w:tabs>
                <w:tab w:val="left" w:pos="799"/>
                <w:tab w:val="left" w:pos="1569"/>
                <w:tab w:val="left" w:pos="2340"/>
              </w:tabs>
              <w:snapToGrid w:val="0"/>
              <w:spacing w:before="122"/>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eastAsia="zh-CN"/>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pPr>
              <w:jc w:val="center"/>
              <w:rPr>
                <w:color w:val="auto"/>
                <w:szCs w:val="21"/>
                <w:highlight w:val="none"/>
              </w:rPr>
            </w:pPr>
            <w:r>
              <w:rPr>
                <w:color w:val="auto"/>
                <w:sz w:val="22"/>
                <w:szCs w:val="21"/>
                <w:highlight w:val="none"/>
              </w:rPr>
              <w:t>是否允许递交备选投标方案</w:t>
            </w:r>
          </w:p>
        </w:tc>
        <w:tc>
          <w:tcPr>
            <w:tcW w:w="5107" w:type="dxa"/>
            <w:vAlign w:val="center"/>
          </w:tcPr>
          <w:p>
            <w:pPr>
              <w:ind w:left="42" w:leftChars="20" w:right="42" w:rightChars="20"/>
              <w:rPr>
                <w:color w:val="auto"/>
                <w:szCs w:val="21"/>
                <w:highlight w:val="none"/>
              </w:rPr>
            </w:pPr>
            <w:r>
              <w:rPr>
                <w:color w:val="auto"/>
                <w:sz w:val="22"/>
                <w:szCs w:val="21"/>
                <w:highlight w:val="none"/>
              </w:rPr>
              <w:t>不允许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pPr>
              <w:jc w:val="center"/>
              <w:rPr>
                <w:color w:val="auto"/>
                <w:szCs w:val="21"/>
                <w:highlight w:val="none"/>
              </w:rPr>
            </w:pPr>
            <w:r>
              <w:rPr>
                <w:color w:val="auto"/>
                <w:sz w:val="22"/>
                <w:szCs w:val="21"/>
                <w:highlight w:val="none"/>
              </w:rPr>
              <w:t>是否退还</w:t>
            </w:r>
            <w:r>
              <w:rPr>
                <w:rFonts w:hint="eastAsia"/>
                <w:color w:val="auto"/>
                <w:sz w:val="22"/>
                <w:szCs w:val="21"/>
                <w:highlight w:val="none"/>
                <w:lang w:eastAsia="zh-CN"/>
              </w:rPr>
              <w:t>响应</w:t>
            </w:r>
            <w:r>
              <w:rPr>
                <w:color w:val="auto"/>
                <w:sz w:val="22"/>
                <w:szCs w:val="21"/>
                <w:highlight w:val="none"/>
              </w:rPr>
              <w:t>文件</w:t>
            </w:r>
          </w:p>
        </w:tc>
        <w:tc>
          <w:tcPr>
            <w:tcW w:w="5107" w:type="dxa"/>
            <w:vAlign w:val="center"/>
          </w:tcPr>
          <w:p>
            <w:pPr>
              <w:ind w:left="42" w:leftChars="20" w:right="42" w:rightChars="20"/>
              <w:rPr>
                <w:color w:val="auto"/>
                <w:szCs w:val="21"/>
                <w:highlight w:val="none"/>
              </w:rPr>
            </w:pPr>
            <w:r>
              <w:rPr>
                <w:rFonts w:hint="eastAsia" w:ascii="宋体" w:hAnsi="宋体" w:cs="宋体"/>
                <w:color w:val="auto"/>
                <w:sz w:val="22"/>
                <w:highlight w:val="none"/>
              </w:rPr>
              <w:t>不予退还。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pPr>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pPr>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pPr>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pPr>
              <w:jc w:val="center"/>
              <w:rPr>
                <w:color w:val="auto"/>
                <w:szCs w:val="21"/>
                <w:highlight w:val="none"/>
              </w:rPr>
            </w:pPr>
            <w:r>
              <w:rPr>
                <w:color w:val="auto"/>
                <w:sz w:val="22"/>
                <w:szCs w:val="21"/>
                <w:highlight w:val="none"/>
              </w:rPr>
              <w:t>开标时间和地点</w:t>
            </w:r>
          </w:p>
        </w:tc>
        <w:tc>
          <w:tcPr>
            <w:tcW w:w="5107" w:type="dxa"/>
            <w:vAlign w:val="center"/>
          </w:tcPr>
          <w:p>
            <w:pPr>
              <w:spacing w:line="300" w:lineRule="exact"/>
              <w:rPr>
                <w:color w:val="auto"/>
                <w:szCs w:val="21"/>
                <w:highlight w:val="none"/>
              </w:rPr>
            </w:pPr>
            <w:r>
              <w:rPr>
                <w:rFonts w:hint="eastAsia"/>
                <w:color w:val="auto"/>
                <w:sz w:val="22"/>
                <w:highlight w:val="none"/>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的组建</w:t>
            </w:r>
          </w:p>
        </w:tc>
        <w:tc>
          <w:tcPr>
            <w:tcW w:w="5107" w:type="dxa"/>
            <w:vAlign w:val="center"/>
          </w:tcPr>
          <w:p>
            <w:pPr>
              <w:snapToGrid w:val="0"/>
              <w:ind w:left="42" w:leftChars="20" w:right="42" w:rightChars="20"/>
              <w:rPr>
                <w:color w:val="auto"/>
                <w:sz w:val="22"/>
                <w:szCs w:val="21"/>
                <w:highlight w:val="none"/>
              </w:rPr>
            </w:pPr>
            <w:r>
              <w:rPr>
                <w:rFonts w:hint="eastAsia"/>
                <w:color w:val="auto"/>
                <w:sz w:val="22"/>
                <w:szCs w:val="21"/>
                <w:highlight w:val="none"/>
                <w:lang w:eastAsia="zh-CN"/>
              </w:rPr>
              <w:t>评审小组</w:t>
            </w:r>
            <w:r>
              <w:rPr>
                <w:color w:val="auto"/>
                <w:sz w:val="22"/>
                <w:szCs w:val="21"/>
                <w:highlight w:val="none"/>
              </w:rPr>
              <w:t>构成：</w:t>
            </w:r>
            <w:r>
              <w:rPr>
                <w:rFonts w:hint="eastAsia"/>
                <w:color w:val="auto"/>
                <w:sz w:val="22"/>
                <w:szCs w:val="21"/>
                <w:highlight w:val="none"/>
                <w:u w:val="single"/>
                <w:lang w:val="en-US" w:eastAsia="zh-CN"/>
              </w:rPr>
              <w:t>3</w:t>
            </w:r>
            <w:r>
              <w:rPr>
                <w:color w:val="auto"/>
                <w:sz w:val="22"/>
                <w:szCs w:val="21"/>
                <w:highlight w:val="none"/>
              </w:rPr>
              <w:t>人</w:t>
            </w:r>
            <w:r>
              <w:rPr>
                <w:rFonts w:hint="eastAsia"/>
                <w:color w:val="auto"/>
                <w:sz w:val="22"/>
                <w:szCs w:val="21"/>
                <w:highlight w:val="none"/>
                <w:lang w:eastAsia="zh-CN"/>
              </w:rPr>
              <w:t>及以上单数</w:t>
            </w:r>
            <w:r>
              <w:rPr>
                <w:color w:val="auto"/>
                <w:sz w:val="22"/>
                <w:szCs w:val="21"/>
                <w:highlight w:val="none"/>
              </w:rPr>
              <w:t>；</w:t>
            </w:r>
          </w:p>
          <w:p>
            <w:pPr>
              <w:snapToGrid w:val="0"/>
              <w:ind w:left="42" w:leftChars="20" w:right="42" w:rightChars="20"/>
              <w:rPr>
                <w:color w:val="auto"/>
                <w:szCs w:val="21"/>
                <w:highlight w:val="none"/>
              </w:rPr>
            </w:pPr>
            <w:r>
              <w:rPr>
                <w:color w:val="auto"/>
                <w:sz w:val="22"/>
                <w:szCs w:val="21"/>
                <w:highlight w:val="none"/>
              </w:rPr>
              <w:t>评标专家确定方式：符合规定的评标专家库中随机抽取。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推荐中标候选人的人数</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3名，</w:t>
            </w:r>
            <w:r>
              <w:rPr>
                <w:color w:val="auto"/>
                <w:sz w:val="22"/>
                <w:szCs w:val="21"/>
                <w:highlight w:val="none"/>
              </w:rPr>
              <w:t>如不足3人，按</w:t>
            </w:r>
            <w:r>
              <w:rPr>
                <w:rFonts w:hint="eastAsia"/>
                <w:color w:val="auto"/>
                <w:sz w:val="22"/>
                <w:szCs w:val="21"/>
                <w:highlight w:val="none"/>
              </w:rPr>
              <w:t>评标办法</w:t>
            </w:r>
            <w:r>
              <w:rPr>
                <w:color w:val="auto"/>
                <w:sz w:val="22"/>
                <w:szCs w:val="21"/>
                <w:highlight w:val="none"/>
              </w:rPr>
              <w:t>规定处理。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pPr>
              <w:ind w:left="105" w:leftChars="50"/>
              <w:jc w:val="center"/>
              <w:rPr>
                <w:color w:val="auto"/>
                <w:szCs w:val="21"/>
                <w:highlight w:val="none"/>
              </w:rPr>
            </w:pPr>
            <w:r>
              <w:rPr>
                <w:color w:val="auto"/>
                <w:sz w:val="22"/>
                <w:szCs w:val="21"/>
                <w:highlight w:val="none"/>
              </w:rPr>
              <w:t>中标候选人公示媒介及期限</w:t>
            </w:r>
          </w:p>
        </w:tc>
        <w:tc>
          <w:tcPr>
            <w:tcW w:w="5107" w:type="dxa"/>
            <w:vAlign w:val="center"/>
          </w:tcPr>
          <w:p>
            <w:pPr>
              <w:pStyle w:val="46"/>
              <w:wordWrap w:val="0"/>
              <w:snapToGrid w:val="0"/>
              <w:spacing w:before="107"/>
              <w:ind w:left="42" w:leftChars="20" w:right="42" w:rightChars="20"/>
              <w:jc w:val="left"/>
              <w:rPr>
                <w:color w:val="auto"/>
                <w:sz w:val="22"/>
                <w:highlight w:val="none"/>
              </w:rPr>
            </w:pPr>
            <w:r>
              <w:rPr>
                <w:color w:val="auto"/>
                <w:sz w:val="22"/>
                <w:highlight w:val="none"/>
              </w:rPr>
              <w:t>公示媒介：</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p>
          <w:p>
            <w:pPr>
              <w:ind w:left="42" w:leftChars="20" w:right="42" w:rightChars="20"/>
              <w:rPr>
                <w:color w:val="auto"/>
                <w:szCs w:val="21"/>
                <w:highlight w:val="none"/>
              </w:rPr>
            </w:pPr>
            <w:r>
              <w:rPr>
                <w:color w:val="auto"/>
                <w:sz w:val="22"/>
                <w:highlight w:val="none"/>
              </w:rPr>
              <w:t>公示期限：</w:t>
            </w:r>
            <w:r>
              <w:rPr>
                <w:rFonts w:eastAsia="Times New Roman"/>
                <w:color w:val="auto"/>
                <w:sz w:val="22"/>
                <w:highlight w:val="none"/>
                <w:u w:val="single"/>
              </w:rPr>
              <w:t xml:space="preserve"> </w:t>
            </w:r>
            <w:r>
              <w:rPr>
                <w:color w:val="auto"/>
                <w:sz w:val="22"/>
                <w:highlight w:val="none"/>
                <w:u w:val="single"/>
              </w:rPr>
              <w:t xml:space="preserve">3 </w:t>
            </w:r>
            <w:r>
              <w:rPr>
                <w:color w:val="auto"/>
                <w:sz w:val="22"/>
                <w:highlight w:val="non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pPr>
              <w:ind w:left="42" w:leftChars="20" w:right="42" w:rightChars="20"/>
              <w:rPr>
                <w:color w:val="auto"/>
                <w:szCs w:val="21"/>
                <w:highlight w:val="none"/>
              </w:rPr>
            </w:pPr>
            <w:r>
              <w:rPr>
                <w:color w:val="auto"/>
                <w:sz w:val="22"/>
                <w:szCs w:val="21"/>
                <w:highlight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color w:val="auto"/>
                <w:szCs w:val="21"/>
                <w:highlight w:val="none"/>
                <w:lang w:eastAsia="zh-CN"/>
              </w:rPr>
              <w:t>见第二章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pPr>
              <w:spacing w:line="400" w:lineRule="exact"/>
              <w:rPr>
                <w:rFonts w:hint="default" w:ascii="宋体" w:hAnsi="宋体" w:cs="宋体" w:eastAsiaTheme="minorEastAsia"/>
                <w:color w:val="auto"/>
                <w:sz w:val="22"/>
                <w:szCs w:val="21"/>
                <w:highlight w:val="none"/>
                <w:lang w:val="en-US" w:eastAsia="zh-CN"/>
              </w:rPr>
            </w:pPr>
            <w:r>
              <w:rPr>
                <w:color w:val="auto"/>
                <w:sz w:val="22"/>
                <w:szCs w:val="21"/>
                <w:highlight w:val="none"/>
              </w:rPr>
              <w:t>联系电话：0551-</w:t>
            </w:r>
            <w:r>
              <w:rPr>
                <w:rFonts w:hint="eastAsia"/>
                <w:color w:val="auto"/>
                <w:sz w:val="22"/>
                <w:szCs w:val="21"/>
                <w:highlight w:val="none"/>
                <w:lang w:val="en-US" w:eastAsia="zh-CN"/>
              </w:rPr>
              <w:t>62265211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pPr>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pPr>
              <w:ind w:right="0"/>
              <w:jc w:val="left"/>
              <w:rPr>
                <w:rFonts w:ascii="宋体" w:hAnsi="宋体" w:cs="宋体"/>
                <w:color w:val="auto"/>
                <w:szCs w:val="21"/>
                <w:highlight w:val="none"/>
              </w:rPr>
            </w:pPr>
            <w:r>
              <w:rPr>
                <w:color w:val="auto"/>
                <w:sz w:val="22"/>
                <w:szCs w:val="21"/>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spacing w:line="360" w:lineRule="auto"/>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color w:val="auto"/>
                <w:spacing w:val="-3"/>
                <w:kern w:val="0"/>
                <w:sz w:val="22"/>
                <w:szCs w:val="21"/>
                <w:highlight w:val="none"/>
              </w:rPr>
              <w:t>人的名称、地址及有效联系方式；</w:t>
            </w:r>
          </w:p>
          <w:p>
            <w:pPr>
              <w:widowControl/>
              <w:shd w:val="clear" w:color="auto" w:fill="FFFFFF"/>
              <w:ind w:firstLine="420"/>
              <w:jc w:val="left"/>
              <w:rPr>
                <w:color w:val="auto"/>
                <w:spacing w:val="-3"/>
                <w:kern w:val="0"/>
                <w:sz w:val="22"/>
                <w:szCs w:val="21"/>
                <w:highlight w:val="none"/>
              </w:rPr>
            </w:pPr>
            <w:r>
              <w:rPr>
                <w:rFonts w:hint="eastAsia"/>
                <w:color w:val="auto"/>
                <w:spacing w:val="-3"/>
                <w:kern w:val="0"/>
                <w:sz w:val="22"/>
                <w:szCs w:val="21"/>
                <w:highlight w:val="none"/>
              </w:rPr>
              <w:t>（2）异议</w:t>
            </w:r>
            <w:r>
              <w:rPr>
                <w:color w:val="auto"/>
                <w:spacing w:val="-3"/>
                <w:kern w:val="0"/>
                <w:sz w:val="22"/>
                <w:szCs w:val="21"/>
                <w:highlight w:val="none"/>
              </w:rPr>
              <w:t>事项的基本事实；</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color w:val="auto"/>
                <w:spacing w:val="-3"/>
                <w:kern w:val="0"/>
                <w:sz w:val="22"/>
                <w:szCs w:val="21"/>
                <w:highlight w:val="none"/>
              </w:rPr>
              <w:t>有效线索和相关证明材料</w:t>
            </w:r>
            <w:r>
              <w:rPr>
                <w:rFonts w:hint="eastAsia"/>
                <w:color w:val="auto"/>
                <w:spacing w:val="-3"/>
                <w:kern w:val="0"/>
                <w:sz w:val="22"/>
                <w:szCs w:val="21"/>
                <w:highlight w:val="none"/>
              </w:rPr>
              <w:t>。</w:t>
            </w:r>
          </w:p>
          <w:p>
            <w:pPr>
              <w:widowControl/>
              <w:shd w:val="clear" w:color="auto" w:fill="FFFFFF"/>
              <w:ind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一、</w:t>
            </w:r>
            <w:r>
              <w:rPr>
                <w:rFonts w:hint="eastAsia" w:ascii="宋体" w:hAnsi="宋体" w:cs="宋体"/>
                <w:bCs/>
                <w:color w:val="auto"/>
                <w:kern w:val="0"/>
                <w:szCs w:val="21"/>
                <w:highlight w:val="none"/>
                <w:lang w:eastAsia="zh-CN" w:bidi="ar"/>
              </w:rPr>
              <w:t>供应商</w:t>
            </w:r>
            <w:r>
              <w:rPr>
                <w:rFonts w:hint="eastAsia" w:ascii="宋体" w:hAnsi="宋体" w:cs="宋体"/>
                <w:bCs/>
                <w:color w:val="auto"/>
                <w:kern w:val="0"/>
                <w:szCs w:val="21"/>
                <w:highlight w:val="none"/>
                <w:lang w:bidi="ar"/>
              </w:rPr>
              <w:t>根据自身企业的生产能力</w:t>
            </w:r>
            <w:r>
              <w:rPr>
                <w:rFonts w:hint="eastAsia" w:ascii="宋体" w:hAnsi="宋体" w:cs="宋体"/>
                <w:bCs/>
                <w:color w:val="auto"/>
                <w:kern w:val="0"/>
                <w:szCs w:val="21"/>
                <w:highlight w:val="none"/>
                <w:lang w:eastAsia="zh-CN" w:bidi="ar"/>
              </w:rPr>
              <w:t>或</w:t>
            </w:r>
            <w:r>
              <w:rPr>
                <w:rFonts w:hint="eastAsia" w:ascii="宋体" w:hAnsi="宋体" w:cs="宋体"/>
                <w:bCs/>
                <w:color w:val="auto"/>
                <w:kern w:val="0"/>
                <w:szCs w:val="21"/>
                <w:highlight w:val="none"/>
                <w:lang w:bidi="ar"/>
              </w:rPr>
              <w:t>供货能力进行投标。</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二、如在约定的供货期限内达不到</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要求的供货数量：</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有权终止合同，并依据合同规定追究法律责任。</w:t>
            </w:r>
          </w:p>
          <w:p>
            <w:pPr>
              <w:jc w:val="left"/>
              <w:textAlignment w:val="top"/>
              <w:rPr>
                <w:rFonts w:hint="eastAsia" w:ascii="宋体" w:hAnsi="宋体" w:cs="宋体"/>
                <w:bCs/>
                <w:color w:val="auto"/>
                <w:kern w:val="0"/>
                <w:szCs w:val="21"/>
                <w:highlight w:val="none"/>
                <w:lang w:eastAsia="zh-CN" w:bidi="ar"/>
              </w:rPr>
            </w:pPr>
            <w:r>
              <w:rPr>
                <w:rFonts w:hint="eastAsia" w:ascii="宋体" w:hAnsi="宋体" w:cs="宋体"/>
                <w:bCs/>
                <w:color w:val="auto"/>
                <w:kern w:val="0"/>
                <w:szCs w:val="21"/>
                <w:highlight w:val="none"/>
                <w:lang w:bidi="ar"/>
              </w:rPr>
              <w:t>2、</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有权将违约行为</w:t>
            </w:r>
            <w:r>
              <w:rPr>
                <w:rFonts w:hint="eastAsia" w:ascii="宋体" w:hAnsi="宋体" w:cs="宋体"/>
                <w:bCs/>
                <w:color w:val="auto"/>
                <w:kern w:val="0"/>
                <w:szCs w:val="21"/>
                <w:highlight w:val="none"/>
                <w:lang w:eastAsia="zh-CN" w:bidi="ar"/>
              </w:rPr>
              <w:t>有权按照约定进行处罚。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pPr>
              <w:jc w:val="left"/>
              <w:textAlignment w:val="top"/>
              <w:rPr>
                <w:rFonts w:hint="eastAsia" w:ascii="宋体" w:hAnsi="宋体" w:cs="宋体"/>
                <w:bCs/>
                <w:color w:val="auto"/>
                <w:kern w:val="0"/>
                <w:szCs w:val="21"/>
                <w:highlight w:val="none"/>
                <w:lang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pPr>
        <w:rPr>
          <w:rFonts w:hint="eastAsia"/>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color w:val="auto"/>
          <w:highlight w:val="none"/>
        </w:rPr>
      </w:pPr>
      <w:r>
        <w:rPr>
          <w:rFonts w:hint="eastAsia" w:ascii="黑体" w:eastAsia="黑体"/>
          <w:color w:val="auto"/>
          <w:sz w:val="24"/>
          <w:szCs w:val="24"/>
          <w:highlight w:val="none"/>
        </w:rPr>
        <w:t>附录1 资格审查条件（资质最低条件）</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pPr>
              <w:jc w:val="center"/>
              <w:rPr>
                <w:color w:val="auto"/>
                <w:sz w:val="22"/>
                <w:szCs w:val="22"/>
                <w:highlight w:val="none"/>
              </w:rPr>
            </w:pPr>
            <w:r>
              <w:rPr>
                <w:rFonts w:hint="eastAsia"/>
                <w:color w:val="auto"/>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pPr>
              <w:rPr>
                <w:rFonts w:hint="default" w:eastAsiaTheme="minorEastAsia"/>
                <w:color w:val="auto"/>
                <w:sz w:val="22"/>
                <w:szCs w:val="22"/>
                <w:highlight w:val="none"/>
                <w:lang w:val="en-US" w:eastAsia="zh-CN"/>
              </w:rPr>
            </w:pPr>
            <w:r>
              <w:rPr>
                <w:rFonts w:hint="eastAsia"/>
                <w:color w:val="auto"/>
                <w:sz w:val="22"/>
                <w:szCs w:val="21"/>
                <w:highlight w:val="none"/>
                <w:lang w:eastAsia="zh-CN"/>
              </w:rPr>
              <w:t>供应商</w:t>
            </w:r>
            <w:r>
              <w:rPr>
                <w:rFonts w:hint="eastAsia"/>
                <w:color w:val="auto"/>
                <w:sz w:val="22"/>
                <w:szCs w:val="21"/>
                <w:highlight w:val="none"/>
              </w:rPr>
              <w:t>为独立法人资格，持有</w:t>
            </w:r>
            <w:r>
              <w:rPr>
                <w:rFonts w:hint="eastAsia"/>
                <w:color w:val="auto"/>
                <w:sz w:val="22"/>
                <w:szCs w:val="21"/>
                <w:highlight w:val="none"/>
                <w:lang w:eastAsia="zh-CN"/>
              </w:rPr>
              <w:t>有</w:t>
            </w:r>
            <w:r>
              <w:rPr>
                <w:rFonts w:hint="eastAsia"/>
                <w:color w:val="auto"/>
                <w:sz w:val="22"/>
                <w:szCs w:val="21"/>
                <w:highlight w:val="none"/>
              </w:rPr>
              <w:t>效营业执照的供应商</w:t>
            </w:r>
            <w:r>
              <w:rPr>
                <w:rFonts w:hint="eastAsia" w:ascii="宋体" w:hAnsi="宋体" w:cs="宋体"/>
                <w:color w:val="auto"/>
                <w:sz w:val="22"/>
                <w:szCs w:val="22"/>
                <w:highlight w:val="none"/>
              </w:rPr>
              <w:t>。</w:t>
            </w:r>
            <w:r>
              <w:rPr>
                <w:rFonts w:hint="eastAsia"/>
                <w:color w:val="auto"/>
                <w:sz w:val="22"/>
                <w:szCs w:val="21"/>
                <w:highlight w:val="none"/>
                <w:lang w:val="en-US" w:eastAsia="zh-CN"/>
              </w:rPr>
              <w:t>代理商须提供所投品牌授权书。</w:t>
            </w:r>
          </w:p>
        </w:tc>
      </w:tr>
    </w:tbl>
    <w:p>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pPr>
        <w:pStyle w:val="2"/>
        <w:rPr>
          <w:rFonts w:hint="eastAsia"/>
          <w:highlight w:val="none"/>
        </w:rPr>
      </w:pPr>
    </w:p>
    <w:p>
      <w:pPr>
        <w:pStyle w:val="2"/>
        <w:rPr>
          <w:rFonts w:hint="eastAsia"/>
          <w:highlight w:val="none"/>
        </w:rPr>
      </w:pPr>
    </w:p>
    <w:p>
      <w:pPr>
        <w:jc w:val="center"/>
        <w:outlineLvl w:val="1"/>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w:t>
      </w:r>
      <w:r>
        <w:rPr>
          <w:rFonts w:hint="eastAsia"/>
          <w:color w:val="auto"/>
          <w:sz w:val="24"/>
          <w:szCs w:val="24"/>
          <w:highlight w:val="none"/>
        </w:rPr>
        <w:t>（业绩最低要求）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pPr>
              <w:jc w:val="center"/>
              <w:rPr>
                <w:color w:val="auto"/>
                <w:sz w:val="22"/>
                <w:szCs w:val="22"/>
                <w:highlight w:val="none"/>
              </w:rPr>
            </w:pPr>
            <w:r>
              <w:rPr>
                <w:rFonts w:hint="eastAsia"/>
                <w:color w:val="auto"/>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vAlign w:val="center"/>
          </w:tcPr>
          <w:p>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供应商须同时具备：</w:t>
            </w:r>
          </w:p>
          <w:p>
            <w:pPr>
              <w:snapToGrid w:val="0"/>
              <w:jc w:val="left"/>
              <w:rPr>
                <w:rFonts w:hAnsi="宋体"/>
                <w:color w:val="auto"/>
                <w:sz w:val="22"/>
                <w:szCs w:val="22"/>
                <w:highlight w:val="none"/>
              </w:rPr>
            </w:pPr>
            <w:r>
              <w:rPr>
                <w:rFonts w:hint="eastAsia" w:ascii="宋体" w:hAnsi="宋体" w:eastAsia="宋体" w:cs="宋体"/>
                <w:color w:val="auto"/>
                <w:sz w:val="21"/>
                <w:szCs w:val="21"/>
                <w:highlight w:val="none"/>
                <w:lang w:val="en-US" w:eastAsia="zh-CN"/>
              </w:rPr>
              <w:t>供应商近三年（2021年1月1日至投标截止日，以合同协议书签订时间为准）至少有1个合同金额在200万元（含）的防水材料供货业绩；</w:t>
            </w:r>
          </w:p>
        </w:tc>
      </w:tr>
    </w:tbl>
    <w:p>
      <w:pPr>
        <w:pStyle w:val="2"/>
        <w:ind w:firstLine="210" w:firstLineChars="100"/>
        <w:rPr>
          <w:rFonts w:hint="eastAsia"/>
          <w:color w:val="auto"/>
          <w:sz w:val="21"/>
          <w:szCs w:val="21"/>
          <w:highlight w:val="none"/>
        </w:rPr>
      </w:pPr>
      <w:r>
        <w:rPr>
          <w:rFonts w:hint="eastAsia"/>
          <w:color w:val="auto"/>
          <w:sz w:val="21"/>
          <w:szCs w:val="21"/>
          <w:highlight w:val="none"/>
        </w:rPr>
        <w:t>业绩证明材料要求如下，否则业绩不予认可。</w:t>
      </w:r>
    </w:p>
    <w:p>
      <w:pPr>
        <w:pStyle w:val="2"/>
        <w:ind w:firstLine="210" w:firstLineChars="100"/>
        <w:rPr>
          <w:rFonts w:hint="eastAsia"/>
          <w:color w:val="auto"/>
          <w:sz w:val="21"/>
          <w:szCs w:val="21"/>
          <w:highlight w:val="none"/>
        </w:rPr>
      </w:pPr>
      <w:r>
        <w:rPr>
          <w:rFonts w:hint="eastAsia"/>
          <w:color w:val="auto"/>
          <w:sz w:val="21"/>
          <w:szCs w:val="21"/>
          <w:highlight w:val="none"/>
        </w:rPr>
        <w:t>①合同协议书扫描件；</w:t>
      </w:r>
    </w:p>
    <w:p>
      <w:pPr>
        <w:pStyle w:val="2"/>
        <w:ind w:firstLine="210" w:firstLineChars="100"/>
        <w:rPr>
          <w:rFonts w:hint="eastAsia"/>
          <w:color w:val="auto"/>
          <w:sz w:val="21"/>
          <w:szCs w:val="21"/>
          <w:highlight w:val="none"/>
        </w:rPr>
      </w:pPr>
      <w:r>
        <w:rPr>
          <w:rFonts w:hint="eastAsia"/>
          <w:color w:val="auto"/>
          <w:sz w:val="21"/>
          <w:szCs w:val="21"/>
          <w:highlight w:val="none"/>
        </w:rPr>
        <w:t>②若合同协议书中不能明确反映出招标文件所要求内容的（如</w:t>
      </w:r>
      <w:r>
        <w:rPr>
          <w:rFonts w:hint="default"/>
          <w:color w:val="auto"/>
          <w:sz w:val="21"/>
          <w:szCs w:val="21"/>
          <w:highlight w:val="none"/>
          <w:lang w:eastAsia="zh-CN"/>
        </w:rPr>
        <w:t>合同金额</w:t>
      </w:r>
      <w:r>
        <w:rPr>
          <w:rFonts w:hint="eastAsia"/>
          <w:color w:val="auto"/>
          <w:sz w:val="21"/>
          <w:szCs w:val="21"/>
          <w:highlight w:val="none"/>
        </w:rPr>
        <w:t>、</w:t>
      </w:r>
      <w:r>
        <w:rPr>
          <w:rFonts w:hint="eastAsia"/>
          <w:color w:val="auto"/>
          <w:sz w:val="21"/>
          <w:szCs w:val="21"/>
          <w:highlight w:val="none"/>
          <w:lang w:eastAsia="zh-CN"/>
        </w:rPr>
        <w:t>合同签订时间、供货</w:t>
      </w:r>
      <w:r>
        <w:rPr>
          <w:rFonts w:hint="eastAsia"/>
          <w:color w:val="auto"/>
          <w:sz w:val="21"/>
          <w:szCs w:val="21"/>
          <w:highlight w:val="none"/>
        </w:rPr>
        <w:t>内容等），则须提供业主单位（甲方）出具加盖公章的证明材料扫描件</w:t>
      </w:r>
      <w:r>
        <w:rPr>
          <w:rFonts w:hint="eastAsia"/>
          <w:color w:val="auto"/>
          <w:sz w:val="21"/>
          <w:szCs w:val="21"/>
          <w:highlight w:val="none"/>
          <w:lang w:eastAsia="zh-CN"/>
        </w:rPr>
        <w:t>。</w:t>
      </w:r>
    </w:p>
    <w:p>
      <w:pPr>
        <w:adjustRightInd w:val="0"/>
        <w:snapToGrid w:val="0"/>
        <w:spacing w:line="300" w:lineRule="auto"/>
        <w:ind w:firstLine="210" w:firstLineChars="100"/>
        <w:jc w:val="left"/>
        <w:rPr>
          <w:rFonts w:hint="eastAsia" w:ascii="黑体" w:eastAsia="黑体"/>
          <w:bCs/>
          <w:color w:val="auto"/>
          <w:sz w:val="24"/>
          <w:szCs w:val="24"/>
          <w:highlight w:val="none"/>
        </w:rPr>
      </w:pPr>
      <w:r>
        <w:rPr>
          <w:rFonts w:hint="eastAsia"/>
          <w:color w:val="auto"/>
          <w:sz w:val="21"/>
          <w:szCs w:val="21"/>
          <w:highlight w:val="none"/>
          <w:lang w:eastAsia="zh-CN"/>
        </w:rPr>
        <w:t>③</w:t>
      </w:r>
      <w:r>
        <w:rPr>
          <w:rFonts w:hint="eastAsia"/>
          <w:color w:val="auto"/>
          <w:sz w:val="21"/>
          <w:szCs w:val="21"/>
          <w:highlight w:val="none"/>
        </w:rPr>
        <w:t>如近年来，</w:t>
      </w:r>
      <w:r>
        <w:rPr>
          <w:rFonts w:hint="eastAsia"/>
          <w:color w:val="auto"/>
          <w:sz w:val="21"/>
          <w:szCs w:val="21"/>
          <w:highlight w:val="none"/>
          <w:lang w:eastAsia="zh-CN"/>
        </w:rPr>
        <w:t>供应商</w:t>
      </w:r>
      <w:r>
        <w:rPr>
          <w:rFonts w:hint="eastAsia"/>
          <w:color w:val="auto"/>
          <w:sz w:val="21"/>
          <w:szCs w:val="21"/>
          <w:highlight w:val="none"/>
        </w:rPr>
        <w:t>法人机构发生合法变更或重组或法人名称变更时，应提供相关部门的合法批件扫描件或其他相关证明材料扫描件来证明其所附业绩的继承性。</w:t>
      </w:r>
    </w:p>
    <w:p>
      <w:pPr>
        <w:adjustRightInd w:val="0"/>
        <w:snapToGrid w:val="0"/>
        <w:spacing w:line="300" w:lineRule="auto"/>
        <w:jc w:val="left"/>
        <w:rPr>
          <w:rFonts w:ascii="黑体" w:eastAsia="黑体"/>
          <w:bCs/>
          <w:color w:val="auto"/>
          <w:sz w:val="24"/>
          <w:szCs w:val="24"/>
          <w:highlight w:val="none"/>
        </w:rPr>
      </w:pPr>
    </w:p>
    <w:p>
      <w:pPr>
        <w:pStyle w:val="2"/>
        <w:rPr>
          <w:rFonts w:ascii="黑体" w:eastAsia="黑体"/>
          <w:bCs/>
          <w:color w:val="auto"/>
          <w:sz w:val="24"/>
          <w:szCs w:val="24"/>
          <w:highlight w:val="none"/>
        </w:rPr>
      </w:pPr>
    </w:p>
    <w:p>
      <w:pPr>
        <w:rPr>
          <w:highlight w:val="none"/>
        </w:rPr>
      </w:pPr>
    </w:p>
    <w:p>
      <w:pPr>
        <w:adjustRightInd w:val="0"/>
        <w:snapToGrid w:val="0"/>
        <w:spacing w:line="300" w:lineRule="auto"/>
        <w:jc w:val="center"/>
        <w:outlineLvl w:val="1"/>
        <w:rPr>
          <w:rFonts w:ascii="黑体" w:eastAsia="黑体"/>
          <w:bCs/>
          <w:color w:val="auto"/>
          <w:sz w:val="24"/>
          <w:szCs w:val="24"/>
          <w:highlight w:val="none"/>
        </w:rPr>
      </w:pPr>
      <w:r>
        <w:rPr>
          <w:rFonts w:ascii="黑体" w:eastAsia="黑体"/>
          <w:bCs/>
          <w:color w:val="auto"/>
          <w:sz w:val="24"/>
          <w:szCs w:val="24"/>
          <w:highlight w:val="none"/>
        </w:rPr>
        <w:t>附录3     资格审查条件(</w:t>
      </w:r>
      <w:r>
        <w:rPr>
          <w:rFonts w:hint="eastAsia" w:ascii="黑体" w:eastAsia="黑体"/>
          <w:bCs/>
          <w:color w:val="auto"/>
          <w:sz w:val="24"/>
          <w:szCs w:val="24"/>
          <w:highlight w:val="none"/>
        </w:rPr>
        <w:t>财务</w:t>
      </w:r>
      <w:r>
        <w:rPr>
          <w:rFonts w:ascii="黑体" w:eastAsia="黑体"/>
          <w:bCs/>
          <w:color w:val="auto"/>
          <w:sz w:val="24"/>
          <w:szCs w:val="24"/>
          <w:highlight w:val="none"/>
        </w:rPr>
        <w:t>最低要求)</w:t>
      </w:r>
    </w:p>
    <w:tbl>
      <w:tblPr>
        <w:tblStyle w:val="26"/>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189" w:type="dxa"/>
            <w:vAlign w:val="center"/>
          </w:tcPr>
          <w:p>
            <w:pPr>
              <w:adjustRightInd w:val="0"/>
              <w:snapToGrid w:val="0"/>
              <w:spacing w:line="300" w:lineRule="auto"/>
              <w:ind w:firstLine="482"/>
              <w:contextualSpacing/>
              <w:jc w:val="center"/>
              <w:rPr>
                <w:color w:val="auto"/>
                <w:sz w:val="24"/>
                <w:highlight w:val="none"/>
              </w:rPr>
            </w:pPr>
            <w:r>
              <w:rPr>
                <w:rFonts w:hint="eastAsia"/>
                <w:color w:val="auto"/>
                <w:sz w:val="24"/>
                <w:highlight w:val="none"/>
              </w:rPr>
              <w:t>财 务</w:t>
            </w:r>
            <w:r>
              <w:rPr>
                <w:color w:val="auto"/>
                <w:sz w:val="24"/>
                <w:highlight w:val="none"/>
              </w:rPr>
              <w:t xml:space="preserve">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vAlign w:val="center"/>
          </w:tcPr>
          <w:p>
            <w:pPr>
              <w:snapToGrid w:val="0"/>
              <w:jc w:val="left"/>
              <w:rPr>
                <w:rFonts w:hint="eastAsia" w:eastAsia="宋体"/>
                <w:color w:val="auto"/>
                <w:sz w:val="24"/>
                <w:szCs w:val="21"/>
                <w:highlight w:val="none"/>
                <w:lang w:eastAsia="zh-CN"/>
              </w:rPr>
            </w:pPr>
            <w:r>
              <w:rPr>
                <w:rFonts w:hint="eastAsia"/>
                <w:color w:val="auto"/>
                <w:sz w:val="24"/>
                <w:szCs w:val="21"/>
                <w:highlight w:val="none"/>
                <w:lang w:eastAsia="zh-CN"/>
              </w:rPr>
              <w:t>无</w:t>
            </w:r>
          </w:p>
        </w:tc>
      </w:tr>
    </w:tbl>
    <w:p>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pPr>
        <w:jc w:val="center"/>
        <w:outlineLvl w:val="1"/>
        <w:rPr>
          <w:color w:val="auto"/>
          <w:sz w:val="24"/>
          <w:szCs w:val="24"/>
          <w:highlight w:val="none"/>
        </w:rPr>
      </w:pPr>
      <w:r>
        <w:rPr>
          <w:rFonts w:hint="eastAsia" w:ascii="黑体" w:eastAsia="黑体"/>
          <w:color w:val="auto"/>
          <w:sz w:val="24"/>
          <w:szCs w:val="24"/>
          <w:highlight w:val="none"/>
        </w:rPr>
        <w:br w:type="page"/>
      </w:r>
      <w:r>
        <w:rPr>
          <w:rFonts w:hint="eastAsia" w:ascii="黑体" w:eastAsia="黑体"/>
          <w:color w:val="auto"/>
          <w:sz w:val="24"/>
          <w:szCs w:val="24"/>
          <w:highlight w:val="none"/>
        </w:rPr>
        <w:t>附录</w:t>
      </w:r>
      <w:r>
        <w:rPr>
          <w:rFonts w:hint="eastAsia" w:eastAsia="黑体"/>
          <w:color w:val="auto"/>
          <w:sz w:val="24"/>
          <w:szCs w:val="24"/>
          <w:highlight w:val="none"/>
        </w:rPr>
        <w:t>4</w:t>
      </w:r>
      <w:r>
        <w:rPr>
          <w:rFonts w:hint="eastAsia" w:ascii="黑体" w:eastAsia="黑体"/>
          <w:color w:val="auto"/>
          <w:sz w:val="24"/>
          <w:szCs w:val="24"/>
          <w:highlight w:val="none"/>
        </w:rPr>
        <w:t>资格审查条件</w:t>
      </w:r>
      <w:r>
        <w:rPr>
          <w:rFonts w:hint="eastAsia"/>
          <w:color w:val="auto"/>
          <w:sz w:val="24"/>
          <w:szCs w:val="24"/>
          <w:highlight w:val="none"/>
        </w:rPr>
        <w:t>（信誉最低要求）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9072" w:type="dxa"/>
            <w:vAlign w:val="center"/>
          </w:tcPr>
          <w:p>
            <w:pPr>
              <w:jc w:val="center"/>
              <w:rPr>
                <w:color w:val="auto"/>
                <w:sz w:val="22"/>
                <w:szCs w:val="22"/>
                <w:highlight w:val="none"/>
              </w:rPr>
            </w:pPr>
            <w:r>
              <w:rPr>
                <w:rFonts w:hint="eastAsia"/>
                <w:color w:val="auto"/>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vAlign w:val="center"/>
          </w:tcPr>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1.</w:t>
            </w:r>
            <w:r>
              <w:rPr>
                <w:rFonts w:hint="default" w:ascii="Times New Roman" w:hAnsi="Times New Roman" w:cs="Times New Roman"/>
                <w:color w:val="auto"/>
                <w:sz w:val="21"/>
                <w:szCs w:val="22"/>
                <w:highlight w:val="none"/>
                <w:u w:val="none"/>
                <w:lang w:val="en-US" w:eastAsia="zh-CN"/>
              </w:rPr>
              <w:t>未被责令停业，暂扣或吊销执照，或吊销资质证书；</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在国家企业信用信息公示系统（http://www.gsxt.gov.cn）中未被列入严重违法失信企业名单；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4.</w:t>
            </w:r>
            <w:r>
              <w:rPr>
                <w:rFonts w:hint="default" w:ascii="Times New Roman" w:hAnsi="Times New Roman" w:cs="Times New Roman"/>
                <w:color w:val="auto"/>
                <w:sz w:val="21"/>
                <w:szCs w:val="22"/>
                <w:highlight w:val="none"/>
                <w:u w:val="none"/>
                <w:lang w:val="en-US" w:eastAsia="zh-CN"/>
              </w:rPr>
              <w:t>在“信用中国”网站（http://www.creditchina.gov.cn）中未被列入失信被执行人名单；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5.</w:t>
            </w:r>
            <w:r>
              <w:rPr>
                <w:rFonts w:hint="default" w:ascii="Times New Roman" w:hAnsi="Times New Roman" w:cs="Times New Roman"/>
                <w:color w:val="auto"/>
                <w:sz w:val="21"/>
                <w:szCs w:val="22"/>
                <w:highlight w:val="none"/>
                <w:u w:val="none"/>
                <w:lang w:val="en-US" w:eastAsia="zh-CN"/>
              </w:rPr>
              <w:t>在近三年内（自响应文件递交截止之日向前追溯3年）供应商或其法定代表人、项目负责人（如有）未有行贿犯罪行为。</w:t>
            </w:r>
          </w:p>
          <w:p>
            <w:pPr>
              <w:snapToGrid w:val="0"/>
              <w:spacing w:line="440" w:lineRule="exact"/>
              <w:ind w:firstLine="420" w:firstLineChars="200"/>
              <w:rPr>
                <w:color w:val="auto"/>
                <w:szCs w:val="21"/>
                <w:highlight w:val="none"/>
              </w:rPr>
            </w:pPr>
            <w:r>
              <w:rPr>
                <w:rFonts w:hint="eastAsia" w:ascii="Times New Roman" w:hAnsi="Times New Roman" w:cs="Times New Roman"/>
                <w:highlight w:val="none"/>
                <w:lang w:val="en-US" w:eastAsia="zh-CN"/>
              </w:rPr>
              <w:t>6.</w:t>
            </w:r>
            <w:r>
              <w:rPr>
                <w:rFonts w:hint="default" w:ascii="Times New Roman" w:hAnsi="Times New Roman" w:cs="Times New Roman" w:eastAsiaTheme="minorEastAsia"/>
                <w:highlight w:val="none"/>
                <w:lang w:val="en-US" w:eastAsia="zh-CN"/>
              </w:rPr>
              <w:t>其他要求：</w:t>
            </w:r>
            <w:r>
              <w:rPr>
                <w:rFonts w:hint="eastAsia"/>
                <w:szCs w:val="21"/>
                <w:highlight w:val="none"/>
              </w:rPr>
              <w:t>没有法律法规规定的其他情形。</w:t>
            </w:r>
          </w:p>
        </w:tc>
      </w:tr>
      <w:bookmarkEnd w:id="44"/>
      <w:bookmarkEnd w:id="45"/>
      <w:bookmarkEnd w:id="46"/>
    </w:tbl>
    <w:p>
      <w:pPr>
        <w:keepNext/>
        <w:keepLines/>
        <w:spacing w:before="120" w:beforeLines="50" w:after="120" w:afterLines="50" w:line="360" w:lineRule="auto"/>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1. 总则</w:t>
      </w:r>
    </w:p>
    <w:p>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val="en-US" w:eastAsia="zh-CN"/>
        </w:rPr>
      </w:pPr>
      <w:bookmarkStart w:id="47" w:name="_Toc26656939"/>
      <w:bookmarkStart w:id="48" w:name="_Toc14201208"/>
      <w:r>
        <w:rPr>
          <w:rFonts w:hint="default" w:ascii="Times New Roman" w:hAnsi="Times New Roman" w:eastAsia="黑体" w:cs="Times New Roman"/>
          <w:bCs/>
          <w:color w:val="auto"/>
          <w:sz w:val="24"/>
          <w:szCs w:val="32"/>
          <w:highlight w:val="none"/>
        </w:rPr>
        <w:t xml:space="preserve">1.1 </w:t>
      </w:r>
      <w:bookmarkEnd w:id="47"/>
      <w:bookmarkEnd w:id="48"/>
      <w:bookmarkStart w:id="49" w:name="_Toc26656941"/>
      <w:bookmarkStart w:id="50" w:name="_Toc14201210"/>
      <w:r>
        <w:rPr>
          <w:rFonts w:hint="default" w:ascii="Times New Roman" w:hAnsi="Times New Roman" w:eastAsia="黑体" w:cs="Times New Roman"/>
          <w:bCs/>
          <w:color w:val="auto"/>
          <w:sz w:val="24"/>
          <w:szCs w:val="32"/>
          <w:highlight w:val="none"/>
        </w:rPr>
        <w:t>质量要求</w:t>
      </w:r>
      <w:bookmarkEnd w:id="49"/>
      <w:bookmarkEnd w:id="50"/>
    </w:p>
    <w:p>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w:t>
      </w:r>
      <w:r>
        <w:rPr>
          <w:rFonts w:hint="default" w:ascii="Times New Roman" w:hAnsi="Times New Roman" w:cs="Times New Roman"/>
          <w:color w:val="auto"/>
          <w:szCs w:val="21"/>
          <w:highlight w:val="none"/>
          <w:lang w:eastAsia="zh-CN"/>
        </w:rPr>
        <w:t>合同包</w:t>
      </w:r>
      <w:r>
        <w:rPr>
          <w:rFonts w:hint="default" w:ascii="Times New Roman" w:hAnsi="Times New Roman" w:cs="Times New Roman"/>
          <w:color w:val="auto"/>
          <w:szCs w:val="21"/>
          <w:highlight w:val="none"/>
        </w:rPr>
        <w:t>的质量要求：</w:t>
      </w:r>
      <w:r>
        <w:rPr>
          <w:rFonts w:hint="eastAsia" w:ascii="Times New Roman" w:hAnsi="Times New Roman" w:cs="Times New Roman"/>
          <w:color w:val="auto"/>
          <w:szCs w:val="21"/>
          <w:highlight w:val="none"/>
          <w:u w:val="single"/>
          <w:lang w:val="en-US" w:eastAsia="zh-CN"/>
        </w:rPr>
        <w:t xml:space="preserve">  合格  </w:t>
      </w:r>
      <w:r>
        <w:rPr>
          <w:rFonts w:hint="eastAsia" w:ascii="Times New Roman" w:hAnsi="Times New Roman" w:cs="Times New Roman"/>
          <w:color w:val="auto"/>
          <w:szCs w:val="21"/>
          <w:highlight w:val="none"/>
          <w:lang w:val="en-US" w:eastAsia="zh-CN"/>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1" w:name="_Toc26656942"/>
      <w:bookmarkStart w:id="52" w:name="_Toc14201211"/>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供应商</w:t>
      </w:r>
      <w:r>
        <w:rPr>
          <w:rFonts w:hint="default" w:ascii="Times New Roman" w:hAnsi="Times New Roman" w:eastAsia="黑体" w:cs="Times New Roman"/>
          <w:bCs/>
          <w:color w:val="auto"/>
          <w:sz w:val="24"/>
          <w:szCs w:val="32"/>
          <w:highlight w:val="none"/>
        </w:rPr>
        <w:t>资格要求</w:t>
      </w:r>
      <w:bookmarkEnd w:id="51"/>
      <w:bookmarkEnd w:id="52"/>
    </w:p>
    <w:p>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应具备承担本</w:t>
      </w:r>
      <w:r>
        <w:rPr>
          <w:rFonts w:hint="default" w:ascii="Times New Roman" w:hAnsi="Times New Roman" w:cs="Times New Roman"/>
          <w:color w:val="auto"/>
          <w:szCs w:val="21"/>
          <w:highlight w:val="none"/>
          <w:lang w:eastAsia="zh-CN"/>
        </w:rPr>
        <w:t>合同包</w:t>
      </w:r>
      <w:r>
        <w:rPr>
          <w:rFonts w:hint="eastAsia" w:ascii="Times New Roman" w:hAnsi="Times New Roman" w:cs="Times New Roman"/>
          <w:color w:val="auto"/>
          <w:szCs w:val="21"/>
          <w:highlight w:val="none"/>
          <w:lang w:val="en-US" w:eastAsia="zh-CN"/>
        </w:rPr>
        <w:t>供货</w:t>
      </w:r>
      <w:r>
        <w:rPr>
          <w:rFonts w:hint="default" w:ascii="Times New Roman" w:hAnsi="Times New Roman" w:cs="Times New Roman"/>
          <w:color w:val="auto"/>
          <w:szCs w:val="21"/>
          <w:highlight w:val="none"/>
        </w:rPr>
        <w:t>的资质条件、能力和信誉</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见第一章</w:t>
      </w:r>
      <w:r>
        <w:rPr>
          <w:rFonts w:hint="eastAsia" w:ascii="Times New Roman" w:hAnsi="Times New Roman" w:cs="Times New Roman"/>
          <w:color w:val="auto"/>
          <w:szCs w:val="21"/>
          <w:highlight w:val="none"/>
          <w:lang w:val="en-US" w:eastAsia="zh-CN"/>
        </w:rPr>
        <w:t>采购邀请书第3.1款要求</w:t>
      </w:r>
      <w:r>
        <w:rPr>
          <w:rFonts w:hint="default" w:ascii="Times New Roman" w:hAnsi="Times New Roman" w:cs="Times New Roman"/>
          <w:color w:val="auto"/>
          <w:szCs w:val="21"/>
          <w:highlight w:val="none"/>
          <w:lang w:val="en-US" w:eastAsia="zh-CN"/>
        </w:rPr>
        <w:t>。</w:t>
      </w:r>
    </w:p>
    <w:p>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lang w:val="en-US" w:eastAsia="zh-CN"/>
        </w:rPr>
        <w:t>要求：__/___</w:t>
      </w:r>
      <w:r>
        <w:rPr>
          <w:rFonts w:hint="default" w:ascii="Times New Roman" w:hAnsi="Times New Roman" w:cs="Times New Roman"/>
          <w:color w:val="auto"/>
          <w:szCs w:val="21"/>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3" w:name="_Toc14201212"/>
      <w:bookmarkStart w:id="54" w:name="_Toc26656943"/>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费用承担</w:t>
      </w:r>
      <w:bookmarkEnd w:id="53"/>
      <w:bookmarkEnd w:id="54"/>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highlight w:val="none"/>
        </w:rPr>
        <w:t>准备和参加</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活动发生的费用自理。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5" w:name="_Toc14201213"/>
      <w:bookmarkStart w:id="56" w:name="_Toc26656944"/>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保密</w:t>
      </w:r>
      <w:bookmarkEnd w:id="55"/>
      <w:bookmarkEnd w:id="56"/>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参与</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活动的各方应对</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文件和</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中的商业和技术等秘密保密，否则应承担相应的法律责任。</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7" w:name="_Toc26656946"/>
      <w:bookmarkStart w:id="58" w:name="_Toc14201215"/>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计量单位</w:t>
      </w:r>
      <w:bookmarkEnd w:id="57"/>
      <w:bookmarkEnd w:id="5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所有计量均采用中华人民共和国法定计量单位。</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9" w:name="_Toc14201216"/>
      <w:bookmarkStart w:id="60" w:name="_Toc26656947"/>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rPr>
        <w:t xml:space="preserve"> 踏勘现场</w:t>
      </w:r>
      <w:bookmarkEnd w:id="59"/>
      <w:bookmarkEnd w:id="60"/>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踏勘现场</w:t>
      </w:r>
      <w:r>
        <w:rPr>
          <w:rFonts w:hint="eastAsia" w:ascii="Times New Roman" w:hAnsi="Times New Roman" w:cs="Times New Roman"/>
          <w:color w:val="auto"/>
          <w:highlight w:val="none"/>
          <w:lang w:val="en-US" w:eastAsia="zh-CN"/>
        </w:rPr>
        <w:t>且</w:t>
      </w:r>
      <w:r>
        <w:rPr>
          <w:rFonts w:hint="default" w:ascii="Times New Roman" w:hAnsi="Times New Roman" w:cs="Times New Roman"/>
          <w:color w:val="auto"/>
          <w:highlight w:val="none"/>
        </w:rPr>
        <w:t>费用自理。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1" w:name="_Toc26656949"/>
      <w:bookmarkStart w:id="62" w:name="_Toc14201218"/>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7</w:t>
      </w:r>
      <w:r>
        <w:rPr>
          <w:rFonts w:hint="default" w:ascii="Times New Roman" w:hAnsi="Times New Roman" w:eastAsia="黑体" w:cs="Times New Roman"/>
          <w:bCs/>
          <w:color w:val="auto"/>
          <w:sz w:val="24"/>
          <w:szCs w:val="32"/>
          <w:highlight w:val="none"/>
        </w:rPr>
        <w:t xml:space="preserve"> 分包</w:t>
      </w:r>
      <w:bookmarkEnd w:id="61"/>
      <w:bookmarkEnd w:id="62"/>
    </w:p>
    <w:p>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不允许分包。</w:t>
      </w:r>
    </w:p>
    <w:p>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eastAsia="zh-CN"/>
        </w:rPr>
      </w:pPr>
      <w:bookmarkStart w:id="63" w:name="_Toc26656950"/>
      <w:bookmarkStart w:id="64" w:name="_Toc14201219"/>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xml:space="preserve"> 偏</w:t>
      </w:r>
      <w:bookmarkEnd w:id="63"/>
      <w:bookmarkEnd w:id="64"/>
      <w:r>
        <w:rPr>
          <w:rFonts w:hint="eastAsia" w:ascii="Times New Roman" w:hAnsi="Times New Roman" w:eastAsia="黑体" w:cs="Times New Roman"/>
          <w:bCs/>
          <w:color w:val="auto"/>
          <w:sz w:val="24"/>
          <w:szCs w:val="32"/>
          <w:highlight w:val="none"/>
          <w:lang w:val="en-US" w:eastAsia="zh-CN"/>
        </w:rPr>
        <w:t>差</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偏差包括重大偏差和细微偏差。</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存在“</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”中所列任一否决</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情形的，均属于存在重大偏差</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响应文件将被否决</w:t>
      </w:r>
      <w:r>
        <w:rPr>
          <w:rFonts w:hint="default" w:ascii="Times New Roman" w:hAnsi="Times New Roman" w:cs="Times New Roman"/>
          <w:color w:val="auto"/>
          <w:highlight w:val="none"/>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65" w:name="_Toc9067721"/>
      <w:bookmarkStart w:id="66" w:name="_Toc26656951"/>
      <w:bookmarkStart w:id="67" w:name="_Toc14201220"/>
      <w:r>
        <w:rPr>
          <w:rFonts w:hint="default" w:ascii="Times New Roman" w:hAnsi="Times New Roman" w:eastAsia="黑体" w:cs="Times New Roman"/>
          <w:bCs/>
          <w:color w:val="auto"/>
          <w:sz w:val="24"/>
          <w:szCs w:val="32"/>
          <w:highlight w:val="none"/>
        </w:rPr>
        <w:t xml:space="preserve">2. </w:t>
      </w:r>
      <w:bookmarkEnd w:id="65"/>
      <w:bookmarkEnd w:id="66"/>
      <w:bookmarkEnd w:id="67"/>
      <w:r>
        <w:rPr>
          <w:rFonts w:hint="default" w:ascii="Times New Roman" w:hAnsi="Times New Roman" w:eastAsia="黑体" w:cs="Times New Roman"/>
          <w:bCs/>
          <w:color w:val="auto"/>
          <w:sz w:val="24"/>
          <w:szCs w:val="32"/>
          <w:highlight w:val="none"/>
          <w:lang w:eastAsia="zh-CN"/>
        </w:rPr>
        <w:t>询比文件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8" w:name="_Toc14201221"/>
      <w:bookmarkStart w:id="69" w:name="_Toc26656952"/>
      <w:r>
        <w:rPr>
          <w:rFonts w:hint="default" w:ascii="Times New Roman" w:hAnsi="Times New Roman" w:eastAsia="黑体" w:cs="Times New Roman"/>
          <w:bCs/>
          <w:color w:val="auto"/>
          <w:sz w:val="24"/>
          <w:szCs w:val="32"/>
          <w:highlight w:val="none"/>
        </w:rPr>
        <w:t xml:space="preserve">2.1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的组成</w:t>
      </w:r>
      <w:bookmarkEnd w:id="68"/>
      <w:bookmarkEnd w:id="69"/>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包括：</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采购邀请书</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须知；</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（4）合同条款及格式；</w:t>
      </w:r>
    </w:p>
    <w:p>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（5）采购需求及清单</w:t>
      </w:r>
      <w:r>
        <w:rPr>
          <w:rFonts w:hint="default" w:ascii="Times New Roman" w:hAnsi="Times New Roman" w:cs="Times New Roman"/>
          <w:color w:val="auto"/>
          <w:highlight w:val="none"/>
          <w:lang w:eastAsia="zh-CN"/>
        </w:rPr>
        <w:t>；</w:t>
      </w:r>
    </w:p>
    <w:p>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根据本章第2.2款对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所作的澄清、修改，构成</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的组成部分。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当</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的澄清或修改等在同一内容的表述上不一致时，以最后发出的书面文件为准。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val="en-US" w:eastAsia="zh-CN"/>
        </w:rPr>
      </w:pPr>
      <w:bookmarkStart w:id="70" w:name="_Toc26656953"/>
      <w:bookmarkStart w:id="71" w:name="_Toc14201222"/>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的澄清</w:t>
      </w:r>
      <w:bookmarkEnd w:id="70"/>
      <w:bookmarkEnd w:id="71"/>
      <w:r>
        <w:rPr>
          <w:rFonts w:hint="eastAsia" w:ascii="Times New Roman" w:hAnsi="Times New Roman" w:eastAsia="黑体" w:cs="Times New Roman"/>
          <w:bCs/>
          <w:color w:val="auto"/>
          <w:sz w:val="24"/>
          <w:szCs w:val="32"/>
          <w:highlight w:val="none"/>
          <w:lang w:val="en-US" w:eastAsia="zh-CN"/>
        </w:rPr>
        <w:t>与修改</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如有疑问，应在</w:t>
      </w:r>
      <w:r>
        <w:rPr>
          <w:rFonts w:hint="default" w:ascii="Times New Roman" w:hAnsi="Times New Roman" w:cs="Times New Roman"/>
          <w:color w:val="auto"/>
          <w:highlight w:val="none"/>
          <w:lang w:val="en-US" w:eastAsia="zh-CN"/>
        </w:rPr>
        <w:t>递交</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lang w:val="en-US" w:eastAsia="zh-CN"/>
        </w:rPr>
        <w:t>文件的</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前3日</w:t>
      </w:r>
      <w:r>
        <w:rPr>
          <w:rFonts w:hint="default" w:ascii="Times New Roman" w:hAnsi="Times New Roman" w:cs="Times New Roman"/>
          <w:color w:val="auto"/>
          <w:highlight w:val="none"/>
        </w:rPr>
        <w:t>前</w:t>
      </w:r>
      <w:r>
        <w:rPr>
          <w:rFonts w:hint="eastAsia" w:ascii="Times New Roman" w:hAnsi="Times New Roman" w:cs="Times New Roman"/>
          <w:color w:val="auto"/>
          <w:highlight w:val="none"/>
          <w:lang w:val="en-US" w:eastAsia="zh-CN"/>
        </w:rPr>
        <w:t>通过电话</w:t>
      </w:r>
      <w:r>
        <w:rPr>
          <w:rFonts w:hint="default" w:ascii="Times New Roman" w:hAnsi="Times New Roman" w:cs="Times New Roman"/>
          <w:color w:val="auto"/>
          <w:highlight w:val="none"/>
        </w:rPr>
        <w:t>要求</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予以澄清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除非</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认为确有必要答复，否则，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有权拒绝回复</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在本章第2.2.1项规定的时间后提出的任何澄清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要求。</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72" w:name="_Toc14201225"/>
      <w:bookmarkStart w:id="73" w:name="_Toc9067722"/>
      <w:bookmarkStart w:id="74" w:name="_Toc26656956"/>
      <w:r>
        <w:rPr>
          <w:rFonts w:hint="default" w:ascii="Times New Roman" w:hAnsi="Times New Roman" w:eastAsia="黑体" w:cs="Times New Roman"/>
          <w:bCs/>
          <w:color w:val="auto"/>
          <w:sz w:val="24"/>
          <w:szCs w:val="32"/>
          <w:highlight w:val="none"/>
        </w:rPr>
        <w:t xml:space="preserve">3. </w:t>
      </w:r>
      <w:bookmarkEnd w:id="72"/>
      <w:bookmarkEnd w:id="73"/>
      <w:bookmarkEnd w:id="74"/>
      <w:r>
        <w:rPr>
          <w:rFonts w:hint="default" w:ascii="Times New Roman" w:hAnsi="Times New Roman" w:eastAsia="黑体" w:cs="Times New Roman"/>
          <w:bCs/>
          <w:color w:val="auto"/>
          <w:sz w:val="24"/>
          <w:szCs w:val="32"/>
          <w:highlight w:val="none"/>
          <w:lang w:eastAsia="zh-CN"/>
        </w:rPr>
        <w:t>响应文件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5" w:name="_Toc26656957"/>
      <w:bookmarkStart w:id="76" w:name="_Toc14201226"/>
      <w:r>
        <w:rPr>
          <w:rFonts w:hint="default" w:ascii="Times New Roman" w:hAnsi="Times New Roman" w:eastAsia="黑体" w:cs="Times New Roman"/>
          <w:bCs/>
          <w:color w:val="auto"/>
          <w:sz w:val="24"/>
          <w:szCs w:val="32"/>
          <w:highlight w:val="none"/>
        </w:rPr>
        <w:t>3.1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的组成</w:t>
      </w:r>
      <w:bookmarkEnd w:id="75"/>
      <w:bookmarkEnd w:id="76"/>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应包括下列内容：</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报价函</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法定代表人身份证明及授权委托书</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已标价的</w:t>
      </w:r>
      <w:r>
        <w:rPr>
          <w:rFonts w:hint="eastAsia" w:ascii="Times New Roman" w:hAnsi="Times New Roman" w:cs="Times New Roman"/>
          <w:color w:val="auto"/>
          <w:highlight w:val="none"/>
          <w:lang w:val="en-US" w:eastAsia="zh-CN"/>
        </w:rPr>
        <w:t>报价清单</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供应商基本情况</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近年类似业绩情况</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信誉情况</w:t>
      </w:r>
      <w:r>
        <w:rPr>
          <w:rFonts w:hint="eastAsia" w:ascii="Times New Roman" w:hAnsi="Times New Roman" w:cs="Times New Roman"/>
          <w:color w:val="auto"/>
          <w:highlight w:val="none"/>
          <w:lang w:eastAsia="zh-CN"/>
        </w:rPr>
        <w:t>；</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7</w:t>
      </w:r>
      <w:r>
        <w:rPr>
          <w:rFonts w:hint="eastAsia" w:ascii="Times New Roman" w:hAnsi="Times New Roman" w:cs="Times New Roman"/>
          <w:color w:val="auto"/>
          <w:highlight w:val="none"/>
          <w:lang w:eastAsia="zh-CN"/>
        </w:rPr>
        <w:t>）</w:t>
      </w:r>
      <w:r>
        <w:rPr>
          <w:rFonts w:hint="eastAsia" w:ascii="Times New Roman" w:hAnsi="Times New Roman" w:cs="Times New Roman"/>
          <w:color w:val="auto"/>
          <w:sz w:val="21"/>
          <w:szCs w:val="21"/>
          <w:highlight w:val="none"/>
          <w:lang w:val="en-US" w:eastAsia="zh-CN"/>
        </w:rPr>
        <w:t>技术性能（质量）指标描述</w:t>
      </w:r>
      <w:r>
        <w:rPr>
          <w:rFonts w:hint="eastAsia" w:ascii="Times New Roman" w:hAnsi="Times New Roman" w:cs="Times New Roman"/>
          <w:color w:val="auto"/>
          <w:highlight w:val="none"/>
          <w:lang w:val="en-US" w:eastAsia="zh-CN"/>
        </w:rPr>
        <w:t>（如有）；</w:t>
      </w:r>
    </w:p>
    <w:p>
      <w:pPr>
        <w:spacing w:line="440" w:lineRule="exact"/>
        <w:ind w:firstLine="420"/>
        <w:rPr>
          <w:rFonts w:hint="default"/>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供货方案（如有）；</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9</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其他材料</w:t>
      </w:r>
      <w:r>
        <w:rPr>
          <w:rFonts w:hint="eastAsia" w:ascii="Times New Roman" w:hAnsi="Times New Roman" w:cs="Times New Roman"/>
          <w:color w:val="auto"/>
          <w:highlight w:val="none"/>
          <w:lang w:eastAsia="zh-CN"/>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7" w:name="_Toc26656958"/>
      <w:bookmarkStart w:id="78" w:name="_Toc14201227"/>
      <w:r>
        <w:rPr>
          <w:rFonts w:hint="default" w:ascii="Times New Roman" w:hAnsi="Times New Roman" w:eastAsia="黑体" w:cs="Times New Roman"/>
          <w:bCs/>
          <w:color w:val="auto"/>
          <w:sz w:val="24"/>
          <w:szCs w:val="32"/>
          <w:highlight w:val="none"/>
        </w:rPr>
        <w:t>3.2 报价</w:t>
      </w:r>
      <w:bookmarkEnd w:id="77"/>
      <w:bookmarkEnd w:id="78"/>
      <w:r>
        <w:rPr>
          <w:rFonts w:hint="default" w:ascii="Times New Roman" w:hAnsi="Times New Roman" w:eastAsia="黑体" w:cs="Times New Roman"/>
          <w:bCs/>
          <w:color w:val="auto"/>
          <w:sz w:val="24"/>
          <w:szCs w:val="32"/>
          <w:highlight w:val="none"/>
          <w:lang w:val="en-US" w:eastAsia="zh-CN"/>
        </w:rPr>
        <w:t>要求</w:t>
      </w:r>
      <w:r>
        <w:rPr>
          <w:rFonts w:hint="default" w:ascii="Times New Roman" w:hAnsi="Times New Roman" w:eastAsia="黑体" w:cs="Times New Roman"/>
          <w:bCs/>
          <w:color w:val="auto"/>
          <w:sz w:val="24"/>
          <w:szCs w:val="32"/>
          <w:highlight w:val="none"/>
        </w:rPr>
        <w:t xml:space="preserve"> </w:t>
      </w:r>
    </w:p>
    <w:p>
      <w:pPr>
        <w:spacing w:line="440" w:lineRule="exact"/>
        <w:ind w:left="0" w:leftChars="0" w:firstLine="42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3.2.1 报价应包括国家规定的增值税税金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供应商应提供增值税专用发票（税率13%）</w:t>
      </w:r>
      <w:r>
        <w:rPr>
          <w:rFonts w:hint="default" w:ascii="Times New Roman" w:hAnsi="Times New Roman" w:cs="Times New Roman"/>
          <w:color w:val="auto"/>
          <w:highlight w:val="none"/>
        </w:rPr>
        <w:t>。</w:t>
      </w:r>
    </w:p>
    <w:p>
      <w:pPr>
        <w:spacing w:line="440" w:lineRule="exact"/>
        <w:ind w:left="0" w:leftChars="0" w:firstLine="42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3.2.2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应按第</w:t>
      </w: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章“</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格式”的要求在</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函中进行报价并填写</w:t>
      </w:r>
      <w:r>
        <w:rPr>
          <w:rFonts w:hint="eastAsia" w:ascii="Times New Roman" w:hAnsi="Times New Roman" w:cs="Times New Roman"/>
          <w:color w:val="auto"/>
          <w:highlight w:val="none"/>
          <w:lang w:eastAsia="zh-CN"/>
        </w:rPr>
        <w:t>报价清单</w:t>
      </w:r>
      <w:r>
        <w:rPr>
          <w:rFonts w:hint="default" w:ascii="Times New Roman" w:hAnsi="Times New Roman" w:cs="Times New Roman"/>
          <w:color w:val="auto"/>
          <w:highlight w:val="none"/>
        </w:rPr>
        <w:t>相应表格。</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设有最高限价的，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的报价不得超过最高限价，</w:t>
      </w:r>
      <w:r>
        <w:rPr>
          <w:rFonts w:hint="eastAsia" w:ascii="Times New Roman" w:hAnsi="Times New Roman" w:cs="Times New Roman"/>
          <w:color w:val="auto"/>
          <w:highlight w:val="none"/>
          <w:lang w:val="en-US" w:eastAsia="zh-CN"/>
        </w:rPr>
        <w:t>否则其报价将被否决</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最高限价</w:t>
      </w:r>
      <w:r>
        <w:rPr>
          <w:rFonts w:hint="eastAsia" w:ascii="Times New Roman" w:hAnsi="Times New Roman" w:cs="Times New Roman"/>
          <w:color w:val="auto"/>
          <w:highlight w:val="none"/>
          <w:lang w:val="en-US" w:eastAsia="zh-CN"/>
        </w:rPr>
        <w:t>见第一章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第2.5款</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3.2.4</w:t>
      </w:r>
      <w:r>
        <w:rPr>
          <w:rFonts w:hint="default" w:ascii="Times New Roman" w:hAnsi="Times New Roman" w:cs="Times New Roman"/>
          <w:color w:val="auto"/>
          <w:highlight w:val="none"/>
        </w:rPr>
        <w:t>本项目的报价方式</w:t>
      </w:r>
      <w:r>
        <w:rPr>
          <w:rFonts w:hint="eastAsia" w:ascii="Times New Roman" w:hAnsi="Times New Roman" w:cs="Times New Roman"/>
          <w:color w:val="auto"/>
          <w:highlight w:val="none"/>
          <w:lang w:val="en-US" w:eastAsia="zh-CN"/>
        </w:rPr>
        <w:t>为</w:t>
      </w:r>
      <w:r>
        <w:rPr>
          <w:rFonts w:hint="eastAsia" w:ascii="Times New Roman" w:hAnsi="Times New Roman" w:cs="Times New Roman"/>
          <w:color w:val="auto"/>
          <w:highlight w:val="none"/>
          <w:u w:val="single"/>
          <w:lang w:val="en-US" w:eastAsia="zh-CN"/>
        </w:rPr>
        <w:t>（单价/总价）</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szCs w:val="21"/>
          <w:highlight w:val="none"/>
          <w:u w:val="single"/>
          <w:lang w:val="en-US" w:eastAsia="zh-CN"/>
        </w:rPr>
        <w:t xml:space="preserve">全费用综合单价  </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79" w:name="_Toc26656959"/>
      <w:bookmarkStart w:id="80" w:name="_Toc14201228"/>
      <w:r>
        <w:rPr>
          <w:rFonts w:hint="default" w:ascii="Times New Roman" w:hAnsi="Times New Roman" w:eastAsia="黑体" w:cs="Times New Roman"/>
          <w:bCs/>
          <w:color w:val="auto"/>
          <w:sz w:val="24"/>
          <w:szCs w:val="32"/>
          <w:highlight w:val="none"/>
        </w:rPr>
        <w:t>3.3</w:t>
      </w:r>
      <w:bookmarkEnd w:id="79"/>
      <w:bookmarkEnd w:id="80"/>
      <w:r>
        <w:rPr>
          <w:rFonts w:hint="default" w:ascii="Times New Roman" w:hAnsi="Times New Roman" w:eastAsia="黑体" w:cs="Times New Roman"/>
          <w:bCs/>
          <w:color w:val="auto"/>
          <w:sz w:val="24"/>
          <w:szCs w:val="32"/>
          <w:highlight w:val="none"/>
          <w:lang w:eastAsia="zh-CN"/>
        </w:rPr>
        <w:t>响应有效期</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3.3.1 </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有效期为</w:t>
      </w:r>
      <w:r>
        <w:rPr>
          <w:rFonts w:hint="default" w:ascii="Times New Roman" w:hAnsi="Times New Roman" w:eastAsia="宋体" w:cs="Times New Roman"/>
          <w:color w:val="auto"/>
          <w:szCs w:val="21"/>
          <w:highlight w:val="none"/>
        </w:rPr>
        <w:t>自</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递交</w:t>
      </w:r>
      <w:r>
        <w:rPr>
          <w:rFonts w:hint="default" w:ascii="Times New Roman" w:hAnsi="Times New Roman" w:eastAsia="宋体" w:cs="Times New Roman"/>
          <w:color w:val="auto"/>
          <w:szCs w:val="21"/>
          <w:highlight w:val="none"/>
          <w:lang w:val="en-US" w:eastAsia="zh-CN"/>
        </w:rPr>
        <w:t>响应</w:t>
      </w:r>
      <w:r>
        <w:rPr>
          <w:rFonts w:hint="default" w:ascii="Times New Roman" w:hAnsi="Times New Roman" w:eastAsia="宋体" w:cs="Times New Roman"/>
          <w:color w:val="auto"/>
          <w:szCs w:val="21"/>
          <w:highlight w:val="none"/>
        </w:rPr>
        <w:t>文件截止之日起计算</w:t>
      </w:r>
      <w:r>
        <w:rPr>
          <w:rFonts w:hint="eastAsia" w:ascii="Times New Roman" w:hAnsi="Times New Roman" w:eastAsia="宋体" w:cs="Times New Roman"/>
          <w:color w:val="auto"/>
          <w:szCs w:val="21"/>
          <w:highlight w:val="none"/>
          <w:u w:val="none"/>
          <w:lang w:val="en-US" w:eastAsia="zh-CN"/>
        </w:rPr>
        <w:t>9</w:t>
      </w:r>
      <w:r>
        <w:rPr>
          <w:rFonts w:hint="default" w:ascii="Times New Roman" w:hAnsi="Times New Roman" w:eastAsia="宋体" w:cs="Times New Roman"/>
          <w:color w:val="auto"/>
          <w:szCs w:val="21"/>
          <w:highlight w:val="none"/>
          <w:u w:val="none"/>
          <w:lang w:val="en-US" w:eastAsia="zh-CN"/>
        </w:rPr>
        <w:t>0</w:t>
      </w:r>
      <w:r>
        <w:rPr>
          <w:rFonts w:hint="default" w:ascii="Times New Roman" w:hAnsi="Times New Roman" w:cs="Times New Roman"/>
          <w:color w:val="auto"/>
          <w:highlight w:val="none"/>
        </w:rPr>
        <w:t>日。</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3.3.2 在</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有效期内，</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撤销</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的，应承担</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和法律规定的责任。</w:t>
      </w:r>
    </w:p>
    <w:p>
      <w:pPr>
        <w:keepNext/>
        <w:keepLines/>
        <w:spacing w:before="120" w:after="120" w:line="415" w:lineRule="auto"/>
        <w:ind w:firstLine="0" w:firstLineChars="0"/>
        <w:outlineLvl w:val="2"/>
        <w:rPr>
          <w:rFonts w:hint="default" w:ascii="Times New Roman" w:hAnsi="Times New Roman" w:eastAsia="黑体" w:cs="Times New Roman"/>
          <w:bCs/>
          <w:color w:val="auto"/>
          <w:sz w:val="24"/>
          <w:szCs w:val="32"/>
          <w:highlight w:val="none"/>
          <w:lang w:eastAsia="zh-CN"/>
        </w:rPr>
      </w:pPr>
      <w:bookmarkStart w:id="81" w:name="_Toc26656960"/>
      <w:bookmarkStart w:id="82" w:name="_Toc14201229"/>
      <w:r>
        <w:rPr>
          <w:rFonts w:hint="default" w:ascii="Times New Roman" w:hAnsi="Times New Roman" w:eastAsia="黑体" w:cs="Times New Roman"/>
          <w:bCs/>
          <w:color w:val="auto"/>
          <w:sz w:val="24"/>
          <w:szCs w:val="32"/>
          <w:highlight w:val="none"/>
        </w:rPr>
        <w:t>3.4</w:t>
      </w:r>
      <w:bookmarkEnd w:id="81"/>
      <w:bookmarkEnd w:id="82"/>
      <w:r>
        <w:rPr>
          <w:rFonts w:hint="default" w:ascii="Times New Roman" w:hAnsi="Times New Roman" w:eastAsia="黑体" w:cs="Times New Roman"/>
          <w:bCs/>
          <w:color w:val="auto"/>
          <w:sz w:val="24"/>
          <w:szCs w:val="32"/>
          <w:highlight w:val="none"/>
          <w:lang w:eastAsia="zh-CN"/>
        </w:rPr>
        <w:t>响应保证金</w:t>
      </w:r>
    </w:p>
    <w:p>
      <w:pPr>
        <w:spacing w:line="440" w:lineRule="exact"/>
        <w:ind w:firstLine="420"/>
        <w:rPr>
          <w:rFonts w:hint="default" w:ascii="Times New Roman" w:hAnsi="Times New Roman"/>
          <w:color w:val="auto"/>
          <w:highlight w:val="none"/>
        </w:rPr>
      </w:pPr>
      <w:r>
        <w:rPr>
          <w:rFonts w:hint="default" w:ascii="Times New Roman" w:hAnsi="Times New Roman" w:cs="Times New Roman"/>
          <w:color w:val="auto"/>
          <w:highlight w:val="none"/>
        </w:rPr>
        <w:t xml:space="preserve">3.4.1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的同时，应按</w:t>
      </w:r>
      <w:r>
        <w:rPr>
          <w:rFonts w:hint="eastAsia" w:ascii="Times New Roman" w:hAnsi="Times New Roman" w:cs="Times New Roman"/>
          <w:color w:val="auto"/>
          <w:highlight w:val="none"/>
          <w:lang w:val="en-US" w:eastAsia="zh-CN"/>
        </w:rPr>
        <w:t>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第7条的要求</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，并作为其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无论采取何种形式的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有效期均应与</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一致。</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不按本章第3.4.1项要求提交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将否决其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3.4.3 </w:t>
      </w:r>
      <w:r>
        <w:rPr>
          <w:rFonts w:hint="default" w:ascii="Times New Roman" w:hAnsi="Times New Roman" w:cs="Times New Roman"/>
          <w:color w:val="auto"/>
          <w:highlight w:val="none"/>
          <w:lang w:val="en-US" w:eastAsia="zh-CN"/>
        </w:rPr>
        <w:t>采购人在</w:t>
      </w:r>
      <w:r>
        <w:rPr>
          <w:rFonts w:hint="default" w:ascii="Times New Roman" w:hAnsi="Times New Roman" w:cs="Times New Roman"/>
          <w:color w:val="auto"/>
          <w:highlight w:val="none"/>
        </w:rPr>
        <w:t>与</w:t>
      </w:r>
      <w:r>
        <w:rPr>
          <w:rFonts w:hint="default" w:ascii="Times New Roman" w:hAnsi="Times New Roman" w:cs="Times New Roman"/>
          <w:color w:val="auto"/>
          <w:highlight w:val="none"/>
          <w:lang w:val="en-US" w:eastAsia="zh-CN"/>
        </w:rPr>
        <w:t>成交人</w:t>
      </w:r>
      <w:r>
        <w:rPr>
          <w:rFonts w:hint="default" w:ascii="Times New Roman" w:hAnsi="Times New Roman" w:cs="Times New Roman"/>
          <w:color w:val="auto"/>
          <w:highlight w:val="none"/>
        </w:rPr>
        <w:t>签订合同后5日内</w:t>
      </w:r>
      <w:r>
        <w:rPr>
          <w:rFonts w:hint="default" w:ascii="Times New Roman" w:hAnsi="Times New Roman" w:cs="Times New Roman"/>
          <w:color w:val="auto"/>
          <w:highlight w:val="none"/>
          <w:lang w:val="en-US" w:eastAsia="zh-CN"/>
        </w:rPr>
        <w:t>办理</w:t>
      </w:r>
      <w:r>
        <w:rPr>
          <w:rFonts w:hint="default" w:ascii="Times New Roman" w:hAnsi="Times New Roman" w:cs="Times New Roman"/>
          <w:color w:val="auto"/>
          <w:highlight w:val="none"/>
        </w:rPr>
        <w:t>退还</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lang w:val="en-US" w:eastAsia="zh-CN"/>
        </w:rPr>
        <w:t>手续</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3.4.4 有下列情形之一的，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将不予退还：</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在规定的</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内撤销其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候选人无正当理由放弃</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资格的；或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人无正当理由不与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签订合同的；或</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提出附加条件或者更改合同实质性内容的；或者</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不提交</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所要求的履约保证金的；</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szCs w:val="21"/>
          <w:highlight w:val="none"/>
          <w:lang w:val="en-US" w:eastAsia="zh-CN"/>
        </w:rPr>
        <w:t>__/___（</w:t>
      </w:r>
      <w:r>
        <w:rPr>
          <w:rFonts w:hint="default" w:ascii="Times New Roman" w:hAnsi="Times New Roman" w:cs="Times New Roman"/>
          <w:color w:val="auto"/>
          <w:szCs w:val="21"/>
          <w:highlight w:val="none"/>
        </w:rPr>
        <w:t>其他情形</w:t>
      </w:r>
      <w:r>
        <w:rPr>
          <w:rFonts w:hint="eastAsia" w:ascii="Times New Roman" w:hAnsi="Times New Roman" w:cs="Times New Roman"/>
          <w:color w:val="auto"/>
          <w:szCs w:val="21"/>
          <w:highlight w:val="none"/>
          <w:lang w:val="en-US" w:eastAsia="zh-CN"/>
        </w:rPr>
        <w:t>）</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3" w:name="_Toc14201230"/>
      <w:bookmarkStart w:id="84" w:name="_Toc26656961"/>
      <w:r>
        <w:rPr>
          <w:rFonts w:hint="default" w:ascii="Times New Roman" w:hAnsi="Times New Roman" w:eastAsia="黑体" w:cs="Times New Roman"/>
          <w:bCs/>
          <w:color w:val="auto"/>
          <w:sz w:val="24"/>
          <w:szCs w:val="32"/>
          <w:highlight w:val="none"/>
        </w:rPr>
        <w:t>3.5资格审查资料</w:t>
      </w:r>
      <w:bookmarkEnd w:id="83"/>
      <w:bookmarkEnd w:id="84"/>
    </w:p>
    <w:p>
      <w:pPr>
        <w:spacing w:line="440" w:lineRule="exact"/>
        <w:ind w:firstLine="42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val="en-US" w:eastAsia="zh-CN"/>
        </w:rPr>
        <w:t>“响应文件格式”的</w:t>
      </w:r>
      <w:r>
        <w:rPr>
          <w:rFonts w:hint="default" w:ascii="Times New Roman" w:hAnsi="Times New Roman" w:cs="Times New Roman"/>
          <w:color w:val="auto"/>
          <w:highlight w:val="none"/>
        </w:rPr>
        <w:t>规定提供资格审查资料，以证明其满足本章规定的资质、业绩、信誉等要求。</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5" w:name="_Toc14201232"/>
      <w:bookmarkStart w:id="86" w:name="_Toc26656963"/>
      <w:r>
        <w:rPr>
          <w:rFonts w:hint="default"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的编制</w:t>
      </w:r>
      <w:bookmarkEnd w:id="85"/>
      <w:bookmarkEnd w:id="86"/>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eastAsia="zh-CN"/>
        </w:rPr>
        <w:t>“响应文件格式”</w:t>
      </w:r>
      <w:r>
        <w:rPr>
          <w:rFonts w:hint="default" w:ascii="Times New Roman" w:hAnsi="Times New Roman" w:cs="Times New Roman"/>
          <w:color w:val="auto"/>
          <w:highlight w:val="none"/>
        </w:rPr>
        <w:t>进行编写，如有必要，可以增加附页，作为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应当对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有关</w:t>
      </w:r>
      <w:r>
        <w:rPr>
          <w:rFonts w:hint="eastAsia" w:ascii="Times New Roman" w:hAnsi="Times New Roman" w:cs="Times New Roman"/>
          <w:color w:val="auto"/>
          <w:highlight w:val="none"/>
          <w:lang w:val="en-US" w:eastAsia="zh-CN"/>
        </w:rPr>
        <w:t>交货</w:t>
      </w:r>
      <w:r>
        <w:rPr>
          <w:rFonts w:hint="default" w:ascii="Times New Roman" w:hAnsi="Times New Roman" w:cs="Times New Roman"/>
          <w:color w:val="auto"/>
          <w:highlight w:val="none"/>
        </w:rPr>
        <w:t>期、</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、质量要求、技术标准和要求、</w:t>
      </w:r>
      <w:r>
        <w:rPr>
          <w:rFonts w:hint="eastAsia" w:ascii="Times New Roman" w:hAnsi="Times New Roman" w:cs="Times New Roman"/>
          <w:color w:val="auto"/>
          <w:highlight w:val="none"/>
          <w:lang w:val="en-US" w:eastAsia="zh-CN"/>
        </w:rPr>
        <w:t>采购范围</w:t>
      </w:r>
      <w:r>
        <w:rPr>
          <w:rFonts w:hint="default" w:ascii="Times New Roman" w:hAnsi="Times New Roman" w:cs="Times New Roman"/>
          <w:color w:val="auto"/>
          <w:highlight w:val="none"/>
        </w:rPr>
        <w:t>等实质性内容作出响应。</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的制作应满足以下规定：</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文件应用不褪色的材料书写或打印，并按</w:t>
      </w:r>
      <w:r>
        <w:rPr>
          <w:rFonts w:hint="eastAsia" w:ascii="Times New Roman" w:hAnsi="Times New Roman" w:cs="Times New Roman"/>
          <w:color w:val="auto"/>
          <w:highlight w:val="none"/>
          <w:lang w:eastAsia="zh-CN"/>
        </w:rPr>
        <w:t>第五章“响应文件格式”</w:t>
      </w:r>
      <w:r>
        <w:rPr>
          <w:rFonts w:hint="default" w:ascii="Times New Roman" w:hAnsi="Times New Roman" w:cs="Times New Roman"/>
          <w:color w:val="auto"/>
          <w:highlight w:val="none"/>
        </w:rPr>
        <w:t>的要求进行</w:t>
      </w:r>
      <w:r>
        <w:rPr>
          <w:rFonts w:hint="eastAsia" w:ascii="Times New Roman" w:hAnsi="Times New Roman" w:cs="Times New Roman"/>
          <w:color w:val="auto"/>
          <w:highlight w:val="none"/>
          <w:u w:val="single"/>
          <w:lang w:eastAsia="zh-CN"/>
        </w:rPr>
        <w:t>签名</w:t>
      </w:r>
      <w:r>
        <w:rPr>
          <w:rFonts w:hint="default" w:ascii="Times New Roman" w:hAnsi="Times New Roman" w:cs="Times New Roman"/>
          <w:color w:val="auto"/>
          <w:highlight w:val="none"/>
        </w:rPr>
        <w:t>和（或）</w:t>
      </w:r>
      <w:r>
        <w:rPr>
          <w:rFonts w:hint="default" w:ascii="Times New Roman" w:hAnsi="Times New Roman" w:cs="Times New Roman"/>
          <w:color w:val="auto"/>
          <w:highlight w:val="none"/>
          <w:u w:val="single"/>
        </w:rPr>
        <w:t>盖章</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lang w:eastAsia="zh-CN"/>
        </w:rPr>
        <w:t>签名</w:t>
      </w:r>
      <w:r>
        <w:rPr>
          <w:rFonts w:hint="default" w:ascii="Times New Roman" w:hAnsi="Times New Roman" w:cs="Times New Roman"/>
          <w:color w:val="auto"/>
          <w:highlight w:val="none"/>
        </w:rPr>
        <w:t>或盖单位章。</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正本</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一</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份，副本</w:t>
      </w:r>
      <w:r>
        <w:rPr>
          <w:rFonts w:hint="eastAsia" w:ascii="Times New Roman" w:hAnsi="Times New Roman" w:cs="Times New Roman"/>
          <w:color w:val="auto"/>
          <w:highlight w:val="none"/>
          <w:u w:val="single"/>
          <w:lang w:val="en-US" w:eastAsia="zh-CN"/>
        </w:rPr>
        <w:t xml:space="preserve"> 一 </w:t>
      </w:r>
      <w:r>
        <w:rPr>
          <w:rFonts w:hint="default" w:ascii="Times New Roman" w:hAnsi="Times New Roman" w:cs="Times New Roman"/>
          <w:color w:val="auto"/>
          <w:highlight w:val="none"/>
        </w:rPr>
        <w:t>份。正本和副本的封面右上角上应清楚地标记“正本”或“副本”的字样。当副本和正本不一致时，以正本文件为准。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的正本与副本应分别</w:t>
      </w:r>
      <w:r>
        <w:rPr>
          <w:rFonts w:hint="eastAsia" w:ascii="Times New Roman" w:hAnsi="Times New Roman" w:cs="Times New Roman"/>
          <w:color w:val="auto"/>
          <w:highlight w:val="none"/>
          <w:lang w:val="en-US" w:eastAsia="zh-CN"/>
        </w:rPr>
        <w:t>胶装</w:t>
      </w:r>
      <w:r>
        <w:rPr>
          <w:rFonts w:hint="default" w:ascii="Times New Roman" w:hAnsi="Times New Roman" w:cs="Times New Roman"/>
          <w:color w:val="auto"/>
          <w:highlight w:val="none"/>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87" w:name="_Toc26656964"/>
      <w:bookmarkStart w:id="88" w:name="_Toc14201233"/>
      <w:bookmarkStart w:id="89" w:name="_Toc9067723"/>
      <w:r>
        <w:rPr>
          <w:rFonts w:hint="default" w:ascii="Times New Roman" w:hAnsi="Times New Roman" w:eastAsia="黑体" w:cs="Times New Roman"/>
          <w:bCs/>
          <w:color w:val="auto"/>
          <w:sz w:val="24"/>
          <w:szCs w:val="32"/>
          <w:highlight w:val="none"/>
        </w:rPr>
        <w:t xml:space="preserve">4. </w:t>
      </w:r>
      <w:bookmarkEnd w:id="87"/>
      <w:bookmarkEnd w:id="88"/>
      <w:bookmarkEnd w:id="89"/>
      <w:r>
        <w:rPr>
          <w:rFonts w:hint="default" w:ascii="Times New Roman" w:hAnsi="Times New Roman" w:eastAsia="黑体" w:cs="Times New Roman"/>
          <w:bCs/>
          <w:color w:val="auto"/>
          <w:sz w:val="24"/>
          <w:szCs w:val="32"/>
          <w:highlight w:val="none"/>
        </w:rPr>
        <w:t>响应文件的递交</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0" w:name="_Toc26656965"/>
      <w:bookmarkStart w:id="91" w:name="_Toc14201234"/>
      <w:r>
        <w:rPr>
          <w:rFonts w:hint="default" w:ascii="Times New Roman" w:hAnsi="Times New Roman" w:eastAsia="黑体" w:cs="Times New Roman"/>
          <w:bCs/>
          <w:color w:val="auto"/>
          <w:sz w:val="24"/>
          <w:szCs w:val="32"/>
          <w:highlight w:val="none"/>
        </w:rPr>
        <w:t>4.1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的密封和标记</w:t>
      </w:r>
      <w:bookmarkEnd w:id="90"/>
      <w:bookmarkEnd w:id="91"/>
    </w:p>
    <w:p>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4.1.1</w:t>
      </w:r>
      <w:r>
        <w:rPr>
          <w:rFonts w:hint="default" w:ascii="Times New Roman" w:hAnsi="Times New Roman" w:cs="Times New Roman"/>
          <w:color w:val="auto"/>
          <w:highlight w:val="none"/>
          <w:lang w:eastAsia="zh-CN"/>
        </w:rPr>
        <w:t>响应文件</w:t>
      </w:r>
      <w:r>
        <w:rPr>
          <w:rFonts w:hint="eastAsia" w:ascii="Times New Roman" w:hAnsi="Times New Roman" w:cs="Times New Roman"/>
          <w:color w:val="auto"/>
          <w:highlight w:val="none"/>
          <w:lang w:val="en-US" w:eastAsia="zh-CN"/>
        </w:rPr>
        <w:t>正、副本</w:t>
      </w:r>
      <w:r>
        <w:rPr>
          <w:rFonts w:hint="default" w:ascii="Times New Roman" w:hAnsi="Times New Roman" w:cs="Times New Roman"/>
          <w:color w:val="auto"/>
          <w:highlight w:val="none"/>
        </w:rPr>
        <w:t>应密封包装</w:t>
      </w:r>
      <w:r>
        <w:rPr>
          <w:rFonts w:hint="eastAsia" w:ascii="Times New Roman" w:hAnsi="Times New Roman" w:cs="Times New Roman"/>
          <w:color w:val="auto"/>
          <w:highlight w:val="none"/>
          <w:lang w:val="en-US" w:eastAsia="zh-CN"/>
        </w:rPr>
        <w:t>在一个封套内</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封套上注明：</w:t>
      </w:r>
    </w:p>
    <w:p>
      <w:pPr>
        <w:keepNext w:val="0"/>
        <w:keepLines w:val="0"/>
        <w:pageBreakBefore w:val="0"/>
        <w:kinsoku/>
        <w:wordWrap/>
        <w:overflowPunct/>
        <w:topLinePunct w:val="0"/>
        <w:autoSpaceDE/>
        <w:autoSpaceDN/>
        <w:bidi w:val="0"/>
        <w:spacing w:line="440" w:lineRule="exact"/>
        <w:ind w:firstLine="420" w:firstLineChars="0"/>
        <w:textAlignment w:val="auto"/>
        <w:rPr>
          <w:rFonts w:hint="eastAsia" w:ascii="Times New Roman" w:hAnsi="Times New Roman" w:eastAsia="黑体" w:cs="黑体"/>
          <w:b/>
          <w:bCs w:val="0"/>
          <w:snapToGrid w:val="0"/>
          <w:color w:val="auto"/>
          <w:kern w:val="0"/>
          <w:szCs w:val="21"/>
          <w:highlight w:val="none"/>
        </w:rPr>
      </w:pPr>
      <w:r>
        <w:rPr>
          <w:rFonts w:hint="eastAsia" w:ascii="Times New Roman" w:hAnsi="Times New Roman" w:eastAsia="黑体" w:cs="黑体"/>
          <w:b/>
          <w:bCs w:val="0"/>
          <w:snapToGrid w:val="0"/>
          <w:color w:val="auto"/>
          <w:kern w:val="0"/>
          <w:szCs w:val="21"/>
          <w:highlight w:val="none"/>
          <w:lang w:eastAsia="zh-CN"/>
        </w:rPr>
        <w:t>供应商</w:t>
      </w:r>
      <w:r>
        <w:rPr>
          <w:rFonts w:hint="eastAsia" w:ascii="Times New Roman" w:hAnsi="Times New Roman" w:eastAsia="黑体" w:cs="黑体"/>
          <w:b/>
          <w:bCs w:val="0"/>
          <w:snapToGrid w:val="0"/>
          <w:color w:val="auto"/>
          <w:kern w:val="0"/>
          <w:szCs w:val="21"/>
          <w:highlight w:val="none"/>
        </w:rPr>
        <w:t>名称：</w:t>
      </w:r>
      <w:r>
        <w:rPr>
          <w:rFonts w:hint="eastAsia" w:ascii="Times New Roman" w:hAnsi="Times New Roman" w:eastAsia="黑体" w:cs="黑体"/>
          <w:b/>
          <w:bCs w:val="0"/>
          <w:snapToGrid w:val="0"/>
          <w:color w:val="auto"/>
          <w:kern w:val="0"/>
          <w:szCs w:val="21"/>
          <w:highlight w:val="none"/>
          <w:u w:val="single"/>
        </w:rPr>
        <w:t xml:space="preserve">           </w:t>
      </w:r>
    </w:p>
    <w:p>
      <w:pPr>
        <w:keepNext w:val="0"/>
        <w:keepLines w:val="0"/>
        <w:pageBreakBefore w:val="0"/>
        <w:kinsoku/>
        <w:wordWrap/>
        <w:overflowPunct/>
        <w:topLinePunct w:val="0"/>
        <w:autoSpaceDE/>
        <w:autoSpaceDN/>
        <w:bidi w:val="0"/>
        <w:spacing w:line="440" w:lineRule="exact"/>
        <w:ind w:firstLine="420" w:firstLineChars="0"/>
        <w:textAlignment w:val="auto"/>
        <w:rPr>
          <w:rFonts w:hint="eastAsia" w:ascii="Times New Roman" w:hAnsi="Times New Roman" w:eastAsia="黑体" w:cs="黑体"/>
          <w:b/>
          <w:bCs w:val="0"/>
          <w:snapToGrid w:val="0"/>
          <w:color w:val="auto"/>
          <w:kern w:val="0"/>
          <w:szCs w:val="21"/>
          <w:highlight w:val="none"/>
          <w:lang w:eastAsia="zh-CN"/>
        </w:rPr>
      </w:pP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(项目</w:t>
      </w:r>
      <w:r>
        <w:rPr>
          <w:rFonts w:hint="eastAsia" w:ascii="Times New Roman" w:hAnsi="Times New Roman" w:eastAsia="黑体" w:cs="黑体"/>
          <w:b/>
          <w:bCs w:val="0"/>
          <w:snapToGrid/>
          <w:color w:val="auto"/>
          <w:kern w:val="2"/>
          <w:szCs w:val="24"/>
          <w:highlight w:val="none"/>
        </w:rPr>
        <w:t>名称</w:t>
      </w:r>
      <w:r>
        <w:rPr>
          <w:rFonts w:hint="eastAsia" w:ascii="Times New Roman" w:hAnsi="Times New Roman" w:eastAsia="黑体" w:cs="黑体"/>
          <w:b/>
          <w:bCs w:val="0"/>
          <w:snapToGrid w:val="0"/>
          <w:color w:val="auto"/>
          <w:kern w:val="0"/>
          <w:szCs w:val="21"/>
          <w:highlight w:val="none"/>
        </w:rPr>
        <w:t>)</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lang w:val="en-US" w:eastAsia="zh-CN"/>
        </w:rPr>
        <w:t>包段</w:t>
      </w:r>
      <w:r>
        <w:rPr>
          <w:rFonts w:hint="eastAsia" w:ascii="Times New Roman" w:hAnsi="Times New Roman" w:eastAsia="黑体" w:cs="黑体"/>
          <w:b/>
          <w:bCs w:val="0"/>
          <w:snapToGrid w:val="0"/>
          <w:color w:val="auto"/>
          <w:kern w:val="0"/>
          <w:szCs w:val="21"/>
          <w:highlight w:val="none"/>
          <w:lang w:eastAsia="zh-CN"/>
        </w:rPr>
        <w:t>响应文件</w:t>
      </w:r>
    </w:p>
    <w:p>
      <w:pPr>
        <w:spacing w:line="440" w:lineRule="exact"/>
        <w:ind w:firstLine="420"/>
        <w:rPr>
          <w:rFonts w:hint="eastAsia" w:ascii="Times New Roman" w:hAnsi="Times New Roman" w:eastAsia="黑体" w:cs="黑体"/>
          <w:b/>
          <w:bCs w:val="0"/>
          <w:color w:val="auto"/>
          <w:highlight w:val="none"/>
        </w:rPr>
      </w:pPr>
      <w:r>
        <w:rPr>
          <w:rFonts w:hint="eastAsia" w:ascii="Times New Roman" w:hAnsi="Times New Roman" w:eastAsia="黑体" w:cs="黑体"/>
          <w:b/>
          <w:bCs w:val="0"/>
          <w:snapToGrid w:val="0"/>
          <w:color w:val="auto"/>
          <w:kern w:val="0"/>
          <w:szCs w:val="21"/>
          <w:highlight w:val="none"/>
        </w:rPr>
        <w:t>在</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年</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月</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日</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时</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分</w:t>
      </w:r>
      <w:r>
        <w:rPr>
          <w:rFonts w:hint="eastAsia" w:ascii="Times New Roman" w:hAnsi="Times New Roman" w:eastAsia="黑体" w:cs="黑体"/>
          <w:b/>
          <w:bCs w:val="0"/>
          <w:snapToGrid w:val="0"/>
          <w:color w:val="auto"/>
          <w:kern w:val="0"/>
          <w:szCs w:val="21"/>
          <w:highlight w:val="none"/>
          <w:lang w:eastAsia="zh-CN"/>
        </w:rPr>
        <w:t>（</w:t>
      </w:r>
      <w:r>
        <w:rPr>
          <w:rFonts w:hint="eastAsia" w:ascii="Times New Roman" w:hAnsi="Times New Roman" w:eastAsia="黑体" w:cs="黑体"/>
          <w:b/>
          <w:bCs w:val="0"/>
          <w:snapToGrid w:val="0"/>
          <w:color w:val="auto"/>
          <w:kern w:val="0"/>
          <w:szCs w:val="21"/>
          <w:highlight w:val="none"/>
          <w:lang w:val="en-US" w:eastAsia="zh-CN"/>
        </w:rPr>
        <w:t>递交响应文件的截止时间</w:t>
      </w:r>
      <w:r>
        <w:rPr>
          <w:rFonts w:hint="eastAsia" w:ascii="Times New Roman" w:hAnsi="Times New Roman" w:eastAsia="黑体" w:cs="黑体"/>
          <w:b/>
          <w:bCs w:val="0"/>
          <w:snapToGrid w:val="0"/>
          <w:color w:val="auto"/>
          <w:kern w:val="0"/>
          <w:szCs w:val="21"/>
          <w:highlight w:val="none"/>
          <w:lang w:eastAsia="zh-CN"/>
        </w:rPr>
        <w:t>）</w:t>
      </w:r>
      <w:r>
        <w:rPr>
          <w:rFonts w:hint="eastAsia" w:ascii="Times New Roman" w:hAnsi="Times New Roman" w:eastAsia="黑体" w:cs="黑体"/>
          <w:b/>
          <w:bCs w:val="0"/>
          <w:snapToGrid w:val="0"/>
          <w:color w:val="auto"/>
          <w:kern w:val="0"/>
          <w:szCs w:val="21"/>
          <w:highlight w:val="none"/>
        </w:rPr>
        <w:t>前不得开启</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lang w:eastAsia="zh-CN"/>
        </w:rPr>
        <w:t>响应文件</w:t>
      </w:r>
      <w:r>
        <w:rPr>
          <w:rFonts w:ascii="Times New Roman" w:hAnsi="Times New Roman"/>
          <w:color w:val="auto"/>
          <w:highlight w:val="none"/>
        </w:rPr>
        <w:t>，</w:t>
      </w:r>
      <w:r>
        <w:rPr>
          <w:rFonts w:hint="eastAsia" w:ascii="Times New Roman" w:hAnsi="Times New Roman"/>
          <w:color w:val="auto"/>
          <w:highlight w:val="none"/>
          <w:lang w:eastAsia="zh-CN"/>
        </w:rPr>
        <w:t>采购人</w:t>
      </w:r>
      <w:r>
        <w:rPr>
          <w:rFonts w:ascii="Times New Roman" w:hAnsi="Times New Roman"/>
          <w:color w:val="auto"/>
          <w:highlight w:val="none"/>
        </w:rPr>
        <w:t>将予以拒收。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2" w:name="_Toc14201235"/>
      <w:bookmarkStart w:id="93" w:name="_Toc26656966"/>
      <w:r>
        <w:rPr>
          <w:rFonts w:hint="default" w:ascii="Times New Roman" w:hAnsi="Times New Roman" w:eastAsia="黑体" w:cs="Times New Roman"/>
          <w:bCs/>
          <w:color w:val="auto"/>
          <w:sz w:val="24"/>
          <w:szCs w:val="32"/>
          <w:highlight w:val="none"/>
        </w:rPr>
        <w:t xml:space="preserve">4.2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的递交</w:t>
      </w:r>
      <w:bookmarkEnd w:id="92"/>
      <w:bookmarkEnd w:id="93"/>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应当</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第5条的规定递交响应文件</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eastAsia" w:ascii="Times New Roman" w:hAnsi="Times New Roman" w:cs="Times New Roman"/>
          <w:color w:val="auto"/>
          <w:kern w:val="2"/>
          <w:sz w:val="21"/>
          <w:szCs w:val="24"/>
          <w:highlight w:val="none"/>
          <w:lang w:val="en-US" w:eastAsia="zh-CN" w:bidi="ar-SA"/>
        </w:rPr>
        <w:t>递交响应文件的供应商数量不足3家时，采购人将宣布本次采购失败，并退还已递交的响应文件。</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eastAsiaTheme="minorEastAsia"/>
          <w:color w:val="auto"/>
          <w:kern w:val="2"/>
          <w:sz w:val="21"/>
          <w:szCs w:val="24"/>
          <w:highlight w:val="none"/>
          <w:lang w:val="en-US" w:eastAsia="zh-CN" w:bidi="ar-SA"/>
        </w:rPr>
        <w:t>4.2.</w:t>
      </w:r>
      <w:r>
        <w:rPr>
          <w:rFonts w:hint="eastAsia" w:ascii="Times New Roman" w:hAnsi="Times New Roman" w:cs="Times New Roman"/>
          <w:color w:val="auto"/>
          <w:kern w:val="2"/>
          <w:sz w:val="21"/>
          <w:szCs w:val="24"/>
          <w:highlight w:val="none"/>
          <w:lang w:val="en-US" w:eastAsia="zh-CN" w:bidi="ar-SA"/>
        </w:rPr>
        <w:t>3 除第4.2.2项规定外，</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所递交的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不予退还。</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94" w:name="_Toc14201237"/>
      <w:bookmarkStart w:id="95" w:name="_Toc9067724"/>
      <w:bookmarkStart w:id="96" w:name="_Toc26656968"/>
      <w:r>
        <w:rPr>
          <w:rFonts w:hint="default" w:ascii="Times New Roman" w:hAnsi="Times New Roman" w:eastAsia="黑体" w:cs="Times New Roman"/>
          <w:bCs/>
          <w:color w:val="auto"/>
          <w:sz w:val="24"/>
          <w:szCs w:val="32"/>
          <w:highlight w:val="none"/>
        </w:rPr>
        <w:t xml:space="preserve">5. </w:t>
      </w:r>
      <w:bookmarkEnd w:id="94"/>
      <w:bookmarkEnd w:id="95"/>
      <w:bookmarkEnd w:id="96"/>
      <w:r>
        <w:rPr>
          <w:rFonts w:hint="default" w:ascii="Times New Roman" w:hAnsi="Times New Roman" w:eastAsia="黑体" w:cs="Times New Roman"/>
          <w:bCs/>
          <w:color w:val="auto"/>
          <w:sz w:val="24"/>
          <w:szCs w:val="32"/>
          <w:highlight w:val="none"/>
          <w:lang w:val="en-US" w:eastAsia="zh-CN"/>
        </w:rPr>
        <w:t>启封</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7" w:name="_Toc14201238"/>
      <w:bookmarkStart w:id="98" w:name="_Toc26656969"/>
      <w:r>
        <w:rPr>
          <w:rFonts w:hint="default" w:ascii="Times New Roman" w:hAnsi="Times New Roman" w:eastAsia="黑体" w:cs="Times New Roman"/>
          <w:bCs/>
          <w:color w:val="auto"/>
          <w:sz w:val="24"/>
          <w:szCs w:val="32"/>
          <w:highlight w:val="none"/>
        </w:rPr>
        <w:t xml:space="preserve">5.1 </w:t>
      </w:r>
      <w:r>
        <w:rPr>
          <w:rFonts w:hint="default"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时间和地点</w:t>
      </w:r>
      <w:bookmarkEnd w:id="97"/>
      <w:bookmarkEnd w:id="9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在本章第4.2.1项规定的</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时间），</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第6条的规定进行启封</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若未派法定代表人或其委托代理人出席</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活动，视为该</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默认</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结果。</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9" w:name="_Toc14201239"/>
      <w:bookmarkStart w:id="100" w:name="_Toc26656970"/>
      <w:r>
        <w:rPr>
          <w:rFonts w:hint="default"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程序</w:t>
      </w:r>
      <w:bookmarkEnd w:id="99"/>
      <w:bookmarkEnd w:id="100"/>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5.2.1主持人按下列程序进行</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 xml:space="preserve">： </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（1）公布在</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名称；</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（2）由</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推选的代表检查</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 xml:space="preserve">的密封情况； </w:t>
      </w:r>
    </w:p>
    <w:p>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bCs/>
          <w:color w:val="auto"/>
          <w:highlight w:val="none"/>
        </w:rPr>
        <w:t>对</w:t>
      </w:r>
      <w:r>
        <w:rPr>
          <w:rFonts w:hint="default" w:ascii="Times New Roman" w:hAnsi="Times New Roman" w:cs="Times New Roman"/>
          <w:bCs/>
          <w:color w:val="auto"/>
          <w:highlight w:val="none"/>
          <w:lang w:val="en-US" w:eastAsia="zh-CN"/>
        </w:rPr>
        <w:t>响应</w:t>
      </w:r>
      <w:r>
        <w:rPr>
          <w:rFonts w:hint="default" w:ascii="Times New Roman" w:hAnsi="Times New Roman" w:cs="Times New Roman"/>
          <w:bCs/>
          <w:color w:val="auto"/>
          <w:highlight w:val="none"/>
        </w:rPr>
        <w:t>文件进行</w:t>
      </w:r>
      <w:r>
        <w:rPr>
          <w:rFonts w:hint="default" w:ascii="Times New Roman" w:hAnsi="Times New Roman" w:cs="Times New Roman"/>
          <w:bCs/>
          <w:color w:val="auto"/>
          <w:highlight w:val="none"/>
          <w:lang w:val="en-US" w:eastAsia="zh-CN"/>
        </w:rPr>
        <w:t>启封</w:t>
      </w:r>
      <w:r>
        <w:rPr>
          <w:rFonts w:hint="default" w:ascii="Times New Roman" w:hAnsi="Times New Roman" w:cs="Times New Roman"/>
          <w:bCs/>
          <w:color w:val="auto"/>
          <w:highlight w:val="none"/>
        </w:rPr>
        <w:t>，公布</w:t>
      </w:r>
      <w:r>
        <w:rPr>
          <w:rFonts w:hint="default" w:ascii="Times New Roman" w:hAnsi="Times New Roman" w:cs="Times New Roman"/>
          <w:bCs/>
          <w:color w:val="auto"/>
          <w:highlight w:val="none"/>
          <w:lang w:eastAsia="zh-CN"/>
        </w:rPr>
        <w:t>供应商</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eastAsia="zh-CN"/>
        </w:rPr>
        <w:t>合同包</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val="en-US" w:eastAsia="zh-CN"/>
        </w:rPr>
        <w:t>报价</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质量目标、</w:t>
      </w:r>
      <w:r>
        <w:rPr>
          <w:rFonts w:hint="eastAsia" w:ascii="Times New Roman" w:hAnsi="Times New Roman" w:cs="Times New Roman"/>
          <w:bCs/>
          <w:color w:val="auto"/>
          <w:highlight w:val="none"/>
          <w:lang w:val="en-US" w:eastAsia="zh-CN"/>
        </w:rPr>
        <w:t>交货</w:t>
      </w:r>
      <w:r>
        <w:rPr>
          <w:rFonts w:hint="default" w:ascii="Times New Roman" w:hAnsi="Times New Roman" w:cs="Times New Roman"/>
          <w:bCs/>
          <w:color w:val="auto"/>
          <w:highlight w:val="none"/>
        </w:rPr>
        <w:t>期</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lang w:val="en-US" w:eastAsia="zh-CN"/>
        </w:rPr>
        <w:t>响应保证金递交情况</w:t>
      </w:r>
      <w:r>
        <w:rPr>
          <w:rFonts w:hint="default" w:ascii="Times New Roman" w:hAnsi="Times New Roman" w:cs="Times New Roman"/>
          <w:bCs/>
          <w:color w:val="auto"/>
          <w:highlight w:val="none"/>
        </w:rPr>
        <w:t>及其他内容；</w:t>
      </w:r>
    </w:p>
    <w:p>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4</w:t>
      </w:r>
      <w:r>
        <w:rPr>
          <w:rFonts w:hint="default" w:ascii="Times New Roman" w:hAnsi="Times New Roman" w:cs="Times New Roman"/>
          <w:bCs/>
          <w:color w:val="auto"/>
          <w:highlight w:val="none"/>
        </w:rPr>
        <w:t>）</w:t>
      </w:r>
      <w:r>
        <w:rPr>
          <w:rFonts w:hint="eastAsia" w:ascii="Times New Roman" w:hAnsi="Times New Roman"/>
          <w:color w:val="auto"/>
          <w:highlight w:val="none"/>
          <w:lang w:val="en-US" w:eastAsia="zh-CN"/>
        </w:rPr>
        <w:t>供应商</w:t>
      </w:r>
      <w:r>
        <w:rPr>
          <w:rFonts w:ascii="Times New Roman" w:hAnsi="Times New Roman"/>
          <w:color w:val="auto"/>
          <w:highlight w:val="none"/>
        </w:rPr>
        <w:t>代表、</w:t>
      </w:r>
      <w:r>
        <w:rPr>
          <w:rFonts w:hint="eastAsia" w:ascii="Times New Roman" w:hAnsi="Times New Roman"/>
          <w:color w:val="auto"/>
          <w:highlight w:val="none"/>
          <w:lang w:val="en-US" w:eastAsia="zh-CN"/>
        </w:rPr>
        <w:t>采购</w:t>
      </w:r>
      <w:r>
        <w:rPr>
          <w:rFonts w:ascii="Times New Roman" w:hAnsi="Times New Roman"/>
          <w:color w:val="auto"/>
          <w:highlight w:val="none"/>
        </w:rPr>
        <w:t>人代表、记录人等有关人员在</w:t>
      </w:r>
      <w:r>
        <w:rPr>
          <w:rFonts w:hint="eastAsia" w:ascii="Times New Roman" w:hAnsi="Times New Roman"/>
          <w:color w:val="auto"/>
          <w:highlight w:val="none"/>
          <w:lang w:val="en-US" w:eastAsia="zh-CN"/>
        </w:rPr>
        <w:t>启封</w:t>
      </w:r>
      <w:r>
        <w:rPr>
          <w:rFonts w:ascii="Times New Roman" w:hAnsi="Times New Roman"/>
          <w:color w:val="auto"/>
          <w:highlight w:val="none"/>
        </w:rPr>
        <w:t>记录上</w:t>
      </w:r>
      <w:r>
        <w:rPr>
          <w:rFonts w:hint="eastAsia" w:ascii="Times New Roman" w:hAnsi="Times New Roman"/>
          <w:color w:val="auto"/>
          <w:highlight w:val="none"/>
          <w:lang w:eastAsia="zh-CN"/>
        </w:rPr>
        <w:t>签名</w:t>
      </w:r>
      <w:r>
        <w:rPr>
          <w:rFonts w:ascii="Times New Roman" w:hAnsi="Times New Roman"/>
          <w:color w:val="auto"/>
          <w:highlight w:val="none"/>
        </w:rPr>
        <w:t>确认；</w:t>
      </w:r>
    </w:p>
    <w:p>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5</w:t>
      </w: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启封</w:t>
      </w:r>
      <w:r>
        <w:rPr>
          <w:rFonts w:hint="default" w:ascii="Times New Roman" w:hAnsi="Times New Roman" w:cs="Times New Roman"/>
          <w:color w:val="auto"/>
          <w:highlight w:val="none"/>
        </w:rPr>
        <w:t>结束</w:t>
      </w:r>
      <w:r>
        <w:rPr>
          <w:rFonts w:hint="default" w:ascii="Times New Roman" w:hAnsi="Times New Roman" w:cs="Times New Roman"/>
          <w:bCs/>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bCs/>
          <w:color w:val="auto"/>
          <w:highlight w:val="none"/>
        </w:rPr>
        <w:t>5.2.2</w:t>
      </w: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在</w:t>
      </w:r>
      <w:r>
        <w:rPr>
          <w:rFonts w:hint="default" w:ascii="Times New Roman" w:hAnsi="Times New Roman" w:cs="Times New Roman"/>
          <w:color w:val="auto"/>
          <w:highlight w:val="none"/>
          <w:lang w:val="en-US" w:eastAsia="zh-CN"/>
        </w:rPr>
        <w:t>启封过程</w:t>
      </w:r>
      <w:r>
        <w:rPr>
          <w:rFonts w:hint="eastAsia" w:ascii="Times New Roman" w:hAnsi="Times New Roman" w:cs="Times New Roman"/>
          <w:color w:val="auto"/>
          <w:highlight w:val="none"/>
          <w:lang w:val="en-US" w:eastAsia="zh-CN"/>
        </w:rPr>
        <w:t>中</w:t>
      </w:r>
      <w:r>
        <w:rPr>
          <w:rFonts w:hint="default" w:ascii="Times New Roman" w:hAnsi="Times New Roman" w:cs="Times New Roman"/>
          <w:color w:val="auto"/>
          <w:highlight w:val="none"/>
        </w:rPr>
        <w:t>有</w:t>
      </w:r>
      <w:r>
        <w:rPr>
          <w:rFonts w:hint="eastAsia" w:ascii="Times New Roman" w:hAnsi="Times New Roman" w:cs="Times New Roman"/>
          <w:color w:val="auto"/>
          <w:highlight w:val="none"/>
          <w:lang w:val="en-US" w:eastAsia="zh-CN"/>
        </w:rPr>
        <w:t>疑问</w:t>
      </w:r>
      <w:r>
        <w:rPr>
          <w:rFonts w:hint="default" w:ascii="Times New Roman" w:hAnsi="Times New Roman" w:cs="Times New Roman"/>
          <w:color w:val="auto"/>
          <w:highlight w:val="none"/>
        </w:rPr>
        <w:t>的，应当在</w:t>
      </w:r>
      <w:r>
        <w:rPr>
          <w:rFonts w:hint="eastAsia" w:ascii="Times New Roman" w:hAnsi="Times New Roman" w:cs="Times New Roman"/>
          <w:color w:val="auto"/>
          <w:highlight w:val="none"/>
          <w:lang w:val="en-US" w:eastAsia="zh-CN"/>
        </w:rPr>
        <w:t>现场</w:t>
      </w:r>
      <w:r>
        <w:rPr>
          <w:rFonts w:hint="default" w:ascii="Times New Roman" w:hAnsi="Times New Roman" w:cs="Times New Roman"/>
          <w:color w:val="auto"/>
          <w:highlight w:val="none"/>
        </w:rPr>
        <w:t>提出</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将</w:t>
      </w:r>
      <w:r>
        <w:rPr>
          <w:rFonts w:hint="default" w:ascii="Times New Roman" w:hAnsi="Times New Roman" w:cs="Times New Roman"/>
          <w:color w:val="auto"/>
          <w:highlight w:val="none"/>
        </w:rPr>
        <w:t>当场作出答复。</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101" w:name="_Toc9067725"/>
      <w:bookmarkStart w:id="102" w:name="_Toc26656972"/>
      <w:bookmarkStart w:id="103" w:name="_Toc14201241"/>
      <w:r>
        <w:rPr>
          <w:rFonts w:hint="default" w:ascii="Times New Roman" w:hAnsi="Times New Roman" w:eastAsia="黑体" w:cs="Times New Roman"/>
          <w:bCs/>
          <w:color w:val="auto"/>
          <w:sz w:val="24"/>
          <w:szCs w:val="32"/>
          <w:highlight w:val="none"/>
        </w:rPr>
        <w:t>6. 评</w:t>
      </w:r>
      <w:bookmarkEnd w:id="101"/>
      <w:bookmarkEnd w:id="102"/>
      <w:bookmarkEnd w:id="103"/>
      <w:r>
        <w:rPr>
          <w:rFonts w:hint="default" w:ascii="Times New Roman" w:hAnsi="Times New Roman" w:eastAsia="黑体" w:cs="Times New Roman"/>
          <w:bCs/>
          <w:color w:val="auto"/>
          <w:sz w:val="24"/>
          <w:szCs w:val="32"/>
          <w:highlight w:val="none"/>
          <w:lang w:val="en-US" w:eastAsia="zh-CN"/>
        </w:rPr>
        <w:t>审</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4" w:name="_Toc26656973"/>
      <w:bookmarkStart w:id="105" w:name="_Toc14201242"/>
      <w:r>
        <w:rPr>
          <w:rFonts w:hint="default" w:ascii="Times New Roman" w:hAnsi="Times New Roman" w:eastAsia="黑体" w:cs="Times New Roman"/>
          <w:bCs/>
          <w:color w:val="auto"/>
          <w:sz w:val="24"/>
          <w:szCs w:val="32"/>
          <w:highlight w:val="none"/>
        </w:rPr>
        <w:t>6.1</w:t>
      </w:r>
      <w:bookmarkEnd w:id="104"/>
      <w:bookmarkEnd w:id="105"/>
      <w:r>
        <w:rPr>
          <w:rFonts w:hint="eastAsia" w:ascii="Times New Roman" w:hAnsi="Times New Roman" w:eastAsia="黑体" w:cs="Times New Roman"/>
          <w:bCs/>
          <w:color w:val="auto"/>
          <w:sz w:val="24"/>
          <w:szCs w:val="32"/>
          <w:highlight w:val="none"/>
          <w:lang w:eastAsia="zh-CN"/>
        </w:rPr>
        <w:t>评审小组</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由</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组建的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负责。</w:t>
      </w:r>
      <w:r>
        <w:rPr>
          <w:rFonts w:hint="eastAsia" w:ascii="Times New Roman" w:hAnsi="Times New Roman" w:cs="Times New Roman"/>
          <w:color w:val="auto"/>
          <w:highlight w:val="none"/>
          <w:lang w:eastAsia="zh-CN"/>
        </w:rPr>
        <w:t>评审小组</w:t>
      </w:r>
      <w:r>
        <w:rPr>
          <w:rFonts w:hint="eastAsia" w:ascii="Times New Roman" w:hAnsi="Times New Roman" w:cs="Times New Roman"/>
          <w:color w:val="auto"/>
          <w:highlight w:val="none"/>
          <w:lang w:val="en-US" w:eastAsia="zh-CN"/>
        </w:rPr>
        <w:t>人数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3~7人（单数）</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6" w:name="_Toc14201244"/>
      <w:bookmarkStart w:id="107" w:name="_Toc26656975"/>
      <w:r>
        <w:rPr>
          <w:rFonts w:hint="default"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评</w:t>
      </w:r>
      <w:bookmarkEnd w:id="106"/>
      <w:bookmarkEnd w:id="107"/>
      <w:r>
        <w:rPr>
          <w:rFonts w:hint="default" w:ascii="Times New Roman" w:hAnsi="Times New Roman" w:eastAsia="黑体" w:cs="Times New Roman"/>
          <w:bCs/>
          <w:color w:val="auto"/>
          <w:sz w:val="24"/>
          <w:szCs w:val="32"/>
          <w:highlight w:val="none"/>
          <w:lang w:val="en-US" w:eastAsia="zh-CN"/>
        </w:rPr>
        <w:t>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按照第三章“</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”规定的方法、评审因素、标准和程序对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进行评审。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.2评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完成后，</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提交书面评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报告和</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候选人名单。</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推荐</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候选人的人数</w:t>
      </w:r>
      <w:r>
        <w:rPr>
          <w:rFonts w:hint="eastAsia" w:ascii="Times New Roman" w:hAnsi="Times New Roman" w:cs="Times New Roman"/>
          <w:color w:val="auto"/>
          <w:highlight w:val="none"/>
          <w:lang w:val="en-US" w:eastAsia="zh-CN"/>
        </w:rPr>
        <w:t>为：3人（如不足3人，可以按实际数量推荐）</w:t>
      </w:r>
      <w:r>
        <w:rPr>
          <w:rFonts w:hint="default" w:ascii="Times New Roman" w:hAnsi="Times New Roman" w:cs="Times New Roman"/>
          <w:color w:val="auto"/>
          <w:highlight w:val="none"/>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08" w:name="_Toc26656976"/>
      <w:bookmarkStart w:id="109" w:name="_Toc9067726"/>
      <w:bookmarkStart w:id="110" w:name="_Toc14201245"/>
      <w:r>
        <w:rPr>
          <w:rFonts w:hint="default" w:ascii="Times New Roman" w:hAnsi="Times New Roman" w:eastAsia="黑体" w:cs="Times New Roman"/>
          <w:bCs/>
          <w:color w:val="auto"/>
          <w:sz w:val="24"/>
          <w:szCs w:val="32"/>
          <w:highlight w:val="none"/>
        </w:rPr>
        <w:t>7. 合同授予</w:t>
      </w:r>
      <w:bookmarkEnd w:id="108"/>
      <w:bookmarkEnd w:id="109"/>
      <w:bookmarkEnd w:id="110"/>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1" w:name="_Toc14201246"/>
      <w:bookmarkStart w:id="112" w:name="_Toc26656977"/>
      <w:r>
        <w:rPr>
          <w:rFonts w:hint="default" w:ascii="Times New Roman" w:hAnsi="Times New Roman" w:eastAsia="黑体" w:cs="Times New Roman"/>
          <w:bCs/>
          <w:color w:val="auto"/>
          <w:sz w:val="24"/>
          <w:szCs w:val="32"/>
          <w:highlight w:val="none"/>
        </w:rPr>
        <w:t>7.1</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公示</w:t>
      </w:r>
      <w:bookmarkEnd w:id="111"/>
      <w:bookmarkEnd w:id="112"/>
    </w:p>
    <w:p>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采用</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方式采购的项目，公示期不得少于</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日</w:t>
      </w:r>
      <w:r>
        <w:rPr>
          <w:rFonts w:hint="default" w:ascii="Times New Roman" w:hAnsi="Times New Roman" w:cs="Times New Roman"/>
          <w:color w:val="auto"/>
          <w:highlight w:val="none"/>
          <w:lang w:eastAsia="zh-CN"/>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3" w:name="_Toc26656978"/>
      <w:bookmarkStart w:id="114" w:name="_Toc14201247"/>
      <w:r>
        <w:rPr>
          <w:rFonts w:hint="default" w:ascii="Times New Roman" w:hAnsi="Times New Roman" w:eastAsia="黑体" w:cs="Times New Roman"/>
          <w:bCs/>
          <w:color w:val="auto"/>
          <w:sz w:val="24"/>
          <w:szCs w:val="32"/>
          <w:highlight w:val="none"/>
        </w:rPr>
        <w:t>7.2评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结果异议</w:t>
      </w:r>
      <w:bookmarkEnd w:id="113"/>
      <w:bookmarkEnd w:id="114"/>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或其他利害关系人对评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结果有异议的，应在</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公示期间提出。</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5" w:name="_Toc26656979"/>
      <w:bookmarkStart w:id="116" w:name="_Toc14201248"/>
      <w:r>
        <w:rPr>
          <w:rFonts w:hint="default" w:ascii="Times New Roman" w:hAnsi="Times New Roman" w:eastAsia="黑体" w:cs="Times New Roman"/>
          <w:bCs/>
          <w:color w:val="auto"/>
          <w:sz w:val="24"/>
          <w:szCs w:val="32"/>
          <w:highlight w:val="none"/>
        </w:rPr>
        <w:t>7.3</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履约能力审查</w:t>
      </w:r>
      <w:bookmarkEnd w:id="115"/>
      <w:bookmarkEnd w:id="116"/>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的经营、财务状况发生较大变化或存在违法行为，</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认为可能影响其履约能力的，将在发出</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通知书前提请原</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规定的标准和方法进行审查确认。</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7" w:name="_Toc14201250"/>
      <w:bookmarkStart w:id="118" w:name="_Toc26656981"/>
      <w:r>
        <w:rPr>
          <w:rFonts w:hint="default" w:ascii="Times New Roman" w:hAnsi="Times New Roman" w:eastAsia="黑体" w:cs="Times New Roman"/>
          <w:bCs/>
          <w:color w:val="auto"/>
          <w:sz w:val="24"/>
          <w:szCs w:val="32"/>
          <w:highlight w:val="none"/>
        </w:rPr>
        <w:t>7.</w:t>
      </w:r>
      <w:bookmarkEnd w:id="117"/>
      <w:bookmarkEnd w:id="118"/>
      <w:bookmarkStart w:id="119" w:name="_Toc14201252"/>
      <w:bookmarkStart w:id="120" w:name="_Toc26656983"/>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履约保证金</w:t>
      </w:r>
      <w:bookmarkEnd w:id="119"/>
      <w:bookmarkEnd w:id="120"/>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7.</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.1在签订合同前，</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提交履约保证金。履约保证金</w:t>
      </w:r>
      <w:r>
        <w:rPr>
          <w:rFonts w:hint="eastAsia" w:ascii="Times New Roman" w:hAnsi="Times New Roman" w:cs="Times New Roman"/>
          <w:color w:val="auto"/>
          <w:highlight w:val="none"/>
          <w:lang w:val="en-US" w:eastAsia="zh-CN"/>
        </w:rPr>
        <w:t>的金额</w:t>
      </w:r>
      <w:r>
        <w:rPr>
          <w:rFonts w:hint="default" w:ascii="Times New Roman" w:hAnsi="Times New Roman" w:cs="Times New Roman"/>
          <w:color w:val="auto"/>
          <w:highlight w:val="none"/>
        </w:rPr>
        <w:t>为</w:t>
      </w:r>
      <w:r>
        <w:rPr>
          <w:rFonts w:hint="eastAsia" w:ascii="Times New Roman" w:hAnsi="Times New Roman" w:cs="Times New Roman"/>
          <w:color w:val="auto"/>
          <w:highlight w:val="none"/>
          <w:lang w:val="en-US" w:eastAsia="zh-CN"/>
        </w:rPr>
        <w:t>_</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lang w:val="en-US" w:eastAsia="zh-CN"/>
        </w:rPr>
        <w:t>_履约保证金的形式为</w:t>
      </w:r>
      <w:r>
        <w:rPr>
          <w:rFonts w:hint="eastAsia" w:ascii="Times New Roman" w:hAnsi="Times New Roman" w:cs="Times New Roman"/>
          <w:color w:val="auto"/>
          <w:highlight w:val="none"/>
          <w:u w:val="single"/>
          <w:lang w:val="en-US" w:eastAsia="zh-CN"/>
        </w:rPr>
        <w:t xml:space="preserve"> 电子转账 </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7.</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不能按本章第7.</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.1项要求提交履约保证金的，视为放弃</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还应当对超过部分予以赔偿。</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21" w:name="_Toc14201253"/>
      <w:bookmarkStart w:id="122" w:name="_Toc26656984"/>
      <w:r>
        <w:rPr>
          <w:rFonts w:hint="default" w:ascii="Times New Roman" w:hAnsi="Times New Roman" w:eastAsia="黑体" w:cs="Times New Roman"/>
          <w:bCs/>
          <w:color w:val="auto"/>
          <w:sz w:val="24"/>
          <w:szCs w:val="32"/>
          <w:highlight w:val="none"/>
        </w:rPr>
        <w:t>7.</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签订合同</w:t>
      </w:r>
      <w:bookmarkEnd w:id="121"/>
      <w:bookmarkEnd w:id="122"/>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应在</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内以及</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通知书发出之日起30日内，根据</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订立书面合同。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无正当理由拒签合同，在签订合同时向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提出附加条件，或不按照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要求提交履约保证金的，</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取消其</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还应对超过部分予以赔偿。</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3" w:name="_Toc14201257"/>
      <w:bookmarkStart w:id="124" w:name="_Toc26656988"/>
      <w:bookmarkStart w:id="125" w:name="_Toc9067727"/>
      <w:r>
        <w:rPr>
          <w:rFonts w:hint="default"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纪律和监督</w:t>
      </w:r>
      <w:bookmarkEnd w:id="123"/>
      <w:bookmarkEnd w:id="124"/>
      <w:bookmarkEnd w:id="125"/>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不得相互串通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，不得向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或</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成员行贿谋取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，不得以他人名义</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或以其他方式弄虚作假骗取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不得以任何方式干扰、影响评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工作。</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6" w:name="_Toc14201262"/>
      <w:bookmarkStart w:id="127" w:name="_Toc26656993"/>
      <w:r>
        <w:rPr>
          <w:rFonts w:hint="eastAsia" w:ascii="Times New Roman" w:hAnsi="Times New Roman" w:eastAsia="黑体" w:cs="Times New Roman"/>
          <w:bCs/>
          <w:color w:val="auto"/>
          <w:sz w:val="24"/>
          <w:szCs w:val="32"/>
          <w:highlight w:val="none"/>
          <w:lang w:val="en-US" w:eastAsia="zh-CN"/>
        </w:rPr>
        <w:t>9</w:t>
      </w:r>
      <w:r>
        <w:rPr>
          <w:rFonts w:hint="default" w:ascii="Times New Roman" w:hAnsi="Times New Roman" w:eastAsia="黑体" w:cs="Times New Roman"/>
          <w:bCs/>
          <w:color w:val="auto"/>
          <w:sz w:val="24"/>
          <w:szCs w:val="32"/>
          <w:highlight w:val="none"/>
        </w:rPr>
        <w:t xml:space="preserve"> 投诉</w:t>
      </w:r>
      <w:bookmarkEnd w:id="126"/>
      <w:bookmarkEnd w:id="127"/>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或其他利害关系人认为</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活动不符合法律法规规定的，可以自知道或应当知道之日起10日内向有关监督部门投诉。投诉应有明确的请求和必要的证明材料。</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监督部门</w:t>
      </w:r>
      <w:r>
        <w:rPr>
          <w:rFonts w:hint="eastAsia" w:ascii="Times New Roman" w:hAnsi="Times New Roman" w:cs="Times New Roman"/>
          <w:color w:val="auto"/>
          <w:highlight w:val="none"/>
          <w:lang w:val="en-US" w:eastAsia="zh-CN"/>
        </w:rPr>
        <w:t>及</w:t>
      </w:r>
      <w:r>
        <w:rPr>
          <w:rFonts w:hint="default" w:ascii="Times New Roman" w:hAnsi="Times New Roman" w:cs="Times New Roman"/>
          <w:color w:val="auto"/>
          <w:highlight w:val="none"/>
          <w:lang w:eastAsia="zh-CN"/>
        </w:rPr>
        <w:t>联系方式</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_____/__。</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8" w:name="_Toc14201263"/>
      <w:bookmarkStart w:id="129" w:name="_Toc9067731"/>
      <w:bookmarkStart w:id="130" w:name="_Toc26656994"/>
      <w:r>
        <w:rPr>
          <w:rFonts w:hint="eastAsia" w:ascii="Times New Roman" w:hAnsi="Times New Roman" w:eastAsia="黑体" w:cs="Times New Roman"/>
          <w:bCs/>
          <w:color w:val="auto"/>
          <w:sz w:val="24"/>
          <w:szCs w:val="32"/>
          <w:highlight w:val="none"/>
          <w:lang w:val="en-US" w:eastAsia="zh-CN"/>
        </w:rPr>
        <w:t>10</w:t>
      </w:r>
      <w:r>
        <w:rPr>
          <w:rFonts w:hint="default" w:ascii="Times New Roman" w:hAnsi="Times New Roman" w:eastAsia="黑体" w:cs="Times New Roman"/>
          <w:bCs/>
          <w:color w:val="auto"/>
          <w:sz w:val="24"/>
          <w:szCs w:val="32"/>
          <w:highlight w:val="none"/>
        </w:rPr>
        <w:t>.</w:t>
      </w:r>
      <w:r>
        <w:rPr>
          <w:rFonts w:hint="eastAsia" w:ascii="Times New Roman" w:hAnsi="Times New Roman" w:eastAsia="黑体" w:cs="Times New Roman"/>
          <w:bCs/>
          <w:color w:val="auto"/>
          <w:sz w:val="24"/>
          <w:szCs w:val="32"/>
          <w:highlight w:val="none"/>
          <w:lang w:val="en-US" w:eastAsia="zh-CN"/>
        </w:rPr>
        <w:t xml:space="preserve"> </w:t>
      </w:r>
      <w:r>
        <w:rPr>
          <w:rFonts w:hint="default" w:ascii="Times New Roman" w:hAnsi="Times New Roman" w:eastAsia="黑体" w:cs="Times New Roman"/>
          <w:bCs/>
          <w:color w:val="auto"/>
          <w:sz w:val="24"/>
          <w:szCs w:val="32"/>
          <w:highlight w:val="none"/>
        </w:rPr>
        <w:t>需要补充的其他内容</w:t>
      </w:r>
      <w:bookmarkEnd w:id="128"/>
      <w:bookmarkEnd w:id="129"/>
      <w:bookmarkEnd w:id="130"/>
    </w:p>
    <w:p>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需要补充的其他内容：</w:t>
      </w:r>
      <w:r>
        <w:rPr>
          <w:rFonts w:hint="eastAsia" w:ascii="Times New Roman" w:hAnsi="Times New Roman" w:cs="Times New Roman"/>
          <w:color w:val="auto"/>
          <w:highlight w:val="none"/>
          <w:lang w:val="en-US" w:eastAsia="zh-CN"/>
        </w:rPr>
        <w:t>__/___。</w:t>
      </w:r>
    </w:p>
    <w:p>
      <w:pPr>
        <w:widowControl/>
        <w:jc w:val="left"/>
        <w:rPr>
          <w:rFonts w:ascii="Times New Roman" w:hAnsi="Times New Roman" w:cs="Times New Roman"/>
        </w:rPr>
      </w:pPr>
      <w:r>
        <w:rPr>
          <w:rFonts w:ascii="Times New Roman" w:hAnsi="Times New Roman" w:cs="Times New Roman"/>
        </w:rPr>
        <w:br w:type="page"/>
      </w:r>
    </w:p>
    <w:p>
      <w:pPr>
        <w:pageBreakBefore w:val="0"/>
        <w:kinsoku/>
        <w:overflowPunct/>
        <w:topLinePunct/>
        <w:bidi w:val="0"/>
        <w:adjustRightInd w:val="0"/>
        <w:snapToGrid w:val="0"/>
        <w:spacing w:beforeAutospacing="0" w:afterAutospacing="0" w:line="240" w:lineRule="auto"/>
        <w:ind w:left="0" w:leftChars="0" w:right="0" w:rightChars="0"/>
        <w:jc w:val="both"/>
        <w:rPr>
          <w:rFonts w:hint="eastAsia" w:ascii="黑体" w:hAnsi="黑体" w:eastAsia="黑体" w:cs="黑体"/>
          <w:b w:val="0"/>
          <w:bCs w:val="0"/>
          <w:sz w:val="28"/>
          <w:szCs w:val="28"/>
        </w:rPr>
      </w:pPr>
      <w:bookmarkStart w:id="131" w:name="_Toc23501_WPSOffice_Level2"/>
      <w:r>
        <w:rPr>
          <w:rFonts w:hint="default" w:ascii="Times New Roman" w:hAnsi="Times New Roman" w:eastAsia="黑体" w:cs="Times New Roman"/>
          <w:sz w:val="28"/>
          <w:szCs w:val="28"/>
        </w:rPr>
        <w:t>附件一</w:t>
      </w:r>
      <w:r>
        <w:rPr>
          <w:rFonts w:hint="eastAsia" w:ascii="黑体" w:hAnsi="黑体" w:eastAsia="黑体" w:cs="黑体"/>
          <w:b w:val="0"/>
          <w:bCs w:val="0"/>
          <w:sz w:val="28"/>
          <w:szCs w:val="28"/>
        </w:rPr>
        <w:t>：</w:t>
      </w:r>
    </w:p>
    <w:p>
      <w:pPr>
        <w:pageBreakBefore w:val="0"/>
        <w:kinsoku/>
        <w:overflowPunct/>
        <w:topLinePunct/>
        <w:bidi w:val="0"/>
        <w:adjustRightInd w:val="0"/>
        <w:snapToGrid w:val="0"/>
        <w:spacing w:beforeAutospacing="0" w:afterAutospacing="0" w:line="240" w:lineRule="auto"/>
        <w:ind w:left="0" w:leftChars="0" w:right="0" w:rightChars="0"/>
        <w:jc w:val="center"/>
        <w:rPr>
          <w:rStyle w:val="38"/>
          <w:rFonts w:hint="eastAsia" w:ascii="方正小标宋简体" w:hAnsi="方正小标宋简体" w:eastAsia="方正小标宋简体" w:cs="方正小标宋简体"/>
          <w:b w:val="0"/>
          <w:bCs w:val="0"/>
          <w:sz w:val="32"/>
          <w:szCs w:val="36"/>
        </w:rPr>
      </w:pPr>
      <w:r>
        <w:rPr>
          <w:rFonts w:hint="eastAsia" w:ascii="黑体" w:hAnsi="黑体" w:eastAsia="黑体" w:cs="黑体"/>
          <w:b w:val="0"/>
          <w:bCs w:val="0"/>
          <w:sz w:val="28"/>
          <w:szCs w:val="28"/>
        </w:rPr>
        <w:t>履约</w:t>
      </w:r>
      <w:r>
        <w:rPr>
          <w:rFonts w:hint="eastAsia" w:ascii="黑体" w:hAnsi="黑体" w:eastAsia="黑体" w:cs="黑体"/>
          <w:b w:val="0"/>
          <w:bCs w:val="0"/>
          <w:sz w:val="28"/>
          <w:szCs w:val="32"/>
        </w:rPr>
        <w:t>保证金</w:t>
      </w:r>
      <w:r>
        <w:rPr>
          <w:rFonts w:hint="eastAsia" w:ascii="黑体" w:hAnsi="黑体" w:eastAsia="黑体" w:cs="黑体"/>
          <w:b w:val="0"/>
          <w:bCs w:val="0"/>
          <w:sz w:val="28"/>
          <w:szCs w:val="28"/>
        </w:rPr>
        <w:t>格式</w:t>
      </w:r>
      <w:bookmarkEnd w:id="131"/>
    </w:p>
    <w:p>
      <w:pPr>
        <w:snapToGrid w:val="0"/>
        <w:spacing w:line="440" w:lineRule="exact"/>
        <w:rPr>
          <w:rFonts w:ascii="Times New Roman" w:hAnsi="Times New Roman" w:cs="Times New Roman"/>
          <w:szCs w:val="21"/>
        </w:rPr>
      </w:pPr>
      <w:r>
        <w:rPr>
          <w:rFonts w:ascii="Times New Roman" w:hAnsi="Times New Roman" w:cs="Times New Roman"/>
          <w:szCs w:val="21"/>
        </w:rPr>
        <w:t>如采用银行保函，格式如下。</w:t>
      </w:r>
    </w:p>
    <w:p>
      <w:pPr>
        <w:spacing w:line="440" w:lineRule="exact"/>
        <w:ind w:firstLine="2520" w:firstLineChars="1200"/>
        <w:rPr>
          <w:rFonts w:ascii="Times New Roman" w:hAnsi="Times New Roman" w:cs="Times New Roman"/>
          <w:szCs w:val="21"/>
        </w:rPr>
      </w:pPr>
    </w:p>
    <w:p>
      <w:pPr>
        <w:spacing w:line="440" w:lineRule="exact"/>
        <w:ind w:firstLine="480"/>
        <w:jc w:val="center"/>
        <w:rPr>
          <w:rFonts w:ascii="Times New Roman" w:hAnsi="Times New Roman" w:cs="Times New Roman"/>
          <w:sz w:val="21"/>
          <w:szCs w:val="21"/>
        </w:rPr>
      </w:pPr>
      <w:r>
        <w:rPr>
          <w:rFonts w:ascii="Times New Roman" w:hAnsi="Times New Roman" w:cs="Times New Roman"/>
          <w:sz w:val="21"/>
          <w:szCs w:val="21"/>
        </w:rPr>
        <w:t>履 约 保 证 金</w:t>
      </w:r>
    </w:p>
    <w:p>
      <w:pPr>
        <w:spacing w:line="440" w:lineRule="exact"/>
        <w:rPr>
          <w:rFonts w:ascii="Times New Roman" w:hAnsi="Times New Roman" w:cs="Times New Roman"/>
          <w:szCs w:val="21"/>
        </w:rPr>
      </w:pPr>
    </w:p>
    <w:p>
      <w:pPr>
        <w:spacing w:line="440" w:lineRule="exac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w:t>
      </w:r>
    </w:p>
    <w:p>
      <w:pPr>
        <w:spacing w:line="440" w:lineRule="exact"/>
        <w:rPr>
          <w:rFonts w:ascii="Times New Roman" w:hAnsi="Times New Roman" w:cs="Times New Roman"/>
          <w:szCs w:val="21"/>
        </w:rPr>
      </w:pPr>
    </w:p>
    <w:p>
      <w:pPr>
        <w:spacing w:line="440" w:lineRule="exact"/>
        <w:ind w:firstLine="525" w:firstLineChars="250"/>
        <w:rPr>
          <w:rFonts w:ascii="Times New Roman" w:hAnsi="Times New Roman" w:cs="Times New Roman"/>
          <w:szCs w:val="21"/>
        </w:rPr>
      </w:pPr>
      <w:r>
        <w:rPr>
          <w:rFonts w:ascii="Times New Roman" w:hAnsi="Times New Roman" w:cs="Times New Roman"/>
          <w:szCs w:val="21"/>
        </w:rPr>
        <w:t>鉴于</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名称，以下简称</w:t>
      </w:r>
      <w:r>
        <w:rPr>
          <w:rFonts w:hint="eastAsia" w:asciiTheme="minorEastAsia" w:hAnsiTheme="minorEastAsia" w:eastAsiaTheme="minorEastAsia" w:cstheme="minorEastAsia"/>
          <w:szCs w:val="21"/>
        </w:rPr>
        <w:t>“甲方”</w:t>
      </w:r>
      <w:r>
        <w:rPr>
          <w:rFonts w:ascii="Times New Roman" w:hAnsi="Times New Roman" w:cs="Times New Roman"/>
          <w:szCs w:val="21"/>
        </w:rPr>
        <w:t>)接受</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名称)(以下称“</w:t>
      </w:r>
      <w:r>
        <w:rPr>
          <w:rFonts w:hint="eastAsia" w:ascii="Times New Roman" w:hAnsi="Times New Roman" w:cs="Times New Roman"/>
          <w:szCs w:val="21"/>
        </w:rPr>
        <w:t>乙方</w:t>
      </w:r>
      <w:r>
        <w:rPr>
          <w:rFonts w:ascii="Times New Roman" w:hAnsi="Times New Roman" w:cs="Times New Roman"/>
          <w:szCs w:val="21"/>
        </w:rPr>
        <w:t>”)于</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日参加</w:t>
      </w:r>
      <w:r>
        <w:rPr>
          <w:rFonts w:ascii="Times New Roman" w:hAnsi="Times New Roman" w:cs="Times New Roman"/>
          <w:szCs w:val="21"/>
          <w:u w:val="single"/>
        </w:rPr>
        <w:t xml:space="preserve">           </w:t>
      </w:r>
      <w:r>
        <w:rPr>
          <w:rFonts w:ascii="Times New Roman" w:hAnsi="Times New Roman" w:cs="Times New Roman"/>
          <w:szCs w:val="21"/>
        </w:rPr>
        <w:t>(项目名称)的报价。我方愿意无条件地、不可撤销地就</w:t>
      </w:r>
      <w:r>
        <w:rPr>
          <w:rFonts w:hint="eastAsia" w:ascii="Times New Roman" w:hAnsi="Times New Roman" w:cs="Times New Roman"/>
          <w:szCs w:val="21"/>
        </w:rPr>
        <w:t>乙方</w:t>
      </w:r>
      <w:r>
        <w:rPr>
          <w:rFonts w:ascii="Times New Roman" w:hAnsi="Times New Roman" w:cs="Times New Roman"/>
          <w:szCs w:val="21"/>
        </w:rPr>
        <w:t>履行与你方订立的合同，向你方提供担保。</w:t>
      </w:r>
    </w:p>
    <w:p>
      <w:pPr>
        <w:spacing w:line="440" w:lineRule="exact"/>
        <w:ind w:left="367" w:leftChars="175"/>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担保金额人民币(大写)</w:t>
      </w:r>
      <w:r>
        <w:rPr>
          <w:rFonts w:ascii="Times New Roman" w:hAnsi="Times New Roman" w:cs="Times New Roman"/>
          <w:szCs w:val="21"/>
          <w:u w:val="single"/>
        </w:rPr>
        <w:t xml:space="preserve">              </w:t>
      </w:r>
      <w:r>
        <w:rPr>
          <w:rFonts w:ascii="Times New Roman" w:hAnsi="Times New Roman" w:cs="Times New Roman"/>
          <w:szCs w:val="21"/>
        </w:rPr>
        <w:t xml:space="preserve"> 元(¥</w:t>
      </w:r>
      <w:r>
        <w:rPr>
          <w:rFonts w:ascii="Times New Roman" w:hAnsi="Times New Roman" w:cs="Times New Roman"/>
          <w:szCs w:val="21"/>
          <w:u w:val="single"/>
        </w:rPr>
        <w:t xml:space="preserve">             </w:t>
      </w:r>
      <w:r>
        <w:rPr>
          <w:rFonts w:ascii="Times New Roman" w:hAnsi="Times New Roman" w:cs="Times New Roman"/>
          <w:szCs w:val="21"/>
        </w:rPr>
        <w:t>)。</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2、担保有效期自</w:t>
      </w:r>
      <w:r>
        <w:rPr>
          <w:rFonts w:hint="eastAsia" w:ascii="Times New Roman" w:hAnsi="Times New Roman" w:cs="Times New Roman"/>
          <w:szCs w:val="21"/>
        </w:rPr>
        <w:t>甲方</w:t>
      </w:r>
      <w:r>
        <w:rPr>
          <w:rFonts w:ascii="Times New Roman" w:hAnsi="Times New Roman" w:cs="Times New Roman"/>
          <w:szCs w:val="21"/>
        </w:rPr>
        <w:t>与</w:t>
      </w:r>
      <w:r>
        <w:rPr>
          <w:rFonts w:hint="eastAsia" w:ascii="Times New Roman" w:hAnsi="Times New Roman" w:cs="Times New Roman"/>
          <w:szCs w:val="21"/>
        </w:rPr>
        <w:t>乙方</w:t>
      </w:r>
      <w:r>
        <w:rPr>
          <w:rFonts w:ascii="Times New Roman" w:hAnsi="Times New Roman" w:cs="Times New Roman"/>
          <w:szCs w:val="21"/>
        </w:rPr>
        <w:t>签订的合同生效之日起至</w:t>
      </w:r>
      <w:r>
        <w:rPr>
          <w:rFonts w:hint="eastAsia" w:ascii="Times New Roman" w:hAnsi="Times New Roman" w:cs="Times New Roman"/>
          <w:szCs w:val="21"/>
        </w:rPr>
        <w:t>甲方验收本项目货物验收通过</w:t>
      </w:r>
      <w:r>
        <w:rPr>
          <w:rFonts w:ascii="Times New Roman" w:hAnsi="Times New Roman" w:cs="Times New Roman"/>
          <w:szCs w:val="21"/>
        </w:rPr>
        <w:t>之日止。</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3、在本担保有效期内，因</w:t>
      </w:r>
      <w:r>
        <w:rPr>
          <w:rFonts w:hint="eastAsia" w:ascii="Times New Roman" w:hAnsi="Times New Roman" w:cs="Times New Roman"/>
          <w:szCs w:val="21"/>
        </w:rPr>
        <w:t>乙方</w:t>
      </w:r>
      <w:r>
        <w:rPr>
          <w:rFonts w:ascii="Times New Roman" w:hAnsi="Times New Roman" w:cs="Times New Roman"/>
          <w:szCs w:val="21"/>
        </w:rPr>
        <w:t>违反合同约定的义务给你方造成经济损失时，我方在收到你方以书面形式提出的在担保金额内的赔偿要求后，在7天内无条件支付，无须你方出具证明或陈述理由。</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甲方</w:t>
      </w:r>
      <w:r>
        <w:rPr>
          <w:rFonts w:ascii="Times New Roman" w:hAnsi="Times New Roman" w:cs="Times New Roman"/>
          <w:szCs w:val="21"/>
        </w:rPr>
        <w:t>和</w:t>
      </w:r>
      <w:r>
        <w:rPr>
          <w:rFonts w:hint="eastAsia" w:ascii="Times New Roman" w:hAnsi="Times New Roman" w:cs="Times New Roman"/>
          <w:szCs w:val="21"/>
        </w:rPr>
        <w:t>乙方</w:t>
      </w:r>
      <w:r>
        <w:rPr>
          <w:rFonts w:ascii="Times New Roman" w:hAnsi="Times New Roman" w:cs="Times New Roman"/>
          <w:szCs w:val="21"/>
        </w:rPr>
        <w:t>按合同条款</w:t>
      </w:r>
      <w:r>
        <w:rPr>
          <w:rFonts w:hint="eastAsia" w:ascii="Times New Roman" w:hAnsi="Times New Roman" w:cs="Times New Roman"/>
          <w:szCs w:val="21"/>
        </w:rPr>
        <w:t>进行</w:t>
      </w:r>
      <w:r>
        <w:rPr>
          <w:rFonts w:ascii="Times New Roman" w:hAnsi="Times New Roman" w:cs="Times New Roman"/>
          <w:szCs w:val="21"/>
        </w:rPr>
        <w:t>变更合同时，无论我方是否收到该变更，我方承担本担保规定的义务不变。</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担 保 人 名 称：</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(盖单位章)</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法定代表人或其委托代理人：</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签名</w:t>
      </w:r>
      <w:r>
        <w:rPr>
          <w:rFonts w:ascii="Times New Roman" w:hAnsi="Times New Roman" w:cs="Times New Roman"/>
          <w:szCs w:val="21"/>
        </w:rPr>
        <w:t>)</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地    址：</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邮政编码：</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电    话：</w:t>
      </w:r>
      <w:r>
        <w:rPr>
          <w:rFonts w:ascii="Times New Roman" w:hAnsi="Times New Roman" w:cs="Times New Roman"/>
          <w:szCs w:val="21"/>
          <w:u w:val="single"/>
        </w:rPr>
        <w:t xml:space="preserve">                         </w:t>
      </w:r>
      <w:r>
        <w:rPr>
          <w:rFonts w:ascii="Times New Roman" w:hAnsi="Times New Roman" w:cs="Times New Roman"/>
          <w:szCs w:val="21"/>
        </w:rPr>
        <w:t xml:space="preserve"> </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传    真：</w:t>
      </w:r>
      <w:r>
        <w:rPr>
          <w:rFonts w:ascii="Times New Roman" w:hAnsi="Times New Roman" w:cs="Times New Roman"/>
          <w:szCs w:val="21"/>
          <w:u w:val="single"/>
        </w:rPr>
        <w:t xml:space="preserve">                         </w:t>
      </w:r>
      <w:r>
        <w:rPr>
          <w:rFonts w:ascii="Times New Roman" w:hAnsi="Times New Roman" w:cs="Times New Roman"/>
          <w:szCs w:val="21"/>
        </w:rPr>
        <w:t xml:space="preserve"> </w:t>
      </w:r>
    </w:p>
    <w:p>
      <w:pPr>
        <w:spacing w:line="440" w:lineRule="exact"/>
        <w:ind w:firstLine="3689" w:firstLineChars="1757"/>
        <w:rPr>
          <w:rFonts w:ascii="Times New Roman" w:hAnsi="Times New Roman" w:cs="Times New Roman"/>
          <w:sz w:val="24"/>
        </w:rPr>
      </w:pPr>
      <w:r>
        <w:rPr>
          <w:rFonts w:ascii="Times New Roman" w:hAnsi="Times New Roman" w:cs="Times New Roman"/>
          <w:szCs w:val="21"/>
          <w:u w:val="single"/>
        </w:rPr>
        <w:t xml:space="preserve">       </w:t>
      </w:r>
      <w:r>
        <w:rPr>
          <w:rFonts w:ascii="Times New Roman" w:hAnsi="Times New Roman" w:cs="Times New Roman"/>
          <w:szCs w:val="21"/>
        </w:rPr>
        <w:t xml:space="preserve"> 年</w:t>
      </w:r>
      <w:r>
        <w:rPr>
          <w:rFonts w:ascii="Times New Roman" w:hAnsi="Times New Roman" w:cs="Times New Roman"/>
          <w:szCs w:val="21"/>
          <w:u w:val="single"/>
        </w:rPr>
        <w:t xml:space="preserve">      </w:t>
      </w:r>
      <w:r>
        <w:rPr>
          <w:rFonts w:ascii="Times New Roman" w:hAnsi="Times New Roman" w:cs="Times New Roman"/>
          <w:szCs w:val="21"/>
        </w:rPr>
        <w:t xml:space="preserve">月 </w:t>
      </w:r>
      <w:r>
        <w:rPr>
          <w:rFonts w:ascii="Times New Roman" w:hAnsi="Times New Roman" w:cs="Times New Roman"/>
          <w:szCs w:val="21"/>
          <w:u w:val="single"/>
        </w:rPr>
        <w:t xml:space="preserve">     </w:t>
      </w:r>
      <w:r>
        <w:rPr>
          <w:rFonts w:ascii="Times New Roman" w:hAnsi="Times New Roman" w:cs="Times New Roman"/>
          <w:szCs w:val="21"/>
        </w:rPr>
        <w:t>日</w:t>
      </w:r>
    </w:p>
    <w:p>
      <w:pPr>
        <w:pStyle w:val="8"/>
        <w:ind w:firstLine="0"/>
        <w:rPr>
          <w:rFonts w:ascii="Times New Roman" w:hAnsi="Times New Roman" w:cs="Times New Roman"/>
        </w:rPr>
      </w:pPr>
    </w:p>
    <w:p>
      <w:pPr>
        <w:snapToGrid w:val="0"/>
        <w:spacing w:line="440" w:lineRule="exact"/>
        <w:rPr>
          <w:rFonts w:ascii="Times New Roman" w:hAnsi="Times New Roman" w:eastAsia="宋体" w:cs="Times New Roman"/>
        </w:rPr>
      </w:pPr>
      <w:r>
        <w:rPr>
          <w:rFonts w:ascii="Times New Roman" w:hAnsi="Times New Roman" w:cs="Times New Roman"/>
          <w:szCs w:val="21"/>
        </w:rPr>
        <w:br w:type="page"/>
      </w:r>
    </w:p>
    <w:p>
      <w:pPr>
        <w:pStyle w:val="3"/>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132" w:name="_Toc15674"/>
      <w:r>
        <w:rPr>
          <w:rFonts w:ascii="Times New Roman" w:hAnsi="Times New Roman" w:eastAsia="宋体" w:cs="Times New Roman"/>
        </w:rPr>
        <w:t>评审办法</w:t>
      </w:r>
      <w:bookmarkEnd w:id="132"/>
    </w:p>
    <w:p>
      <w:pPr>
        <w:rPr>
          <w:rFonts w:ascii="Times New Roman" w:hAnsi="Times New Roman" w:eastAsia="宋体" w:cs="Times New Roman"/>
        </w:rPr>
      </w:pPr>
    </w:p>
    <w:p>
      <w:pPr>
        <w:spacing w:afterLines="100" w:line="420" w:lineRule="exact"/>
        <w:jc w:val="center"/>
        <w:rPr>
          <w:rFonts w:ascii="Times New Roman" w:hAnsi="Times New Roman" w:eastAsia="黑体" w:cs="Times New Roman"/>
          <w:sz w:val="28"/>
          <w:szCs w:val="28"/>
          <w:highlight w:val="none"/>
        </w:rPr>
      </w:pPr>
      <w:bookmarkStart w:id="133" w:name="_Toc152045528"/>
      <w:bookmarkStart w:id="134" w:name="_Toc457482536"/>
      <w:bookmarkStart w:id="135" w:name="_Toc14847"/>
      <w:bookmarkStart w:id="136" w:name="_Toc447808662"/>
      <w:bookmarkStart w:id="137" w:name="_Toc3834"/>
      <w:bookmarkStart w:id="138" w:name="_Toc152042304"/>
      <w:bookmarkStart w:id="139" w:name="_Toc144974496"/>
      <w:bookmarkStart w:id="140" w:name="_Toc14098"/>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2包段通用</w:t>
      </w:r>
      <w:r>
        <w:rPr>
          <w:rFonts w:hint="eastAsia" w:ascii="Times New Roman" w:hAnsi="Times New Roman" w:eastAsia="黑体" w:cs="Times New Roman"/>
          <w:color w:val="auto"/>
          <w:sz w:val="28"/>
          <w:szCs w:val="28"/>
          <w:highlight w:val="none"/>
          <w:lang w:eastAsia="zh-CN"/>
        </w:rPr>
        <w:t>）</w:t>
      </w:r>
    </w:p>
    <w:p>
      <w:pPr>
        <w:pStyle w:val="48"/>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r>
        <w:rPr>
          <w:rFonts w:hint="eastAsia" w:ascii="宋体" w:hAnsi="宋体" w:eastAsia="宋体"/>
          <w:b/>
          <w:bCs/>
          <w:szCs w:val="28"/>
          <w:highlight w:val="none"/>
        </w:rPr>
        <w:t>前附表</w:t>
      </w:r>
      <w:bookmarkEnd w:id="133"/>
      <w:bookmarkEnd w:id="134"/>
      <w:bookmarkEnd w:id="135"/>
      <w:bookmarkEnd w:id="136"/>
      <w:bookmarkEnd w:id="137"/>
      <w:bookmarkEnd w:id="138"/>
      <w:bookmarkEnd w:id="139"/>
      <w:r>
        <w:rPr>
          <w:rFonts w:hint="eastAsia" w:ascii="宋体" w:hAnsi="宋体" w:eastAsia="宋体"/>
          <w:b/>
          <w:bCs/>
          <w:szCs w:val="28"/>
          <w:highlight w:val="none"/>
        </w:rPr>
        <w:t>A</w:t>
      </w:r>
    </w:p>
    <w:tbl>
      <w:tblPr>
        <w:tblStyle w:val="26"/>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条款号</w:t>
            </w:r>
          </w:p>
        </w:tc>
        <w:tc>
          <w:tcPr>
            <w:tcW w:w="1774"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评审因素</w:t>
            </w:r>
          </w:p>
        </w:tc>
        <w:tc>
          <w:tcPr>
            <w:tcW w:w="5676"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1</w:t>
            </w:r>
          </w:p>
        </w:tc>
        <w:tc>
          <w:tcPr>
            <w:tcW w:w="1060"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评审方法</w:t>
            </w:r>
          </w:p>
        </w:tc>
        <w:tc>
          <w:tcPr>
            <w:tcW w:w="1774" w:type="dxa"/>
            <w:tcMar>
              <w:left w:w="75" w:type="dxa"/>
            </w:tcMar>
            <w:vAlign w:val="center"/>
          </w:tcPr>
          <w:p>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排序方法</w:t>
            </w:r>
          </w:p>
        </w:tc>
        <w:tc>
          <w:tcPr>
            <w:tcW w:w="5676" w:type="dxa"/>
            <w:tcMar>
              <w:left w:w="75"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）商务及技术文件得分较高的投标人优先；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）投标文件提供的业绩累计合同金额大的投标人优先。 </w:t>
            </w:r>
          </w:p>
        </w:tc>
      </w:tr>
    </w:tbl>
    <w:tbl>
      <w:tblPr>
        <w:tblStyle w:val="26"/>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945" w:type="dxa"/>
            <w:vAlign w:val="center"/>
          </w:tcPr>
          <w:p>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Times New Roman" w:hAnsi="Times New Roman" w:eastAsia="宋体" w:cs="Times New Roman"/>
                <w:highlight w:val="none"/>
                <w:vertAlign w:val="baseline"/>
                <w:lang w:val="en-US" w:eastAsia="zh-CN"/>
              </w:rPr>
              <w:t>通过商务及技术文件评审，打分前N名值的确定</w:t>
            </w:r>
          </w:p>
        </w:tc>
        <w:tc>
          <w:tcPr>
            <w:tcW w:w="6375" w:type="dxa"/>
            <w:vAlign w:val="center"/>
          </w:tcPr>
          <w:tbl>
            <w:tblPr>
              <w:tblStyle w:val="27"/>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通过资格审查的投标人数量（T）</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商务及技术文件评审打分排名（N）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T＞8</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pPr>
                    <w:jc w:val="center"/>
                    <w:rPr>
                      <w:rFonts w:hint="eastAsia"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5＜T≤8</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3≤T≤5</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N=3</w:t>
                  </w:r>
                </w:p>
              </w:tc>
            </w:tr>
          </w:tbl>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 xml:space="preserve">说明：如出现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家投标人商务技术文件得分相同的情况，其名次并列为第 </w:t>
            </w:r>
            <w:r>
              <w:rPr>
                <w:rFonts w:hint="default" w:ascii="Times New Roman" w:hAnsi="Times New Roman" w:eastAsia="宋体" w:cs="Times New Roman"/>
                <w:color w:val="000000"/>
                <w:kern w:val="0"/>
                <w:sz w:val="21"/>
                <w:szCs w:val="21"/>
                <w:highlight w:val="none"/>
                <w:lang w:val="en-US" w:eastAsia="zh-CN" w:bidi="ar"/>
              </w:rPr>
              <w:t xml:space="preserve">B </w:t>
            </w:r>
            <w:r>
              <w:rPr>
                <w:rFonts w:hint="eastAsia" w:ascii="宋体" w:hAnsi="宋体" w:eastAsia="宋体" w:cs="宋体"/>
                <w:color w:val="000000"/>
                <w:kern w:val="0"/>
                <w:sz w:val="21"/>
                <w:szCs w:val="21"/>
                <w:highlight w:val="none"/>
                <w:lang w:val="en-US" w:eastAsia="zh-CN" w:bidi="ar"/>
              </w:rPr>
              <w:t xml:space="preserve">名，则排名在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家投标人之后的投标人的名次从第 </w:t>
            </w:r>
            <w:r>
              <w:rPr>
                <w:rFonts w:hint="default" w:ascii="Times New Roman" w:hAnsi="Times New Roman" w:eastAsia="宋体" w:cs="Times New Roman"/>
                <w:color w:val="000000"/>
                <w:kern w:val="0"/>
                <w:sz w:val="21"/>
                <w:szCs w:val="21"/>
                <w:highlight w:val="none"/>
                <w:lang w:val="en-US" w:eastAsia="zh-CN" w:bidi="ar"/>
              </w:rPr>
              <w:t xml:space="preserve">B+A </w:t>
            </w:r>
            <w:r>
              <w:rPr>
                <w:rFonts w:hint="eastAsia" w:ascii="宋体" w:hAnsi="宋体" w:eastAsia="宋体" w:cs="宋体"/>
                <w:color w:val="000000"/>
                <w:kern w:val="0"/>
                <w:sz w:val="21"/>
                <w:szCs w:val="21"/>
                <w:highlight w:val="none"/>
                <w:lang w:val="en-US" w:eastAsia="zh-CN" w:bidi="ar"/>
              </w:rPr>
              <w:t xml:space="preserve">名开始依次计列。 </w:t>
            </w:r>
          </w:p>
        </w:tc>
      </w:tr>
    </w:tbl>
    <w:p>
      <w:pPr>
        <w:rPr>
          <w:rFonts w:hint="eastAsia"/>
          <w:highlight w:val="none"/>
        </w:rPr>
      </w:pPr>
    </w:p>
    <w:tbl>
      <w:tblPr>
        <w:tblStyle w:val="26"/>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形式评审</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与响应性</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评审标准</w:t>
            </w:r>
          </w:p>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7418" w:type="dxa"/>
            <w:tcMar>
              <w:left w:w="75"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第一个信封（商务及技术文件）评审标准：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）响应文件按照询比文件规定的格式、内容填写，字迹清晰可辨。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）响应文件上法定代表人或其委托代理人的签字、供应商的单位盖章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齐全，符合询比文件规定。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）投标人按照询比文件的规定提供了投标保证金。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）本项目不接受联合体投标。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）同一投标人未提交两个以上不同的投标文件。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b w:val="0"/>
                <w:bCs w:val="0"/>
                <w:color w:val="000000"/>
                <w:kern w:val="0"/>
                <w:sz w:val="22"/>
                <w:szCs w:val="22"/>
                <w:highlight w:val="none"/>
                <w:lang w:val="en-US" w:eastAsia="zh-CN" w:bidi="ar"/>
              </w:rPr>
              <w:t>商务及技术文件中未出现有关投标报价的内容。</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7</w:t>
            </w:r>
            <w:r>
              <w:rPr>
                <w:rFonts w:hint="eastAsia" w:ascii="宋体" w:hAnsi="宋体" w:eastAsia="宋体" w:cs="宋体"/>
                <w:color w:val="000000"/>
                <w:kern w:val="0"/>
                <w:sz w:val="22"/>
                <w:szCs w:val="22"/>
                <w:highlight w:val="none"/>
                <w:lang w:val="en-US" w:eastAsia="zh-CN" w:bidi="ar"/>
              </w:rPr>
              <w:t xml:space="preserve">）投标人对其信誉情况的承诺与事实相符。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8</w:t>
            </w:r>
            <w:r>
              <w:rPr>
                <w:rFonts w:hint="eastAsia" w:ascii="宋体" w:hAnsi="宋体" w:eastAsia="宋体" w:cs="宋体"/>
                <w:color w:val="000000"/>
                <w:kern w:val="0"/>
                <w:sz w:val="22"/>
                <w:szCs w:val="22"/>
                <w:highlight w:val="none"/>
                <w:lang w:val="en-US" w:eastAsia="zh-CN" w:bidi="ar"/>
              </w:rPr>
              <w:t xml:space="preserve">）投标文件未附有招标人不能接受的条件。 </w:t>
            </w:r>
          </w:p>
          <w:p>
            <w:pPr>
              <w:keepNext w:val="0"/>
              <w:keepLines w:val="0"/>
              <w:widowControl/>
              <w:suppressLineNumbers w:val="0"/>
              <w:jc w:val="left"/>
              <w:rPr>
                <w:highlight w:val="none"/>
              </w:rPr>
            </w:pPr>
            <w:r>
              <w:rPr>
                <w:rFonts w:hint="eastAsia" w:ascii="黑体" w:hAnsi="宋体" w:eastAsia="黑体" w:cs="黑体"/>
                <w:color w:val="000000"/>
                <w:kern w:val="0"/>
                <w:sz w:val="22"/>
                <w:szCs w:val="22"/>
                <w:highlight w:val="none"/>
                <w:lang w:val="en-US" w:eastAsia="zh-CN" w:bidi="ar"/>
              </w:rPr>
              <w:t xml:space="preserve">第二个信封（报价文件）评审标准：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）报价文件按照询比文件规定的格式、内容填写，字迹清晰可辨： </w:t>
            </w:r>
          </w:p>
          <w:p>
            <w:pPr>
              <w:keepNext w:val="0"/>
              <w:keepLines w:val="0"/>
              <w:widowControl/>
              <w:suppressLineNumbers w:val="0"/>
              <w:jc w:val="left"/>
              <w:rPr>
                <w:highlight w:val="none"/>
              </w:rPr>
            </w:pPr>
            <w:r>
              <w:rPr>
                <w:rFonts w:hint="eastAsia" w:ascii="Times New Roman" w:hAnsi="Times New Roman" w:eastAsia="宋体" w:cs="Times New Roman"/>
                <w:color w:val="000000"/>
                <w:kern w:val="0"/>
                <w:sz w:val="22"/>
                <w:szCs w:val="22"/>
                <w:highlight w:val="none"/>
                <w:lang w:val="en-US" w:eastAsia="zh-CN" w:bidi="ar"/>
              </w:rPr>
              <w:t>a</w:t>
            </w:r>
            <w:r>
              <w:rPr>
                <w:rFonts w:hint="default" w:ascii="Times New Roman" w:hAnsi="Times New Roman" w:eastAsia="宋体" w:cs="Times New Roman"/>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val="en-US" w:eastAsia="zh-CN" w:bidi="ar"/>
              </w:rPr>
              <w:t xml:space="preserve">按询比文件规定填报了采购人名称、项目名称、补遗书编号（如有）、投标价（包括大写金额和小写金额）；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b.</w:t>
            </w:r>
            <w:r>
              <w:rPr>
                <w:rFonts w:hint="eastAsia" w:ascii="宋体" w:hAnsi="宋体" w:eastAsia="宋体" w:cs="宋体"/>
                <w:color w:val="000000"/>
                <w:kern w:val="0"/>
                <w:sz w:val="22"/>
                <w:szCs w:val="22"/>
                <w:highlight w:val="none"/>
                <w:lang w:val="en-US" w:eastAsia="zh-CN" w:bidi="ar"/>
              </w:rPr>
              <w:t xml:space="preserve">已标价工程量清单及说明文字与询比文件规定一致，未进行实质性修改和删减；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c.</w:t>
            </w:r>
            <w:r>
              <w:rPr>
                <w:rFonts w:hint="eastAsia" w:ascii="宋体" w:hAnsi="宋体" w:eastAsia="宋体" w:cs="宋体"/>
                <w:color w:val="000000"/>
                <w:kern w:val="0"/>
                <w:sz w:val="22"/>
                <w:szCs w:val="22"/>
                <w:highlight w:val="none"/>
                <w:lang w:val="en-US" w:eastAsia="zh-CN" w:bidi="ar"/>
              </w:rPr>
              <w:t xml:space="preserve">工程量清单中的投标报价与报价函大写金额报价一致；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d.</w:t>
            </w:r>
            <w:r>
              <w:rPr>
                <w:rFonts w:hint="eastAsia" w:ascii="宋体" w:hAnsi="宋体" w:eastAsia="宋体" w:cs="宋体"/>
                <w:color w:val="000000"/>
                <w:kern w:val="0"/>
                <w:sz w:val="22"/>
                <w:szCs w:val="22"/>
                <w:highlight w:val="none"/>
                <w:lang w:val="en-US" w:eastAsia="zh-CN" w:bidi="ar"/>
              </w:rPr>
              <w:t xml:space="preserve">报价文件组成齐全完整，内容均按规定填写。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）报价文件上法定代表人或其委托代理人的签字、供应商的单位章盖章齐全，符合询比文件规定。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）投标报价未超过询比文件设定的最高投标限价。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）投标报价的大写金额能够确定具体数值。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）同一投标人未提交两个以上不同的投标报价。 </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标准</w:t>
            </w:r>
          </w:p>
        </w:tc>
        <w:tc>
          <w:tcPr>
            <w:tcW w:w="7418" w:type="dxa"/>
            <w:tcMar>
              <w:left w:w="75"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）投标人具备有效的营业执照，具有独立完成本项目相关能力的生产厂家。 </w:t>
            </w:r>
            <w:r>
              <w:rPr>
                <w:rFonts w:hint="eastAsia" w:ascii="宋体" w:hAnsi="宋体" w:eastAsia="宋体" w:cs="宋体"/>
                <w:color w:val="000000"/>
                <w:kern w:val="0"/>
                <w:sz w:val="24"/>
                <w:szCs w:val="24"/>
                <w:highlight w:val="none"/>
                <w:lang w:val="en-US" w:eastAsia="zh-CN" w:bidi="ar"/>
              </w:rPr>
              <w:t xml:space="preserve">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）投标人的类似项目业绩符合询比文件规定。 </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）投标人的信誉符合询比文件规定。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bl>
    <w:p>
      <w:pPr>
        <w:pStyle w:val="48"/>
        <w:numPr>
          <w:ilvl w:val="0"/>
          <w:numId w:val="0"/>
        </w:numPr>
        <w:spacing w:before="0"/>
        <w:outlineLvl w:val="9"/>
        <w:rPr>
          <w:rFonts w:hint="eastAsia" w:ascii="宋体" w:hAnsi="宋体" w:eastAsia="宋体"/>
          <w:b/>
          <w:bCs/>
          <w:szCs w:val="28"/>
          <w:highlight w:val="none"/>
        </w:rPr>
      </w:pPr>
    </w:p>
    <w:p>
      <w:pPr>
        <w:pStyle w:val="48"/>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26"/>
        <w:tblpPr w:leftFromText="180" w:rightFromText="180" w:vertAnchor="text" w:horzAnchor="page" w:tblpXSpec="center" w:tblpY="57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860"/>
        <w:gridCol w:w="6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1" w:type="dxa"/>
            <w:vAlign w:val="center"/>
          </w:tcPr>
          <w:p>
            <w:pPr>
              <w:pStyle w:val="2"/>
              <w:adjustRightInd w:val="0"/>
              <w:snapToGrid w:val="0"/>
              <w:spacing w:after="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1860"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6483" w:type="dxa"/>
            <w:vAlign w:val="center"/>
          </w:tcPr>
          <w:p>
            <w:pPr>
              <w:adjustRightInd w:val="0"/>
              <w:spacing w:line="276"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41" w:type="dxa"/>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860"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第一个信封</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评分分值构</w:t>
            </w:r>
          </w:p>
          <w:p>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成</w:t>
            </w:r>
            <w:r>
              <w:rPr>
                <w:rFonts w:hint="eastAsia" w:ascii="宋体" w:hAnsi="宋体" w:eastAsia="宋体" w:cs="宋体"/>
                <w:sz w:val="21"/>
                <w:szCs w:val="21"/>
                <w:highlight w:val="none"/>
              </w:rPr>
              <w:t>（总分100分）</w:t>
            </w:r>
          </w:p>
        </w:tc>
        <w:tc>
          <w:tcPr>
            <w:tcW w:w="6483"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pPr>
              <w:bidi w:val="0"/>
              <w:rPr>
                <w:rFonts w:hint="eastAsia"/>
                <w:highlight w:val="none"/>
              </w:rPr>
            </w:pPr>
            <w:r>
              <w:rPr>
                <w:rFonts w:hint="eastAsia"/>
                <w:highlight w:val="none"/>
                <w:lang w:val="en-US" w:eastAsia="zh-CN"/>
              </w:rPr>
              <w:t>企业</w:t>
            </w:r>
            <w:r>
              <w:rPr>
                <w:rFonts w:hint="eastAsia"/>
                <w:highlight w:val="none"/>
              </w:rPr>
              <w:t>业绩：</w:t>
            </w:r>
            <w:r>
              <w:rPr>
                <w:rFonts w:hint="eastAsia"/>
                <w:highlight w:val="none"/>
                <w:u w:val="single"/>
              </w:rPr>
              <w:t xml:space="preserve">  </w:t>
            </w:r>
            <w:r>
              <w:rPr>
                <w:rFonts w:hint="eastAsia"/>
                <w:highlight w:val="none"/>
                <w:u w:val="single"/>
                <w:lang w:val="en-US" w:eastAsia="zh-CN"/>
              </w:rPr>
              <w:t xml:space="preserve">40 </w:t>
            </w:r>
            <w:r>
              <w:rPr>
                <w:rFonts w:hint="eastAsia"/>
                <w:highlight w:val="none"/>
                <w:u w:val="single"/>
              </w:rPr>
              <w:t xml:space="preserve"> </w:t>
            </w:r>
            <w:r>
              <w:rPr>
                <w:rFonts w:hint="eastAsia"/>
                <w:highlight w:val="none"/>
              </w:rPr>
              <w:t>分</w:t>
            </w:r>
          </w:p>
          <w:p>
            <w:pPr>
              <w:bidi w:val="0"/>
              <w:rPr>
                <w:rFonts w:hint="eastAsia"/>
                <w:highlight w:val="none"/>
                <w:lang w:val="en-US" w:eastAsia="zh-CN"/>
              </w:rPr>
            </w:pPr>
            <w:r>
              <w:rPr>
                <w:rFonts w:hint="eastAsia"/>
                <w:highlight w:val="none"/>
                <w:lang w:val="en-US" w:eastAsia="zh-CN"/>
              </w:rPr>
              <w:t>企业实力：</w:t>
            </w:r>
            <w:r>
              <w:rPr>
                <w:rFonts w:hint="eastAsia"/>
                <w:highlight w:val="none"/>
                <w:u w:val="single"/>
                <w:lang w:val="en-US" w:eastAsia="zh-CN"/>
              </w:rPr>
              <w:t xml:space="preserve">  32  </w:t>
            </w:r>
            <w:r>
              <w:rPr>
                <w:rFonts w:hint="eastAsia"/>
                <w:highlight w:val="none"/>
                <w:lang w:val="en-US" w:eastAsia="zh-CN"/>
              </w:rPr>
              <w:t>分</w:t>
            </w:r>
          </w:p>
          <w:p>
            <w:pPr>
              <w:pStyle w:val="2"/>
              <w:rPr>
                <w:rFonts w:hint="eastAsia"/>
                <w:highlight w:val="none"/>
                <w:lang w:val="en-US" w:eastAsia="zh-CN"/>
              </w:rPr>
            </w:pPr>
            <w:r>
              <w:rPr>
                <w:rFonts w:ascii="宋体" w:hAnsi="宋体" w:eastAsia="宋体" w:cs="宋体"/>
                <w:spacing w:val="-2"/>
                <w:sz w:val="21"/>
                <w:szCs w:val="21"/>
                <w:highlight w:val="none"/>
              </w:rPr>
              <w:t>生产</w:t>
            </w:r>
            <w:r>
              <w:rPr>
                <w:rFonts w:ascii="宋体" w:hAnsi="宋体" w:eastAsia="宋体" w:cs="宋体"/>
                <w:spacing w:val="-1"/>
                <w:sz w:val="21"/>
                <w:szCs w:val="21"/>
                <w:highlight w:val="none"/>
              </w:rPr>
              <w:t>体系认</w:t>
            </w:r>
            <w:r>
              <w:rPr>
                <w:rFonts w:ascii="宋体" w:hAnsi="宋体" w:eastAsia="宋体" w:cs="宋体"/>
                <w:sz w:val="21"/>
                <w:szCs w:val="21"/>
                <w:highlight w:val="none"/>
              </w:rPr>
              <w:t>证</w:t>
            </w:r>
            <w:r>
              <w:rPr>
                <w:rFonts w:hint="eastAsia"/>
                <w:highlight w:val="none"/>
                <w:lang w:val="en-US" w:eastAsia="zh-CN"/>
              </w:rPr>
              <w:t>：</w:t>
            </w:r>
            <w:r>
              <w:rPr>
                <w:rFonts w:hint="eastAsia"/>
                <w:highlight w:val="none"/>
                <w:u w:val="single"/>
                <w:lang w:val="en-US" w:eastAsia="zh-CN"/>
              </w:rPr>
              <w:t xml:space="preserve">  6  </w:t>
            </w:r>
            <w:r>
              <w:rPr>
                <w:rFonts w:hint="eastAsia"/>
                <w:highlight w:val="none"/>
                <w:lang w:val="en-US" w:eastAsia="zh-CN"/>
              </w:rPr>
              <w:t>分</w:t>
            </w:r>
          </w:p>
          <w:p>
            <w:pPr>
              <w:pStyle w:val="2"/>
              <w:rPr>
                <w:rFonts w:hint="eastAsia"/>
                <w:highlight w:val="none"/>
                <w:lang w:val="en-US" w:eastAsia="zh-CN"/>
              </w:rPr>
            </w:pPr>
            <w:r>
              <w:rPr>
                <w:rFonts w:hint="eastAsia" w:ascii="宋体" w:hAnsi="宋体" w:eastAsia="宋体" w:cs="宋体"/>
                <w:sz w:val="21"/>
                <w:szCs w:val="21"/>
                <w:highlight w:val="none"/>
                <w:lang w:val="en-US" w:eastAsia="zh-CN"/>
              </w:rPr>
              <w:t>技术指标评审：</w:t>
            </w:r>
            <w:r>
              <w:rPr>
                <w:rFonts w:hint="eastAsia"/>
                <w:highlight w:val="none"/>
                <w:u w:val="single"/>
                <w:lang w:val="en-US" w:eastAsia="zh-CN"/>
              </w:rPr>
              <w:t xml:space="preserve">  7  </w:t>
            </w:r>
            <w:r>
              <w:rPr>
                <w:rFonts w:hint="eastAsia"/>
                <w:highlight w:val="none"/>
                <w:lang w:val="en-US" w:eastAsia="zh-CN"/>
              </w:rPr>
              <w:t>分</w:t>
            </w:r>
          </w:p>
          <w:p>
            <w:pPr>
              <w:pStyle w:val="2"/>
              <w:rPr>
                <w:rFonts w:hint="default"/>
                <w:lang w:val="en-US" w:eastAsia="zh-CN"/>
              </w:rPr>
            </w:pPr>
            <w:r>
              <w:rPr>
                <w:rFonts w:hint="eastAsia" w:ascii="宋体" w:hAnsi="宋体" w:eastAsia="宋体" w:cs="宋体"/>
                <w:sz w:val="21"/>
                <w:szCs w:val="21"/>
                <w:highlight w:val="none"/>
                <w:lang w:val="en-US" w:eastAsia="zh-CN"/>
              </w:rPr>
              <w:t>供货方案：</w:t>
            </w:r>
            <w:r>
              <w:rPr>
                <w:rFonts w:hint="eastAsia"/>
                <w:highlight w:val="none"/>
                <w:u w:val="single"/>
                <w:lang w:val="en-US" w:eastAsia="zh-CN"/>
              </w:rPr>
              <w:t xml:space="preserve">  15  </w:t>
            </w:r>
            <w:r>
              <w:rPr>
                <w:rFonts w:hint="eastAsia"/>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41" w:type="dxa"/>
            <w:vAlign w:val="center"/>
          </w:tcPr>
          <w:p>
            <w:pPr>
              <w:keepNext w:val="0"/>
              <w:keepLines w:val="0"/>
              <w:widowControl/>
              <w:suppressLineNumbers w:val="0"/>
              <w:jc w:val="both"/>
              <w:rPr>
                <w:rFonts w:hint="eastAsia" w:ascii="宋体" w:hAnsi="宋体" w:eastAsia="宋体" w:cs="宋体"/>
                <w:sz w:val="21"/>
                <w:szCs w:val="21"/>
                <w:highlight w:val="none"/>
                <w:lang w:val="en-US" w:eastAsia="zh-CN"/>
              </w:rPr>
            </w:pPr>
            <w:r>
              <w:rPr>
                <w:rFonts w:hint="default" w:ascii="Times New Roman" w:hAnsi="Times New Roman" w:eastAsia="宋体" w:cs="Times New Roman"/>
                <w:color w:val="000000"/>
                <w:kern w:val="0"/>
                <w:sz w:val="22"/>
                <w:szCs w:val="22"/>
                <w:highlight w:val="none"/>
                <w:lang w:val="en-US" w:eastAsia="zh-CN" w:bidi="ar"/>
              </w:rPr>
              <w:t>2.2.3</w:t>
            </w:r>
          </w:p>
        </w:tc>
        <w:tc>
          <w:tcPr>
            <w:tcW w:w="1860" w:type="dxa"/>
            <w:vAlign w:val="center"/>
          </w:tcPr>
          <w:p>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第二个信封详细评审标准</w:t>
            </w:r>
          </w:p>
        </w:tc>
        <w:tc>
          <w:tcPr>
            <w:tcW w:w="6483" w:type="dxa"/>
            <w:vAlign w:val="center"/>
          </w:tcPr>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（1）评标价计算公式：</w:t>
            </w:r>
          </w:p>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评标价＝修正后的投标报价</w:t>
            </w:r>
          </w:p>
        </w:tc>
      </w:tr>
    </w:tbl>
    <w:tbl>
      <w:tblPr>
        <w:tblStyle w:val="26"/>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91"/>
        <w:gridCol w:w="935"/>
        <w:gridCol w:w="1776"/>
        <w:gridCol w:w="5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69" w:type="pct"/>
            <w:vAlign w:val="center"/>
          </w:tcPr>
          <w:p>
            <w:pPr>
              <w:pStyle w:val="2"/>
              <w:adjustRightInd w:val="0"/>
              <w:snapToGrid w:val="0"/>
              <w:spacing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492" w:type="pct"/>
            <w:vAlign w:val="center"/>
          </w:tcPr>
          <w:p>
            <w:pPr>
              <w:pStyle w:val="2"/>
              <w:adjustRightInd w:val="0"/>
              <w:snapToGrid w:val="0"/>
              <w:ind w:left="210" w:hanging="210" w:hangingChars="100"/>
              <w:jc w:val="center"/>
              <w:rPr>
                <w:rFonts w:hint="eastAsia" w:ascii="宋体" w:hAnsi="宋体" w:eastAsia="宋体" w:cs="宋体"/>
                <w:sz w:val="21"/>
                <w:szCs w:val="21"/>
                <w:highlight w:val="none"/>
                <w:lang w:val="en-US" w:eastAsia="zh-CN"/>
              </w:rPr>
            </w:pPr>
          </w:p>
        </w:tc>
        <w:tc>
          <w:tcPr>
            <w:tcW w:w="935" w:type="pct"/>
            <w:vAlign w:val="center"/>
          </w:tcPr>
          <w:p>
            <w:pPr>
              <w:pStyle w:val="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3102" w:type="pct"/>
            <w:vAlign w:val="center"/>
          </w:tcPr>
          <w:p>
            <w:pPr>
              <w:pStyle w:val="2"/>
              <w:adjustRightInd w:val="0"/>
              <w:snapToGrid w:val="0"/>
              <w:ind w:firstLine="420"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69" w:type="pct"/>
            <w:vMerge w:val="restart"/>
            <w:vAlign w:val="center"/>
          </w:tcPr>
          <w:p>
            <w:pPr>
              <w:pStyle w:val="2"/>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pPr>
              <w:pStyle w:val="2"/>
              <w:adjustRightInd w:val="0"/>
              <w:snapToGrid w:val="0"/>
              <w:rPr>
                <w:rFonts w:hint="eastAsia" w:ascii="宋体" w:hAnsi="宋体" w:eastAsia="宋体" w:cs="宋体"/>
                <w:sz w:val="21"/>
                <w:szCs w:val="21"/>
                <w:highlight w:val="none"/>
              </w:rPr>
            </w:pPr>
          </w:p>
        </w:tc>
        <w:tc>
          <w:tcPr>
            <w:tcW w:w="492" w:type="pct"/>
            <w:vMerge w:val="restart"/>
            <w:vAlign w:val="center"/>
          </w:tcPr>
          <w:p>
            <w:pPr>
              <w:pStyle w:val="2"/>
              <w:adjustRightInd w:val="0"/>
              <w:snapToGrid w:val="0"/>
              <w:ind w:left="210" w:hanging="210" w:hangingChars="10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935" w:type="pct"/>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pPr>
              <w:pStyle w:val="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40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pPr>
              <w:pStyle w:val="2"/>
              <w:adjustRightInd w:val="0"/>
              <w:snapToGrid w:val="0"/>
              <w:jc w:val="both"/>
              <w:rPr>
                <w:rFonts w:hint="default"/>
                <w:highlight w:val="none"/>
                <w:lang w:val="en-US" w:eastAsia="zh-CN"/>
              </w:rPr>
            </w:pPr>
            <w:r>
              <w:rPr>
                <w:rFonts w:hint="default"/>
                <w:highlight w:val="none"/>
                <w:lang w:val="en-US" w:eastAsia="zh-CN"/>
              </w:rPr>
              <w:t>202</w:t>
            </w:r>
            <w:r>
              <w:rPr>
                <w:rFonts w:hint="eastAsia"/>
                <w:highlight w:val="none"/>
                <w:lang w:val="en-US" w:eastAsia="zh-CN"/>
              </w:rPr>
              <w:t>1</w:t>
            </w:r>
            <w:r>
              <w:rPr>
                <w:rFonts w:hint="default"/>
                <w:highlight w:val="none"/>
                <w:lang w:val="en-US" w:eastAsia="zh-CN"/>
              </w:rPr>
              <w:t xml:space="preserve"> 年 </w:t>
            </w:r>
            <w:r>
              <w:rPr>
                <w:rFonts w:hint="eastAsia"/>
                <w:highlight w:val="none"/>
                <w:lang w:val="en-US" w:eastAsia="zh-CN"/>
              </w:rPr>
              <w:t>1</w:t>
            </w:r>
            <w:r>
              <w:rPr>
                <w:rFonts w:hint="default"/>
                <w:highlight w:val="none"/>
                <w:lang w:val="en-US" w:eastAsia="zh-CN"/>
              </w:rPr>
              <w:t>月1 日以来（以合同签订时间为准），除供应商资审条件要求的业绩</w:t>
            </w:r>
            <w:r>
              <w:rPr>
                <w:rFonts w:hint="eastAsia"/>
                <w:highlight w:val="none"/>
                <w:lang w:val="en-US" w:eastAsia="zh-CN"/>
              </w:rPr>
              <w:t>得20分</w:t>
            </w:r>
            <w:r>
              <w:rPr>
                <w:rFonts w:hint="default"/>
                <w:highlight w:val="none"/>
                <w:lang w:val="en-US" w:eastAsia="zh-CN"/>
              </w:rPr>
              <w:t>，近三年来具有</w:t>
            </w:r>
            <w:r>
              <w:rPr>
                <w:rFonts w:hint="eastAsia"/>
                <w:highlight w:val="none"/>
                <w:lang w:val="en-US" w:eastAsia="zh-CN"/>
              </w:rPr>
              <w:t>200</w:t>
            </w:r>
            <w:r>
              <w:rPr>
                <w:rFonts w:hint="default"/>
                <w:highlight w:val="none"/>
                <w:lang w:val="en-US" w:eastAsia="zh-CN"/>
              </w:rPr>
              <w:t>万及以上的防水</w:t>
            </w:r>
            <w:r>
              <w:rPr>
                <w:rFonts w:hint="eastAsia"/>
                <w:highlight w:val="none"/>
                <w:lang w:val="en-US" w:eastAsia="zh-CN"/>
              </w:rPr>
              <w:t>材料</w:t>
            </w:r>
            <w:r>
              <w:rPr>
                <w:rFonts w:hint="default"/>
                <w:highlight w:val="none"/>
                <w:lang w:val="en-US" w:eastAsia="zh-CN"/>
              </w:rPr>
              <w:t>供应的业绩，每多提供一个业绩得</w:t>
            </w:r>
            <w:r>
              <w:rPr>
                <w:rFonts w:hint="eastAsia"/>
                <w:highlight w:val="none"/>
                <w:lang w:val="en-US" w:eastAsia="zh-CN"/>
              </w:rPr>
              <w:t>5</w:t>
            </w:r>
            <w:r>
              <w:rPr>
                <w:rFonts w:hint="default"/>
                <w:highlight w:val="none"/>
                <w:lang w:val="en-US" w:eastAsia="zh-CN"/>
              </w:rPr>
              <w:t>分，满分</w:t>
            </w:r>
            <w:r>
              <w:rPr>
                <w:rFonts w:hint="eastAsia"/>
                <w:highlight w:val="none"/>
                <w:lang w:val="en-US" w:eastAsia="zh-CN"/>
              </w:rPr>
              <w:t>40</w:t>
            </w:r>
            <w:r>
              <w:rPr>
                <w:rFonts w:hint="default"/>
                <w:highlight w:val="none"/>
                <w:lang w:val="en-US" w:eastAsia="zh-CN"/>
              </w:rPr>
              <w:t>分。</w:t>
            </w:r>
          </w:p>
          <w:p>
            <w:pPr>
              <w:pStyle w:val="2"/>
              <w:adjustRightInd w:val="0"/>
              <w:snapToGrid w:val="0"/>
              <w:jc w:val="both"/>
              <w:rPr>
                <w:rFonts w:hint="default"/>
                <w:highlight w:val="none"/>
                <w:lang w:val="en-US" w:eastAsia="zh-CN"/>
              </w:rPr>
            </w:pPr>
            <w:r>
              <w:rPr>
                <w:rFonts w:hint="default"/>
                <w:highlight w:val="none"/>
                <w:lang w:val="en-US" w:eastAsia="zh-CN"/>
              </w:rPr>
              <w:t xml:space="preserve">本响应文件中要求的业绩合同范围可以包含安装部分，若供应商提供的业绩包含供货和安装，须明确体现单独供货部分金额达到业绩要求，响应人应按下列规定提供业绩证明资料： </w:t>
            </w:r>
          </w:p>
          <w:p>
            <w:pPr>
              <w:pStyle w:val="2"/>
              <w:adjustRightInd w:val="0"/>
              <w:snapToGrid w:val="0"/>
              <w:jc w:val="both"/>
              <w:rPr>
                <w:rFonts w:hint="default"/>
                <w:highlight w:val="none"/>
                <w:lang w:val="en-US" w:eastAsia="zh-CN"/>
              </w:rPr>
            </w:pPr>
            <w:r>
              <w:rPr>
                <w:rFonts w:hint="default"/>
                <w:highlight w:val="none"/>
                <w:lang w:val="en-US" w:eastAsia="zh-CN"/>
              </w:rPr>
              <w:t>（1）业绩合同应提供包含项目名称、合同总金额、合同签订时间、合同签字盖章页等关键内容的关键页的扫描件；</w:t>
            </w:r>
          </w:p>
          <w:p>
            <w:pPr>
              <w:pStyle w:val="2"/>
              <w:adjustRightInd w:val="0"/>
              <w:snapToGrid w:val="0"/>
              <w:jc w:val="both"/>
              <w:rPr>
                <w:rFonts w:hint="default"/>
                <w:highlight w:val="none"/>
                <w:lang w:val="en-US" w:eastAsia="zh-CN"/>
              </w:rPr>
            </w:pPr>
            <w:r>
              <w:rPr>
                <w:rFonts w:hint="default"/>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69" w:type="pct"/>
            <w:vMerge w:val="continue"/>
            <w:vAlign w:val="center"/>
          </w:tcPr>
          <w:p>
            <w:pPr>
              <w:pStyle w:val="2"/>
              <w:adjustRightInd w:val="0"/>
              <w:snapToGrid w:val="0"/>
              <w:rPr>
                <w:rFonts w:hint="eastAsia" w:ascii="宋体" w:hAnsi="宋体" w:eastAsia="宋体" w:cs="宋体"/>
                <w:sz w:val="21"/>
                <w:szCs w:val="21"/>
                <w:highlight w:val="none"/>
              </w:rPr>
            </w:pPr>
          </w:p>
        </w:tc>
        <w:tc>
          <w:tcPr>
            <w:tcW w:w="492"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935" w:type="pct"/>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pPr>
              <w:ind w:left="630" w:leftChars="0" w:hanging="630" w:hangingChars="30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32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pPr>
              <w:pStyle w:val="23"/>
              <w:ind w:left="0" w:leftChars="0" w:firstLine="210" w:firstLineChars="100"/>
              <w:jc w:val="both"/>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pPr>
              <w:pStyle w:val="23"/>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（须提供物流合同、协议书、自有货车证明等），评委根据上述证明材料综合评审，优秀的得8-6分；一般的得6-4分，较差得基础分3分，未提供不得分。</w:t>
            </w:r>
          </w:p>
          <w:p>
            <w:pPr>
              <w:pStyle w:val="23"/>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（须提供自有设备照片、采购租赁合同协议书等，，自有或租赁设备须明确证明材料），评委根据上述证明材料综合评审，优秀的得8-6分；一般的得6-4分，较差得基础分3分，未提供不得分</w:t>
            </w:r>
          </w:p>
          <w:p>
            <w:pPr>
              <w:pStyle w:val="23"/>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（须提供厂区、加工车间照片、房屋购买租赁合同协议书等，自有或租赁厂房须明确证明材料），评委根据上述证明材料综合评审，优秀的得8-6分；一般的得6-4分，较差得基础分3分，未提供不得分</w:t>
            </w:r>
          </w:p>
          <w:p>
            <w:pPr>
              <w:pStyle w:val="23"/>
              <w:ind w:left="0" w:leftChars="0" w:firstLine="211"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（生产人员、安装人员、售后人员情况，可提供公司社保名录等证明材料），评委根据上述证明材料综合评审，优秀的得8-6分；一般的得6-4分，较差得基础分3分，未提供不得分</w:t>
            </w:r>
          </w:p>
          <w:p>
            <w:pPr>
              <w:pStyle w:val="23"/>
              <w:ind w:left="0" w:leftChars="0" w:firstLine="210" w:firstLineChars="100"/>
              <w:jc w:val="both"/>
              <w:rPr>
                <w:rFonts w:hint="default"/>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本项累计32分。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vAlign w:val="center"/>
          </w:tcPr>
          <w:p>
            <w:pPr>
              <w:pStyle w:val="2"/>
              <w:adjustRightInd w:val="0"/>
              <w:snapToGrid w:val="0"/>
              <w:rPr>
                <w:rFonts w:hint="eastAsia" w:ascii="宋体" w:hAnsi="宋体" w:eastAsia="宋体" w:cs="宋体"/>
                <w:sz w:val="21"/>
                <w:szCs w:val="21"/>
                <w:highlight w:val="none"/>
              </w:rPr>
            </w:pPr>
          </w:p>
        </w:tc>
        <w:tc>
          <w:tcPr>
            <w:tcW w:w="492"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935" w:type="pct"/>
            <w:vAlign w:val="center"/>
          </w:tcPr>
          <w:p>
            <w:pPr>
              <w:ind w:left="618" w:hanging="618" w:hangingChars="300"/>
              <w:jc w:val="center"/>
              <w:rPr>
                <w:rFonts w:hint="eastAsia" w:ascii="宋体" w:hAnsi="宋体" w:eastAsia="宋体" w:cs="宋体"/>
                <w:sz w:val="21"/>
                <w:szCs w:val="21"/>
                <w:highlight w:val="none"/>
                <w:lang w:val="en-US" w:eastAsia="zh-CN"/>
              </w:rPr>
            </w:pPr>
            <w:r>
              <w:rPr>
                <w:rFonts w:ascii="宋体" w:hAnsi="宋体" w:eastAsia="宋体" w:cs="宋体"/>
                <w:spacing w:val="-2"/>
                <w:sz w:val="21"/>
                <w:szCs w:val="21"/>
                <w:highlight w:val="none"/>
              </w:rPr>
              <w:t>生产</w:t>
            </w:r>
            <w:r>
              <w:rPr>
                <w:rFonts w:ascii="宋体" w:hAnsi="宋体" w:eastAsia="宋体" w:cs="宋体"/>
                <w:spacing w:val="-1"/>
                <w:sz w:val="21"/>
                <w:szCs w:val="21"/>
                <w:highlight w:val="none"/>
              </w:rPr>
              <w:t>体系认</w:t>
            </w:r>
            <w:r>
              <w:rPr>
                <w:rFonts w:ascii="宋体" w:hAnsi="宋体" w:eastAsia="宋体" w:cs="宋体"/>
                <w:sz w:val="21"/>
                <w:szCs w:val="21"/>
                <w:highlight w:val="none"/>
              </w:rPr>
              <w:t>证</w:t>
            </w:r>
          </w:p>
          <w:p>
            <w:pPr>
              <w:ind w:left="630" w:leftChars="0" w:hanging="630" w:hangingChars="300"/>
              <w:jc w:val="center"/>
              <w:rPr>
                <w:rFonts w:hint="default"/>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6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pPr>
              <w:pStyle w:val="16"/>
              <w:rPr>
                <w:rFonts w:hint="default"/>
                <w:lang w:val="en-US" w:eastAsia="zh-CN"/>
              </w:rPr>
            </w:pPr>
            <w:r>
              <w:rPr>
                <w:rFonts w:hint="eastAsia" w:ascii="宋体" w:hAnsi="宋体" w:eastAsia="宋体" w:cs="宋体"/>
                <w:color w:val="auto"/>
                <w:kern w:val="0"/>
                <w:sz w:val="21"/>
                <w:szCs w:val="21"/>
                <w:highlight w:val="none"/>
                <w:u w:val="none"/>
                <w:lang w:val="en-US" w:eastAsia="zh-CN" w:bidi="ar"/>
              </w:rPr>
              <w:t>供应商具有有效期内的质量管理体系认证证书、环境管理体系认证证书、职业健康安全管理体系认证证书的，每提供1个得2分，总分6分。提供证书扫描件，未提供或提供材料不符合要求的不得分。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vAlign w:val="center"/>
          </w:tcPr>
          <w:p>
            <w:pPr>
              <w:pStyle w:val="2"/>
              <w:adjustRightInd w:val="0"/>
              <w:snapToGrid w:val="0"/>
              <w:rPr>
                <w:rFonts w:hint="eastAsia" w:ascii="宋体" w:hAnsi="宋体" w:eastAsia="宋体" w:cs="宋体"/>
                <w:sz w:val="21"/>
                <w:szCs w:val="21"/>
                <w:highlight w:val="none"/>
              </w:rPr>
            </w:pPr>
          </w:p>
        </w:tc>
        <w:tc>
          <w:tcPr>
            <w:tcW w:w="492"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935" w:type="pct"/>
            <w:vAlign w:val="center"/>
          </w:tcPr>
          <w:p>
            <w:pPr>
              <w:pStyle w:val="25"/>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p>
          <w:p>
            <w:pPr>
              <w:pStyle w:val="25"/>
              <w:ind w:left="0" w:leftChars="0"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7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02" w:type="pct"/>
            <w:vAlign w:val="center"/>
          </w:tcPr>
          <w:p>
            <w:pPr>
              <w:keepNext w:val="0"/>
              <w:keepLines w:val="0"/>
              <w:widowControl/>
              <w:numPr>
                <w:ilvl w:val="0"/>
                <w:numId w:val="6"/>
              </w:numPr>
              <w:suppressLineNumbers w:val="0"/>
              <w:ind w:firstLine="210" w:firstLineChars="100"/>
              <w:jc w:val="left"/>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投标单位所投产品具有出厂合格证，得3分；</w:t>
            </w:r>
          </w:p>
          <w:p>
            <w:pPr>
              <w:pStyle w:val="2"/>
              <w:numPr>
                <w:ilvl w:val="0"/>
                <w:numId w:val="6"/>
              </w:numPr>
              <w:ind w:left="0" w:leftChars="0" w:firstLine="210" w:firstLineChars="100"/>
              <w:rPr>
                <w:rFonts w:hint="eastAsia" w:ascii="宋体" w:hAnsi="宋体" w:eastAsia="宋体" w:cs="宋体"/>
                <w:color w:val="auto"/>
                <w:kern w:val="0"/>
                <w:sz w:val="21"/>
                <w:szCs w:val="21"/>
                <w:highlight w:val="none"/>
                <w:u w:val="none"/>
                <w:lang w:val="en-US" w:eastAsia="zh-CN" w:bidi="ar"/>
              </w:rPr>
            </w:pPr>
            <w:r>
              <w:rPr>
                <w:rFonts w:hint="eastAsia"/>
                <w:color w:val="auto"/>
                <w:highlight w:val="none"/>
                <w:lang w:eastAsia="zh-CN"/>
              </w:rPr>
              <w:t>所投产品防水</w:t>
            </w:r>
            <w:r>
              <w:rPr>
                <w:rFonts w:hint="eastAsia"/>
                <w:color w:val="auto"/>
                <w:highlight w:val="none"/>
                <w:lang w:val="en-US" w:eastAsia="zh-CN"/>
              </w:rPr>
              <w:t>材料具有试验检测报告得4分。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69" w:type="pct"/>
            <w:vMerge w:val="continue"/>
            <w:vAlign w:val="center"/>
          </w:tcPr>
          <w:p>
            <w:pPr>
              <w:pStyle w:val="2"/>
              <w:adjustRightInd w:val="0"/>
              <w:snapToGrid w:val="0"/>
              <w:rPr>
                <w:rFonts w:hint="eastAsia" w:ascii="宋体" w:hAnsi="宋体" w:eastAsia="宋体" w:cs="宋体"/>
                <w:sz w:val="21"/>
                <w:szCs w:val="21"/>
                <w:highlight w:val="none"/>
              </w:rPr>
            </w:pPr>
          </w:p>
        </w:tc>
        <w:tc>
          <w:tcPr>
            <w:tcW w:w="492"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935" w:type="pct"/>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pPr>
              <w:pStyle w:val="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rPr>
              <w:t>分）</w:t>
            </w:r>
          </w:p>
        </w:tc>
        <w:tc>
          <w:tcPr>
            <w:tcW w:w="3102" w:type="pct"/>
            <w:vAlign w:val="center"/>
          </w:tcPr>
          <w:p>
            <w:pPr>
              <w:pStyle w:val="2"/>
              <w:numPr>
                <w:ilvl w:val="0"/>
                <w:numId w:val="7"/>
              </w:numPr>
              <w:adjustRightInd w:val="0"/>
              <w:snapToGrid w:val="0"/>
              <w:ind w:firstLine="210" w:firstLineChars="100"/>
              <w:jc w:val="left"/>
              <w:rPr>
                <w:rFonts w:hint="eastAsia" w:ascii="宋体" w:hAnsi="宋体" w:eastAsia="宋体" w:cs="宋体"/>
                <w:b w:val="0"/>
                <w:bCs w:val="0"/>
                <w:sz w:val="21"/>
                <w:szCs w:val="21"/>
                <w:highlight w:val="none"/>
                <w:lang w:val="en-US" w:eastAsia="zh-CN"/>
              </w:rPr>
            </w:pPr>
            <w:r>
              <w:rPr>
                <w:rFonts w:hint="eastAsia" w:cstheme="minorBidi"/>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cstheme="minorBidi"/>
                <w:b w:val="0"/>
                <w:bCs w:val="0"/>
                <w:kern w:val="2"/>
                <w:sz w:val="21"/>
                <w:szCs w:val="24"/>
                <w:highlight w:val="none"/>
                <w:lang w:val="en-US" w:eastAsia="zh-CN" w:bidi="ar-SA"/>
              </w:rPr>
              <w:t>结合各个服务区的</w:t>
            </w:r>
            <w:r>
              <w:rPr>
                <w:rFonts w:hint="eastAsia" w:cstheme="minorBidi"/>
                <w:b w:val="0"/>
                <w:bCs w:val="0"/>
                <w:color w:val="auto"/>
                <w:kern w:val="2"/>
                <w:sz w:val="21"/>
                <w:szCs w:val="24"/>
                <w:highlight w:val="none"/>
                <w:lang w:val="en-US" w:eastAsia="zh-CN" w:bidi="ar-SA"/>
              </w:rPr>
              <w:t>实际施工情况编制</w:t>
            </w:r>
            <w:r>
              <w:rPr>
                <w:rFonts w:hint="eastAsia" w:cstheme="minorBidi"/>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pPr>
              <w:pStyle w:val="2"/>
              <w:adjustRightInd w:val="0"/>
              <w:snapToGrid w:val="0"/>
              <w:ind w:firstLine="210" w:firstLineChars="100"/>
              <w:jc w:val="left"/>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pPr>
        <w:pStyle w:val="2"/>
        <w:rPr>
          <w:rFonts w:ascii="Times New Roman" w:hAnsi="Times New Roman" w:eastAsia="黑体" w:cs="Times New Roman"/>
          <w:bCs/>
          <w:sz w:val="24"/>
          <w:szCs w:val="32"/>
          <w:highlight w:val="none"/>
        </w:rPr>
      </w:pPr>
    </w:p>
    <w:p>
      <w:pPr>
        <w:pStyle w:val="16"/>
        <w:rPr>
          <w:highlight w:val="none"/>
        </w:rPr>
      </w:pPr>
    </w:p>
    <w:p>
      <w:pPr>
        <w:jc w:val="left"/>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评审方法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本次评审采用</w:t>
      </w:r>
      <w:r>
        <w:rPr>
          <w:rFonts w:hint="eastAsia" w:ascii="Times New Roman" w:hAnsi="Times New Roman" w:cs="Times New Roman"/>
          <w:highlight w:val="none"/>
          <w:lang w:val="en-US" w:eastAsia="zh-CN"/>
        </w:rPr>
        <w:t>技术评分最低价</w:t>
      </w:r>
      <w:r>
        <w:rPr>
          <w:rFonts w:ascii="Times New Roman" w:hAnsi="Times New Roman" w:cs="Times New Roman"/>
          <w:highlight w:val="none"/>
        </w:rPr>
        <w:t>法。</w:t>
      </w:r>
      <w:r>
        <w:rPr>
          <w:rFonts w:hint="eastAsia" w:ascii="Times New Roman" w:hAnsi="Times New Roman" w:cs="Times New Roman"/>
          <w:highlight w:val="none"/>
          <w:lang w:val="en-US" w:eastAsia="zh-CN"/>
        </w:rPr>
        <w:t>评审委员会对通过初步评审的投标人的商务及技术文件进行评分，按得分由高到低排序确定前N名。对排名前N名的投标人的报价文件进行评审，按照评标价由低到高的顺序推荐3名中标候选人。</w:t>
      </w:r>
    </w:p>
    <w:p>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评审标准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初步评审标准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2.1.1 形式评审标准：见评审办法前附表。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2.1.2 资格评审标准：见评审办法前附表。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2.1.3 响应性评审标准：见评审办法前附表。</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分值构成与评审标准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2.2.1分值构成：</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2</w:t>
      </w:r>
      <w:r>
        <w:rPr>
          <w:rFonts w:ascii="Times New Roman" w:hAnsi="Times New Roman" w:cs="Times New Roman"/>
          <w:highlight w:val="none"/>
        </w:rPr>
        <w:t>）</w:t>
      </w:r>
      <w:r>
        <w:rPr>
          <w:rFonts w:hint="eastAsia" w:ascii="Times New Roman" w:hAnsi="Times New Roman" w:cs="Times New Roman"/>
          <w:highlight w:val="none"/>
        </w:rPr>
        <w:t>供货方案</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2.2.2 评分标准：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供货方案</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评分标准：见评审办法前附表。</w:t>
      </w:r>
    </w:p>
    <w:p>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评审程序</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 初步评审</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xml:space="preserve"> 评审小组</w:t>
      </w:r>
      <w:r>
        <w:rPr>
          <w:rFonts w:ascii="Times New Roman" w:hAnsi="Times New Roman" w:cs="Times New Roman"/>
          <w:highlight w:val="none"/>
        </w:rPr>
        <w:t>依据本章第2.1.1项、第2.1.2项、第2.1.3项规定的标准对响应文件进行评审。有一项不符合评审标准的，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2 </w:t>
      </w:r>
      <w:r>
        <w:rPr>
          <w:rFonts w:ascii="Times New Roman" w:hAnsi="Times New Roman" w:cs="Times New Roman"/>
          <w:highlight w:val="none"/>
        </w:rPr>
        <w:t>响应文件中填报的报价、</w:t>
      </w:r>
      <w:r>
        <w:rPr>
          <w:rFonts w:hint="eastAsia" w:ascii="Times New Roman" w:hAnsi="Times New Roman" w:cs="Times New Roman"/>
          <w:highlight w:val="none"/>
        </w:rPr>
        <w:t>交货期</w:t>
      </w:r>
      <w:r>
        <w:rPr>
          <w:rFonts w:ascii="Times New Roman" w:hAnsi="Times New Roman" w:cs="Times New Roman"/>
          <w:highlight w:val="none"/>
        </w:rPr>
        <w:t>、质量标准前后不一致</w:t>
      </w:r>
      <w:r>
        <w:rPr>
          <w:rFonts w:hint="eastAsia" w:ascii="Times New Roman" w:hAnsi="Times New Roman" w:cs="Times New Roman"/>
          <w:highlight w:val="none"/>
        </w:rPr>
        <w:t>，且报价函中填写的内容满足询比文件要求</w:t>
      </w:r>
      <w:r>
        <w:rPr>
          <w:rFonts w:ascii="Times New Roman" w:hAnsi="Times New Roman" w:cs="Times New Roman"/>
          <w:highlight w:val="none"/>
        </w:rPr>
        <w:t>时，</w:t>
      </w:r>
      <w:r>
        <w:rPr>
          <w:rFonts w:hint="eastAsia" w:ascii="Times New Roman" w:hAnsi="Times New Roman" w:cs="Times New Roman"/>
          <w:highlight w:val="none"/>
        </w:rPr>
        <w:t>按细微偏差处理，并</w:t>
      </w:r>
      <w:r>
        <w:rPr>
          <w:rFonts w:ascii="Times New Roman" w:hAnsi="Times New Roman" w:cs="Times New Roman"/>
          <w:highlight w:val="none"/>
        </w:rPr>
        <w:t>以报价函填报的为准</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3.1.3 </w:t>
      </w:r>
      <w:r>
        <w:rPr>
          <w:rFonts w:ascii="Times New Roman" w:hAnsi="Times New Roman" w:cs="Times New Roman"/>
          <w:highlight w:val="none"/>
        </w:rPr>
        <w:t>报价存在</w:t>
      </w:r>
      <w:r>
        <w:rPr>
          <w:rFonts w:hint="eastAsia" w:ascii="Times New Roman" w:hAnsi="Times New Roman" w:cs="Times New Roman"/>
          <w:highlight w:val="none"/>
        </w:rPr>
        <w:t>以下</w:t>
      </w:r>
      <w:r>
        <w:rPr>
          <w:rFonts w:ascii="Times New Roman" w:hAnsi="Times New Roman" w:cs="Times New Roman"/>
          <w:highlight w:val="none"/>
        </w:rPr>
        <w:t>细微偏差的，</w:t>
      </w:r>
      <w:r>
        <w:rPr>
          <w:rFonts w:hint="eastAsia" w:ascii="Times New Roman" w:hAnsi="Times New Roman" w:cs="Times New Roman"/>
          <w:highlight w:val="none"/>
        </w:rPr>
        <w:t>评审小组</w:t>
      </w:r>
      <w:r>
        <w:rPr>
          <w:rFonts w:ascii="Times New Roman" w:hAnsi="Times New Roman" w:cs="Times New Roman"/>
          <w:highlight w:val="none"/>
        </w:rPr>
        <w:t>按以上原则对报价进行处理，并要求供应商书面澄清确认，供应商拒不澄清确认的，</w:t>
      </w:r>
      <w:r>
        <w:rPr>
          <w:rFonts w:hint="eastAsia" w:ascii="Times New Roman" w:hAnsi="Times New Roman" w:cs="Times New Roman"/>
          <w:highlight w:val="none"/>
        </w:rPr>
        <w:t>评审小组</w:t>
      </w:r>
      <w:r>
        <w:rPr>
          <w:rFonts w:ascii="Times New Roman" w:hAnsi="Times New Roman" w:cs="Times New Roman"/>
          <w:highlight w:val="none"/>
        </w:rPr>
        <w:t>应当否决其报价。</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（1）</w:t>
      </w:r>
      <w:r>
        <w:rPr>
          <w:rFonts w:ascii="Times New Roman" w:hAnsi="Times New Roman" w:cs="Times New Roman"/>
          <w:highlight w:val="none"/>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①响应文件中的大写金额与小写金额不一致的，以大写金额为准；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（2）报价</w:t>
      </w:r>
      <w:r>
        <w:rPr>
          <w:rFonts w:ascii="Times New Roman" w:hAnsi="Times New Roman" w:cs="Times New Roman"/>
          <w:highlight w:val="none"/>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4 </w:t>
      </w:r>
      <w:r>
        <w:rPr>
          <w:rFonts w:ascii="Times New Roman" w:hAnsi="Times New Roman" w:cs="Times New Roman"/>
          <w:highlight w:val="none"/>
        </w:rPr>
        <w:t>修正后的最终报价若超过最高限价（如有），</w:t>
      </w:r>
      <w:r>
        <w:rPr>
          <w:rFonts w:hint="eastAsia" w:ascii="Times New Roman" w:hAnsi="Times New Roman" w:cs="Times New Roman"/>
          <w:highlight w:val="none"/>
        </w:rPr>
        <w:t>评审小组</w:t>
      </w:r>
      <w:r>
        <w:rPr>
          <w:rFonts w:ascii="Times New Roman" w:hAnsi="Times New Roman" w:cs="Times New Roman"/>
          <w:highlight w:val="none"/>
        </w:rPr>
        <w:t>应否决其报价。</w:t>
      </w:r>
    </w:p>
    <w:p>
      <w:pPr>
        <w:spacing w:line="440" w:lineRule="exact"/>
        <w:ind w:firstLine="420"/>
        <w:rPr>
          <w:highlight w:val="none"/>
        </w:rPr>
      </w:pPr>
      <w:r>
        <w:rPr>
          <w:rFonts w:ascii="Times New Roman" w:hAnsi="Times New Roman" w:cs="Times New Roman"/>
          <w:highlight w:val="none"/>
        </w:rPr>
        <w:t>3.1.</w:t>
      </w:r>
      <w:r>
        <w:rPr>
          <w:rFonts w:hint="eastAsia" w:ascii="Times New Roman" w:hAnsi="Times New Roman" w:cs="Times New Roman"/>
          <w:highlight w:val="none"/>
        </w:rPr>
        <w:t>5</w:t>
      </w:r>
      <w:r>
        <w:rPr>
          <w:rFonts w:ascii="Times New Roman" w:hAnsi="Times New Roman" w:cs="Times New Roman"/>
          <w:highlight w:val="none"/>
        </w:rPr>
        <w:t xml:space="preserve"> </w:t>
      </w:r>
      <w:r>
        <w:rPr>
          <w:rFonts w:hint="eastAsia" w:ascii="Times New Roman" w:hAnsi="Times New Roman" w:cs="Times New Roman"/>
          <w:szCs w:val="21"/>
          <w:highlight w:val="none"/>
        </w:rPr>
        <w:t>修正后的</w:t>
      </w:r>
      <w:r>
        <w:rPr>
          <w:rFonts w:ascii="Times New Roman" w:hAnsi="Times New Roman" w:cs="Times New Roman"/>
          <w:highlight w:val="none"/>
        </w:rPr>
        <w:t>最终报价参与评审价得分的计算</w:t>
      </w:r>
      <w:r>
        <w:rPr>
          <w:rFonts w:hint="eastAsia" w:ascii="Times New Roman" w:hAnsi="Times New Roman" w:cs="Times New Roman"/>
          <w:highlight w:val="none"/>
        </w:rPr>
        <w:t>，并作为签订合同的依据</w:t>
      </w:r>
      <w:r>
        <w:rPr>
          <w:rFonts w:ascii="Times New Roman" w:hAnsi="Times New Roman" w:cs="Times New Roman"/>
          <w:highlight w:val="none"/>
        </w:rPr>
        <w:t>。</w:t>
      </w:r>
    </w:p>
    <w:p>
      <w:pPr>
        <w:keepNext/>
        <w:keepLines/>
        <w:spacing w:before="120" w:after="120"/>
        <w:outlineLvl w:val="2"/>
        <w:rPr>
          <w:rFonts w:ascii="Times New Roman" w:hAnsi="Times New Roman" w:cs="Times New Roman"/>
          <w:highlight w:val="none"/>
        </w:rPr>
      </w:pPr>
      <w:r>
        <w:rPr>
          <w:rFonts w:ascii="Times New Roman" w:hAnsi="Times New Roman" w:eastAsia="黑体" w:cs="Times New Roman"/>
          <w:bCs/>
          <w:sz w:val="24"/>
          <w:szCs w:val="32"/>
          <w:highlight w:val="none"/>
        </w:rPr>
        <w:t>3.2 详细评审</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3.2.1 </w:t>
      </w:r>
      <w:r>
        <w:rPr>
          <w:rFonts w:hint="eastAsia" w:ascii="Times New Roman" w:hAnsi="Times New Roman" w:cs="Times New Roman"/>
          <w:highlight w:val="none"/>
        </w:rPr>
        <w:t>评审小组</w:t>
      </w:r>
      <w:r>
        <w:rPr>
          <w:rFonts w:ascii="Times New Roman" w:hAnsi="Times New Roman" w:cs="Times New Roman"/>
          <w:highlight w:val="none"/>
        </w:rPr>
        <w:t>按本章第2.2款规定的量化因素和分值进行打分，并计算出</w:t>
      </w:r>
      <w:r>
        <w:rPr>
          <w:rFonts w:hint="eastAsia" w:ascii="Times New Roman" w:hAnsi="Times New Roman" w:cs="Times New Roman"/>
          <w:highlight w:val="none"/>
          <w:lang w:val="en-US" w:eastAsia="zh-CN"/>
        </w:rPr>
        <w:t>供</w:t>
      </w:r>
      <w:r>
        <w:rPr>
          <w:rFonts w:ascii="Times New Roman" w:hAnsi="Times New Roman" w:cs="Times New Roman"/>
          <w:highlight w:val="none"/>
        </w:rPr>
        <w:t>应商</w:t>
      </w:r>
      <w:r>
        <w:rPr>
          <w:rFonts w:hint="eastAsia" w:ascii="Times New Roman" w:hAnsi="Times New Roman" w:cs="Times New Roman"/>
          <w:highlight w:val="none"/>
          <w:lang w:val="en-US" w:eastAsia="zh-CN"/>
        </w:rPr>
        <w:t>的商务及技术文件</w:t>
      </w:r>
      <w:r>
        <w:rPr>
          <w:rFonts w:ascii="Times New Roman" w:hAnsi="Times New Roman" w:cs="Times New Roman"/>
          <w:highlight w:val="none"/>
        </w:rPr>
        <w:t>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3.3 </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应对在评审过程中发现供应商存在串通报价、弄虚作假、行贿等违法行为的，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 响应文件的澄清</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3.4.1 在评审过程中，</w:t>
      </w:r>
      <w:r>
        <w:rPr>
          <w:rFonts w:hint="eastAsia" w:ascii="Times New Roman" w:hAnsi="Times New Roman" w:cs="Times New Roman"/>
          <w:highlight w:val="none"/>
        </w:rPr>
        <w:t>评审小组</w:t>
      </w:r>
      <w:r>
        <w:rPr>
          <w:rFonts w:ascii="Times New Roman" w:hAnsi="Times New Roman" w:cs="Times New Roman"/>
          <w:highlight w:val="none"/>
        </w:rPr>
        <w:t>可以书面形式要求供应商对响应文件中含义不明确、对同类问题表述不一致或者有明显文字</w:t>
      </w:r>
      <w:r>
        <w:rPr>
          <w:rFonts w:hint="eastAsia" w:ascii="Times New Roman" w:hAnsi="Times New Roman" w:cs="Times New Roman"/>
          <w:highlight w:val="none"/>
        </w:rPr>
        <w:t>错误</w:t>
      </w:r>
      <w:r>
        <w:rPr>
          <w:rFonts w:ascii="Times New Roman" w:hAnsi="Times New Roman" w:cs="Times New Roman"/>
          <w:highlight w:val="none"/>
        </w:rPr>
        <w:t>的内容做必要的澄清。</w:t>
      </w:r>
      <w:r>
        <w:rPr>
          <w:rFonts w:hint="eastAsia" w:ascii="Times New Roman" w:hAnsi="Times New Roman" w:cs="Times New Roman"/>
          <w:highlight w:val="none"/>
        </w:rPr>
        <w:t>评审小组</w:t>
      </w:r>
      <w:r>
        <w:rPr>
          <w:rFonts w:ascii="Times New Roman" w:hAnsi="Times New Roman" w:cs="Times New Roman"/>
          <w:highlight w:val="none"/>
        </w:rPr>
        <w:t>不接受供应商主动提出的澄清。</w:t>
      </w:r>
    </w:p>
    <w:p>
      <w:pPr>
        <w:spacing w:line="440" w:lineRule="exact"/>
        <w:ind w:firstLine="420"/>
        <w:rPr>
          <w:rFonts w:ascii="Times New Roman" w:hAnsi="Times New Roman" w:cs="Times New Roman"/>
          <w:strike/>
          <w:highlight w:val="none"/>
        </w:rPr>
      </w:pPr>
      <w:r>
        <w:rPr>
          <w:rFonts w:ascii="Times New Roman" w:hAnsi="Times New Roman" w:cs="Times New Roman"/>
          <w:highlight w:val="none"/>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评审结果</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完成评审后，应当向采购人提交评审报告。评审报告应当如实记载以下内容：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（一）采购项目基本情况</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（二）采购过程回顾</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（三）评审小组成员名单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（四）询比评审工作</w:t>
      </w:r>
    </w:p>
    <w:p>
      <w:pPr>
        <w:spacing w:line="440" w:lineRule="exact"/>
        <w:ind w:firstLine="420"/>
        <w:rPr>
          <w:rFonts w:hint="eastAsia" w:ascii="Times New Roman" w:hAnsi="Times New Roman" w:cs="Times New Roman" w:eastAsiaTheme="minorEastAsia"/>
          <w:highlight w:val="none"/>
          <w:lang w:eastAsia="zh-CN"/>
        </w:rPr>
      </w:pPr>
      <w:r>
        <w:rPr>
          <w:rFonts w:hint="default" w:ascii="Times New Roman" w:hAnsi="Times New Roman" w:cs="Times New Roman"/>
          <w:highlight w:val="none"/>
        </w:rPr>
        <w:t>1、</w:t>
      </w:r>
      <w:r>
        <w:rPr>
          <w:rFonts w:ascii="Times New Roman" w:hAnsi="Times New Roman" w:cs="Times New Roman"/>
          <w:highlight w:val="none"/>
        </w:rPr>
        <w:t>评审办法</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技术评分最低价法</w:t>
      </w:r>
      <w:r>
        <w:rPr>
          <w:rFonts w:hint="eastAsia" w:ascii="Times New Roman" w:hAnsi="Times New Roman" w:cs="Times New Roman"/>
          <w:highlight w:val="none"/>
          <w:lang w:eastAsia="zh-C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2、初步评审情况（资格审查、形式性审查、响应性审查）</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详细评审情况（</w:t>
      </w:r>
      <w:r>
        <w:rPr>
          <w:rFonts w:ascii="Times New Roman" w:hAnsi="Times New Roman" w:cs="Times New Roman"/>
          <w:highlight w:val="none"/>
        </w:rPr>
        <w:t>供应商的</w:t>
      </w:r>
      <w:r>
        <w:rPr>
          <w:rFonts w:hint="eastAsia" w:ascii="Times New Roman" w:hAnsi="Times New Roman" w:cs="Times New Roman"/>
          <w:highlight w:val="none"/>
          <w:lang w:val="en-US" w:eastAsia="zh-CN"/>
        </w:rPr>
        <w:t>技术</w:t>
      </w:r>
      <w:r>
        <w:rPr>
          <w:rFonts w:ascii="Times New Roman" w:hAnsi="Times New Roman" w:cs="Times New Roman"/>
          <w:highlight w:val="none"/>
        </w:rPr>
        <w:t>评分情况</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4、否决的供应商名单以及否决理由（如有）</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5、</w:t>
      </w:r>
      <w:r>
        <w:rPr>
          <w:rFonts w:ascii="Times New Roman" w:hAnsi="Times New Roman" w:cs="Times New Roman"/>
          <w:highlight w:val="none"/>
        </w:rPr>
        <w:t>推荐候选供应商排序</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（五）需要说明的其他事项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（六）评审附表</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响应文件开启记录表</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2、</w:t>
      </w:r>
      <w:r>
        <w:rPr>
          <w:rFonts w:ascii="Times New Roman" w:hAnsi="Times New Roman" w:cs="Times New Roman"/>
          <w:highlight w:val="none"/>
        </w:rPr>
        <w:t>评审表格</w:t>
      </w:r>
    </w:p>
    <w:p>
      <w:r>
        <w:br w:type="page"/>
      </w:r>
    </w:p>
    <w:p>
      <w:pPr>
        <w:pStyle w:val="2"/>
      </w:pPr>
    </w:p>
    <w:p>
      <w:pPr>
        <w:pStyle w:val="3"/>
        <w:spacing w:before="312" w:after="312"/>
        <w:rPr>
          <w:rFonts w:ascii="Times New Roman" w:hAnsi="Times New Roman" w:eastAsia="宋体" w:cs="Times New Roman"/>
        </w:rPr>
      </w:pPr>
      <w:r>
        <w:rPr>
          <w:rFonts w:ascii="Times New Roman" w:hAnsi="Times New Roman" w:eastAsia="宋体" w:cs="Times New Roman"/>
        </w:rPr>
        <w:t>合同内容</w:t>
      </w:r>
      <w:bookmarkEnd w:id="140"/>
    </w:p>
    <w:p>
      <w:pPr>
        <w:jc w:val="center"/>
        <w:rPr>
          <w:rFonts w:ascii="Times New Roman" w:hAnsi="Times New Roman" w:cs="Times New Roman"/>
          <w:sz w:val="28"/>
        </w:rPr>
      </w:pPr>
      <w:bookmarkStart w:id="141" w:name="_Toc12005"/>
      <w:bookmarkStart w:id="142" w:name="_Toc447808679"/>
      <w:bookmarkStart w:id="143" w:name="_Toc16698_WPSOffice_Level2"/>
      <w:r>
        <w:rPr>
          <w:rFonts w:ascii="Times New Roman" w:hAnsi="Times New Roman" w:cs="Times New Roman"/>
          <w:sz w:val="28"/>
        </w:rPr>
        <w:br w:type="page"/>
      </w:r>
    </w:p>
    <w:bookmarkEnd w:id="141"/>
    <w:bookmarkEnd w:id="142"/>
    <w:bookmarkEnd w:id="143"/>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bookmarkStart w:id="144" w:name="_bookmark259"/>
      <w:bookmarkEnd w:id="144"/>
      <w:bookmarkStart w:id="145" w:name="_Toc15683"/>
      <w:bookmarkStart w:id="146" w:name="_Toc19416"/>
      <w:bookmarkStart w:id="147" w:name="_Toc11084"/>
      <w:bookmarkStart w:id="148" w:name="_Toc27778"/>
      <w:bookmarkStart w:id="149" w:name="_Toc22022"/>
      <w:bookmarkStart w:id="150" w:name="_Toc189369362"/>
      <w:permStart w:id="0" w:edGrp="everyone"/>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ermEnd w:id="0"/>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1"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（以</w:t>
      </w:r>
      <w:permEnd w:id="1"/>
      <w:r>
        <w:rPr>
          <w:rFonts w:hint="eastAsia" w:ascii="仿宋_GB2312" w:hAnsi="仿宋_GB2312" w:eastAsia="仿宋_GB2312" w:cs="仿宋_GB2312"/>
          <w:color w:val="auto"/>
          <w:sz w:val="28"/>
          <w:szCs w:val="28"/>
        </w:rPr>
        <w:t>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permStart w:id="2" w:edGrp="everyone"/>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（以下简称乙方） </w:t>
      </w:r>
      <w:permEnd w:id="2"/>
      <w:r>
        <w:rPr>
          <w:rFonts w:hint="eastAsia" w:ascii="仿宋_GB2312" w:hAnsi="仿宋_GB2312" w:eastAsia="仿宋_GB2312" w:cs="仿宋_GB2312"/>
          <w:color w:val="auto"/>
          <w:sz w:val="28"/>
          <w:szCs w:val="28"/>
        </w:rPr>
        <w:t xml:space="preserve">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w:t>
      </w:r>
      <w:permStart w:id="3" w:edGrp="everyone"/>
      <w:r>
        <w:rPr>
          <w:rFonts w:hint="eastAsia" w:ascii="仿宋_GB2312" w:hAnsi="仿宋_GB2312" w:eastAsia="仿宋_GB2312" w:cs="仿宋_GB2312"/>
          <w:color w:val="auto"/>
          <w:sz w:val="28"/>
          <w:szCs w:val="28"/>
          <w:lang w:val="en-US" w:eastAsia="zh-CN"/>
        </w:rPr>
        <w:t>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ermEnd w:id="3"/>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1.交货方式：乙方负责运送至甲方指定地点。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lang w:val="en-US" w:eastAsia="zh-CN" w:bidi="ar-SA"/>
        </w:rPr>
        <w:t>2.交货地点：甲方指定地点，乙方负责运送至甲方指定现场，并按甲方指定地点卸货。</w:t>
      </w:r>
      <w:r>
        <w:rPr>
          <w:rFonts w:hint="eastAsia" w:ascii="仿宋_GB2312" w:hAnsi="仿宋_GB2312" w:eastAsia="仿宋_GB2312" w:cs="仿宋_GB2312"/>
          <w:color w:val="auto"/>
          <w:kern w:val="2"/>
          <w:sz w:val="28"/>
          <w:szCs w:val="28"/>
          <w:highlight w:val="none"/>
          <w:lang w:val="en-US" w:eastAsia="zh-CN" w:bidi="ar-SA"/>
        </w:rPr>
        <w:t>货物在验收合格并交付给甲方前的毁损、灭失，损失由乙方全额承担。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lang w:val="en-US" w:eastAsia="zh-CN" w:bidi="ar-SA"/>
        </w:rPr>
        <w:t>乙方确</w:t>
      </w:r>
    </w:p>
    <w:p>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认其有效联系人姓名</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ermEnd w:id="4"/>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乙方按约将货物送至</w:t>
      </w:r>
      <w:r>
        <w:rPr>
          <w:rFonts w:hint="eastAsia" w:ascii="仿宋_GB2312" w:hAnsi="仿宋_GB2312" w:eastAsia="仿宋_GB2312" w:cs="仿宋_GB2312"/>
          <w:color w:val="auto"/>
          <w:sz w:val="28"/>
          <w:szCs w:val="28"/>
          <w:lang w:val="en-US" w:eastAsia="zh-CN"/>
        </w:rPr>
        <w:t>现场</w:t>
      </w:r>
      <w:r>
        <w:rPr>
          <w:rFonts w:hint="eastAsia" w:ascii="仿宋_GB2312" w:hAnsi="仿宋_GB2312" w:eastAsia="仿宋_GB2312" w:cs="仿宋_GB2312"/>
          <w:color w:val="auto"/>
          <w:sz w:val="28"/>
          <w:szCs w:val="28"/>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（联系方式为：</w:t>
      </w:r>
      <w:r>
        <w:rPr>
          <w:rFonts w:hint="eastAsia" w:ascii="仿宋_GB2312" w:hAnsi="仿宋_GB2312" w:eastAsia="仿宋_GB2312" w:cs="仿宋_GB2312"/>
          <w:color w:val="auto"/>
          <w:sz w:val="28"/>
          <w:szCs w:val="28"/>
          <w:u w:val="single"/>
          <w:lang w:val="en-US" w:eastAsia="zh-CN"/>
        </w:rPr>
        <w:t xml:space="preserve">           </w:t>
      </w:r>
      <w:permEnd w:id="5"/>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在乙方将货物送至现场后，甲方有权在现场车上或货物堆放在指定地点后按物品的特性及行业惯例进行验收。如甲方认为乙方送货的数量与送货单记载数量不符的，则可以随时抽检。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lang w:val="en-US"/>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四</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yellow"/>
          <w:u w:val="single"/>
          <w:lang w:val="en-US" w:eastAsia="zh-CN"/>
        </w:rPr>
        <w:t xml:space="preserve">   </w:t>
      </w:r>
      <w:permEnd w:id="6"/>
      <w:r>
        <w:rPr>
          <w:rFonts w:hint="eastAsia" w:ascii="仿宋_GB2312" w:hAnsi="仿宋_GB2312" w:eastAsia="仿宋_GB2312" w:cs="仿宋_GB2312"/>
          <w:color w:val="auto"/>
          <w:sz w:val="28"/>
          <w:szCs w:val="28"/>
          <w:lang w:val="en-US" w:eastAsia="zh-CN"/>
        </w:rPr>
        <w:t>年，质量保证期（以下简称质保期）为交工验收合格后</w:t>
      </w:r>
      <w:r>
        <w:rPr>
          <w:rFonts w:hint="eastAsia" w:ascii="仿宋_GB2312" w:hAnsi="仿宋_GB2312" w:eastAsia="仿宋_GB2312" w:cs="仿宋_GB2312"/>
          <w:color w:val="auto"/>
          <w:sz w:val="28"/>
          <w:szCs w:val="28"/>
          <w:u w:val="single"/>
          <w:lang w:val="en-US" w:eastAsia="zh-CN"/>
        </w:rPr>
        <w:t xml:space="preserve"> </w:t>
      </w:r>
      <w:permStart w:id="7"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highlight w:val="yellow"/>
          <w:u w:val="singl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permEnd w:id="7"/>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u w:val="none"/>
          <w:lang w:val="en-US" w:eastAsia="zh-CN"/>
        </w:rPr>
      </w:pPr>
      <w:permStart w:id="8" w:edGrp="everyone"/>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1.货到工地经甲方指定签收人验收合格并签收，当货物金额达到合同金额的50%后办理第一批货款支付，支付已供货物价款的70%。</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2.产品全部供货到现场经甲方指定验收人验收合格并办理完成结算手续后，甲方向丙方支付至结算价的97%。</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3.剩余3%作为质保金，在缺陷责任期结束后，无质量问题一次性无息支付。</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5.乙方提供符合采购人财务要求的国家税务局13%增值税专用发票后办理结算，发票需要做到“三流一致”，也即“货物、劳务及应税服务流”、“资金流”、“发票流”必须都是同一受票方。</w:t>
      </w:r>
    </w:p>
    <w:permEnd w:id="8"/>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2.乙方必须服从甲方指定项目部的全面协调管理工作，乙方在装卸中，严格遵守执行安全操作规范、防火规定、工艺规范等规范规定以及质量标准。</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3.乙方要保证项目的供货进度，不得拖延，如因乙方造成工期拖延</w:t>
      </w:r>
      <w:r>
        <w:rPr>
          <w:rFonts w:hint="eastAsia" w:ascii="仿宋_GB2312" w:hAnsi="仿宋_GB2312" w:eastAsia="仿宋_GB2312" w:cs="仿宋_GB2312"/>
          <w:color w:val="auto"/>
          <w:sz w:val="28"/>
          <w:szCs w:val="28"/>
          <w:highlight w:val="none"/>
          <w:lang w:val="en-US" w:eastAsia="zh-CN"/>
        </w:rPr>
        <w:t>，乙方将承担给甲方造成的一切损失。乙方应保证甲方项目施工现场整洁，做好成品保护及甲方财产保护工作。乙方应确保货物到现场装卸过程中的安全，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4.乙方必须保证甲方在</w:t>
      </w:r>
      <w:r>
        <w:rPr>
          <w:rFonts w:hint="eastAsia" w:ascii="仿宋_GB2312" w:hAnsi="仿宋_GB2312" w:eastAsia="仿宋_GB2312" w:cs="仿宋_GB2312"/>
          <w:color w:val="auto"/>
          <w:sz w:val="28"/>
          <w:szCs w:val="28"/>
          <w:lang w:val="en-US" w:eastAsia="zh-CN"/>
        </w:rPr>
        <w:t>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permStart w:id="9" w:edGrp="everyone"/>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ermEnd w:id="9"/>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permStart w:id="10" w:edGrp="everyone"/>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ermEnd w:id="10"/>
      <w:r>
        <w:rPr>
          <w:rFonts w:hint="eastAsia" w:ascii="仿宋_GB2312" w:hAnsi="仿宋_GB2312" w:eastAsia="仿宋_GB2312" w:cs="仿宋_GB2312"/>
          <w:color w:val="auto"/>
          <w:sz w:val="28"/>
          <w:szCs w:val="28"/>
          <w:lang w:val="en-US" w:eastAsia="zh-CN"/>
        </w:rPr>
        <w:t>项目名称）的采购人</w:t>
      </w:r>
      <w:permStart w:id="11" w:edGrp="everyone"/>
      <w:r>
        <w:rPr>
          <w:rFonts w:hint="eastAsia" w:ascii="仿宋_GB2312" w:hAnsi="仿宋_GB2312" w:eastAsia="仿宋_GB2312" w:cs="仿宋_GB2312"/>
          <w:color w:val="auto"/>
          <w:sz w:val="28"/>
          <w:szCs w:val="28"/>
          <w:u w:val="single"/>
          <w:lang w:val="en-US" w:eastAsia="zh-CN"/>
        </w:rPr>
        <w:t xml:space="preserve"> 安徽省经工物资有限公司  </w:t>
      </w:r>
      <w:permEnd w:id="11"/>
      <w:r>
        <w:rPr>
          <w:rFonts w:hint="eastAsia" w:ascii="仿宋_GB2312" w:hAnsi="仿宋_GB2312" w:eastAsia="仿宋_GB2312" w:cs="仿宋_GB2312"/>
          <w:color w:val="auto"/>
          <w:sz w:val="28"/>
          <w:szCs w:val="28"/>
          <w:lang w:val="en-US" w:eastAsia="zh-CN"/>
        </w:rPr>
        <w:t>（采购人名称，以下简称甲方）与该项目的供货商</w:t>
      </w:r>
      <w:permStart w:id="12" w:edGrp="everyone"/>
      <w:r>
        <w:rPr>
          <w:rFonts w:hint="eastAsia" w:ascii="仿宋_GB2312" w:hAnsi="仿宋_GB2312" w:eastAsia="仿宋_GB2312" w:cs="仿宋_GB2312"/>
          <w:color w:val="auto"/>
          <w:sz w:val="28"/>
          <w:szCs w:val="28"/>
          <w:u w:val="single"/>
          <w:lang w:val="en-US" w:eastAsia="zh-CN"/>
        </w:rPr>
        <w:t xml:space="preserve">               </w:t>
      </w:r>
      <w:permEnd w:id="12"/>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permStart w:id="13"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permStart w:id="14" w:edGrp="everyone"/>
      <w:r>
        <w:rPr>
          <w:rFonts w:hint="eastAsia" w:ascii="仿宋_GB2312" w:hAnsi="仿宋_GB2312" w:eastAsia="仿宋_GB2312" w:cs="仿宋_GB2312"/>
          <w:color w:val="auto"/>
          <w:sz w:val="28"/>
          <w:szCs w:val="28"/>
          <w:u w:val="single"/>
          <w:lang w:val="en-US" w:eastAsia="zh-CN"/>
        </w:rPr>
        <w:t xml:space="preserve">                             </w:t>
      </w:r>
      <w:permEnd w:id="14"/>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permStart w:id="15" w:edGrp="everyone"/>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ermEnd w:id="15"/>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permStart w:id="16" w:edGrp="everyone"/>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u w:val="single"/>
          <w:lang w:val="en-US" w:eastAsia="zh-CN"/>
        </w:rPr>
        <w:t xml:space="preserve"> 安徽省经工物资有限公司    </w:t>
      </w:r>
      <w:permEnd w:id="16"/>
      <w:r>
        <w:rPr>
          <w:rFonts w:hint="eastAsia" w:ascii="仿宋_GB2312" w:hAnsi="仿宋_GB2312" w:eastAsia="仿宋_GB2312" w:cs="仿宋_GB2312"/>
          <w:color w:val="auto"/>
          <w:sz w:val="28"/>
          <w:szCs w:val="28"/>
          <w:lang w:val="en-US" w:eastAsia="zh-CN"/>
        </w:rPr>
        <w:t>（采购人名称，以下简称甲方）与该项目的供货商</w:t>
      </w:r>
      <w:permStart w:id="17" w:edGrp="everyone"/>
      <w:r>
        <w:rPr>
          <w:rFonts w:hint="eastAsia" w:ascii="仿宋_GB2312" w:hAnsi="仿宋_GB2312" w:eastAsia="仿宋_GB2312" w:cs="仿宋_GB2312"/>
          <w:color w:val="auto"/>
          <w:sz w:val="28"/>
          <w:szCs w:val="28"/>
          <w:u w:val="single"/>
          <w:lang w:val="en-US" w:eastAsia="zh-CN"/>
        </w:rPr>
        <w:t xml:space="preserve">              </w:t>
      </w:r>
      <w:permEnd w:id="17"/>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pPr>
        <w:pStyle w:val="17"/>
        <w:rPr>
          <w:rFonts w:hint="eastAsia"/>
          <w:lang w:eastAsia="zh-CN"/>
        </w:rPr>
      </w:pPr>
    </w:p>
    <w:p>
      <w:pPr>
        <w:numPr>
          <w:ilvl w:val="0"/>
          <w:numId w:val="0"/>
        </w:numPr>
        <w:outlineLvl w:val="9"/>
        <w:rPr>
          <w:rFonts w:hint="eastAsia"/>
        </w:rPr>
      </w:pPr>
    </w:p>
    <w:p>
      <w:pPr>
        <w:outlineLvl w:val="9"/>
        <w:rPr>
          <w:rFonts w:hint="eastAsia"/>
        </w:rPr>
      </w:pPr>
    </w:p>
    <w:bookmarkEnd w:id="145"/>
    <w:bookmarkEnd w:id="146"/>
    <w:bookmarkEnd w:id="147"/>
    <w:bookmarkEnd w:id="148"/>
    <w:bookmarkEnd w:id="149"/>
    <w:bookmarkEnd w:id="150"/>
    <w:p>
      <w:pPr>
        <w:pStyle w:val="3"/>
        <w:spacing w:before="312" w:after="312"/>
        <w:rPr>
          <w:rFonts w:ascii="Times New Roman" w:hAnsi="Times New Roman" w:eastAsia="宋体" w:cs="Times New Roman"/>
        </w:rPr>
      </w:pPr>
      <w:bookmarkStart w:id="151" w:name="_Toc31285"/>
      <w:r>
        <w:rPr>
          <w:rFonts w:ascii="Times New Roman" w:hAnsi="Times New Roman" w:eastAsia="宋体" w:cs="Times New Roman"/>
        </w:rPr>
        <w:t>采购需求及清单</w:t>
      </w:r>
      <w:bookmarkEnd w:id="151"/>
    </w:p>
    <w:p>
      <w:pPr>
        <w:spacing w:line="440" w:lineRule="exact"/>
        <w:outlineLvl w:val="9"/>
        <w:rPr>
          <w:rFonts w:ascii="Times New Roman" w:hAnsi="Times New Roman" w:eastAsia="黑体" w:cs="Times New Roman"/>
          <w:sz w:val="28"/>
          <w:szCs w:val="28"/>
        </w:rPr>
      </w:pPr>
      <w:bookmarkStart w:id="152" w:name="_Toc27821_WPSOffice_Level2"/>
      <w:bookmarkStart w:id="153" w:name="_Toc28814_WPSOffice_Level2"/>
      <w:bookmarkStart w:id="154" w:name="_Toc10970_WPSOffice_Level1"/>
    </w:p>
    <w:p>
      <w:pPr>
        <w:numPr>
          <w:ilvl w:val="0"/>
          <w:numId w:val="0"/>
        </w:numPr>
        <w:snapToGrid w:val="0"/>
        <w:spacing w:before="120" w:after="120" w:line="240" w:lineRule="auto"/>
        <w:ind w:left="630"/>
        <w:outlineLvl w:val="9"/>
      </w:pPr>
      <w:r>
        <w:rPr>
          <w:rFonts w:ascii="Times New Roman" w:hAnsi="Times New Roman" w:eastAsia="黑体" w:cs="Times New Roman"/>
          <w:sz w:val="20"/>
          <w:szCs w:val="20"/>
        </w:rPr>
        <w:br w:type="page"/>
      </w:r>
      <w:bookmarkEnd w:id="152"/>
      <w:bookmarkEnd w:id="153"/>
      <w:bookmarkEnd w:id="154"/>
    </w:p>
    <w:p>
      <w:pPr>
        <w:pStyle w:val="24"/>
        <w:ind w:left="0" w:leftChars="0" w:firstLine="0" w:firstLineChars="0"/>
        <w:jc w:val="center"/>
        <w:rPr>
          <w:rFonts w:hint="eastAsia" w:ascii="宋体" w:hAnsi="宋体" w:cs="宋体"/>
          <w:b/>
          <w:bCs/>
          <w:color w:val="000000"/>
          <w:sz w:val="21"/>
          <w:szCs w:val="21"/>
          <w:highlight w:val="none"/>
          <w:u w:val="none"/>
          <w:vertAlign w:val="baseline"/>
          <w:lang w:val="en-US" w:eastAsia="zh-CN"/>
        </w:rPr>
      </w:pPr>
      <w:r>
        <w:rPr>
          <w:rFonts w:hint="eastAsia" w:ascii="宋体" w:hAnsi="宋体" w:cs="宋体"/>
          <w:b/>
          <w:bCs/>
          <w:color w:val="000000"/>
          <w:sz w:val="28"/>
          <w:szCs w:val="28"/>
          <w:highlight w:val="none"/>
          <w:u w:val="none"/>
          <w:vertAlign w:val="baseline"/>
          <w:lang w:val="en-US" w:eastAsia="zh-CN"/>
        </w:rPr>
        <w:t>一、防水材料报价清单</w:t>
      </w:r>
    </w:p>
    <w:p>
      <w:pPr>
        <w:snapToGrid w:val="0"/>
        <w:spacing w:line="400" w:lineRule="exact"/>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（清单详见附件）</w:t>
      </w:r>
    </w:p>
    <w:p>
      <w:pPr>
        <w:pStyle w:val="2"/>
        <w:rPr>
          <w:rFonts w:hint="eastAsia"/>
          <w:lang w:val="en-US" w:eastAsia="zh-CN"/>
        </w:rPr>
      </w:pPr>
    </w:p>
    <w:p>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涉及防水材料检测复试费用均由供应商承担，抽检频率和批次按国家、行业标准或甲方要求执行。</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4.防水材料须在包装外壁醒目位置及卷材上永久性标示生产厂家、生产批次、品牌标志、规格型号、唯一性可追溯性编码标识（如二维码）等信息。</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5.防水材料供货进度应满足采购人工程进度分批次实施的安排和要求，中标人应充分理解并全力配合采购人的防水材料采购、进场工作，并承担因送货次数增加而引起的运输成本增加等相应风险。</w:t>
      </w:r>
    </w:p>
    <w:p>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防水材料质量负总责，材料进场应按程序履行报验、交接手续；因防水材料质量问题，将视作违约，中标人须赔偿由此造成返工的全部工程建设费用及其他一切损失，同时由采购人追究中标人的违约责任，情节严重的，依法追究相关责任。</w:t>
      </w:r>
    </w:p>
    <w:p>
      <w:pPr>
        <w:pStyle w:val="2"/>
        <w:rPr>
          <w:rFonts w:hint="eastAsia" w:ascii="宋体" w:hAnsi="宋体" w:cs="宋体"/>
          <w:b w:val="0"/>
          <w:bCs/>
          <w:color w:val="000000" w:themeColor="text1"/>
          <w:sz w:val="24"/>
          <w:lang w:val="en-US" w:eastAsia="zh-CN"/>
          <w14:textFill>
            <w14:solidFill>
              <w14:schemeClr w14:val="tx1"/>
            </w14:solidFill>
          </w14:textFill>
        </w:rPr>
      </w:pPr>
    </w:p>
    <w:p>
      <w:pPr>
        <w:pStyle w:val="16"/>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品牌要求</w:t>
      </w:r>
    </w:p>
    <w:p>
      <w:pPr>
        <w:pStyle w:val="17"/>
        <w:ind w:left="0" w:leftChars="0" w:firstLine="0" w:firstLineChars="0"/>
        <w:jc w:val="both"/>
        <w:rPr>
          <w:rFonts w:hint="eastAsia"/>
          <w:lang w:val="en-US" w:eastAsia="zh-CN"/>
        </w:rPr>
      </w:pPr>
      <w:r>
        <w:drawing>
          <wp:inline distT="0" distB="0" distL="114300" distR="114300">
            <wp:extent cx="5272405" cy="1003935"/>
            <wp:effectExtent l="0" t="0" r="10795" b="1206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6"/>
                    <a:stretch>
                      <a:fillRect/>
                    </a:stretch>
                  </pic:blipFill>
                  <pic:spPr>
                    <a:xfrm>
                      <a:off x="0" y="0"/>
                      <a:ext cx="5272405" cy="1003935"/>
                    </a:xfrm>
                    <a:prstGeom prst="rect">
                      <a:avLst/>
                    </a:prstGeom>
                    <a:noFill/>
                    <a:ln>
                      <a:noFill/>
                    </a:ln>
                  </pic:spPr>
                </pic:pic>
              </a:graphicData>
            </a:graphic>
          </wp:inline>
        </w:drawing>
      </w:r>
    </w:p>
    <w:p>
      <w:pPr>
        <w:rPr>
          <w:rFonts w:ascii="Times New Roman" w:hAnsi="Times New Roman" w:cs="Times New Roman"/>
        </w:rPr>
      </w:pPr>
      <w:r>
        <w:rPr>
          <w:rFonts w:ascii="Times New Roman" w:hAnsi="Times New Roman" w:cs="Times New Roman"/>
        </w:rPr>
        <w:br w:type="page"/>
      </w:r>
    </w:p>
    <w:p>
      <w:pPr>
        <w:pStyle w:val="2"/>
      </w:pPr>
    </w:p>
    <w:p>
      <w:pPr>
        <w:pStyle w:val="16"/>
        <w:rPr>
          <w:rFonts w:hint="eastAsia"/>
          <w:sz w:val="32"/>
          <w:szCs w:val="32"/>
          <w:lang w:val="en-US" w:eastAsia="zh-CN"/>
        </w:rPr>
      </w:pPr>
      <w:r>
        <w:rPr>
          <w:rFonts w:hint="eastAsia"/>
          <w:sz w:val="32"/>
          <w:szCs w:val="32"/>
          <w:lang w:val="en-US" w:eastAsia="zh-CN"/>
        </w:rPr>
        <w:t>包段明细</w:t>
      </w:r>
    </w:p>
    <w:p>
      <w:pPr>
        <w:pStyle w:val="17"/>
        <w:jc w:val="both"/>
        <w:rPr>
          <w:rFonts w:hint="default"/>
          <w:lang w:val="en-US" w:eastAsia="zh-CN"/>
        </w:rPr>
      </w:pPr>
    </w:p>
    <w:tbl>
      <w:tblPr>
        <w:tblStyle w:val="26"/>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7"/>
        <w:gridCol w:w="1016"/>
        <w:gridCol w:w="839"/>
        <w:gridCol w:w="1472"/>
        <w:gridCol w:w="1041"/>
        <w:gridCol w:w="616"/>
        <w:gridCol w:w="148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项目标段</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标段名称</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材料名称</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规格型号</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单位</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安徽交控东流新材料有限公司柯家村矿区及深加工产业园房建工程(EPC)</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安徽省池州市东至县东流镇</w:t>
            </w:r>
          </w:p>
          <w:p>
            <w:pPr>
              <w:jc w:val="center"/>
              <w:rPr>
                <w:rFonts w:hint="eastAsia" w:ascii="Arial" w:hAnsi="Arial" w:eastAsia="宋体" w:cs="Arial"/>
                <w:i w:val="0"/>
                <w:iCs w:val="0"/>
                <w:color w:val="000000"/>
                <w:sz w:val="20"/>
                <w:szCs w:val="20"/>
                <w:u w:val="none"/>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102768.0773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2015.100352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6573.90036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JS复合防水涂料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87916.90635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非固化橡胶沥青防水涂料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11442.26296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 SBS 改性沥青防水卷材(聚酯胎Ⅱ型)  </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124.39791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 SBS 改性沥青防水卷材(聚酯胎Ⅱ型)  </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3mm</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124.39791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522.882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SBS改性沥青自粘防水卷材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2791.87525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SBS改性沥青自粘防水卷材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2.0mm</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6637.826125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SBS改性沥青自粘防水卷材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3.0mm</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1092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水泥基渗透结晶防水涂料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7768.4544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非固化橡胶沥青防水涂料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6154.874272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耐根穿刺4mm</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540.5184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2176.94034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三元乙丙防水卷材 1.5 厚</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4399.08182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天天高速公路无为至安庆段</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金社服务区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14319.26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金社服务区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516.03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金社服务区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JS复合防水涂料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12991.14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金社服务区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JS复合防水涂料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1656.43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金社服务区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10901.38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金社服务区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1542.32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金社服务区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2350.22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金社服务区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1191.00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金社服务区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813.11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竹丝湖服务区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13307.42038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竹丝湖服务区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516.03384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竹丝湖服务区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JS复合防水涂料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16466.373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竹丝湖服务区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JS复合防水涂料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1656.4275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竹丝湖服务区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13163.16401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竹丝湖服务区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1380.722706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竹丝湖服务区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1948.843314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竹丝湖服务区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571.78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枞阳收费站、巨石山收费站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9894.80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枞阳收费站、巨石山收费站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12133.27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枞阳收费站、巨石山收费站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JS复合防水涂料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46685.57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枞阳收费站、巨石山收费站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135.85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枞阳收费站、巨石山收费站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1039.24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枞阳收费站、巨石山收费站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6728.66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枞阳收费站、巨石山收费站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2mm厚SBS改性沥青卷材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767.78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枞阳收费站、巨石山收费站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3708.45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枞阳收费站、巨石山收费站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28.88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枞阳收费站、巨石山收费站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489.30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枞阳收费站、巨石山收费站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461.55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标段四</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陈瑶湖收费站及交警营房、项铺收费站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10622.98426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标段四</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陈瑶湖收费站及交警营房、项铺收费站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12986.333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标段四</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陈瑶湖收费站及交警营房、项铺收费站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JS复合防水涂料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50546.2734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标段四</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陈瑶湖收费站及交警营房、项铺收费站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135.854928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标段四</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陈瑶湖收费站及交警营房、项铺收费站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44.042427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标段四</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陈瑶湖收费站及交警营房、项铺收费站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1068.955866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标段四</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陈瑶湖收费站及交警营房、项铺收费站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8351.252448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标段四</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陈瑶湖收费站及交警营房、项铺收费站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2mm厚SBS改性沥青卷材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805.197294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标段四</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陈瑶湖收费站及交警营房、项铺收费站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3894.890637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标段四</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陈瑶湖收费站及交警营房、项铺收费站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14.440734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标段四</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陈瑶湖收费站及交警营房、项铺收费站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499.275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标段四</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陈瑶湖收费站及交警营房、项铺收费站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478.7625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养护工区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5049.13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养护工区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JS复合防水涂料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2060.45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养护工区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水泥基渗透结晶防水涂料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5192.64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养护工区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433.86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养护工区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1502.98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养护工区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98.93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养护工区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2mm厚SBS改性沥青卷材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98.93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养护工区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807.00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养护工区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720.51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养护工区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SBS改性沥青自粘防水卷材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0.6mm</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720.10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牛埠收费站及养护工区、隧道配电房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4947.397628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牛埠收费站及养护工区、隧道配电房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6134.047992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牛埠收费站及养护工区、隧道配电房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JS复合防水涂料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23707.50795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牛埠收费站及养护工区、隧道配电房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67.927464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牛埠收费站及养护工区、隧道配电房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519.620508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牛埠收费站及养护工区、隧道配电房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3424.598364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牛埠收费站及养护工区、隧道配电房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2mm厚SBS改性沥青卷材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383.888538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牛埠收费站及养护工区、隧道配电房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1812.744846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牛埠收费站及养护工区、隧道配电房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14.440734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牛埠收费站及养护工区、隧道配电房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244.65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牛埠收费站及养护工区、隧道配电房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230.775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隧道变电所</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8476.36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隧道变电所</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1104.74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隧道变电所</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7747.50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隧道变电所</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2mm厚SBS改性沥青卷材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509.43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隧道变电所</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567.57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隧道变电所</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571.23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标段六</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钢结构、部分装饰工程</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1008.55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标段六</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钢结构、部分装饰工程</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JS复合防水涂料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675.93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标段六</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钢结构、部分装饰工程</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955.80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污水处理土建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102.85392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污水处理土建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1238.62908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污水处理土建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水泥基渗透结晶防水涂料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47.0232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污水处理土建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水泥基渗透结晶防水涂料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566.2818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污水处理土建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33.75756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污水处理土建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79.02846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服务区室外附属工程、绿化景观、铺装工程</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1483.48827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徐州至淮北至阜阳高速公路亳州段房建工程</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污水处理土建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1172.23704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污水处理土建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水泥基渗透结晶防水涂料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46.2672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污水处理土建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水泥基渗透结晶防水涂料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489.6612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污水处理土建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11.25252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标段八</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污水处理土建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63.26748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57448.9876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7861.374484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JS复合防水涂料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13378.743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JS复合防水涂料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2445.7545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聚合物水泥基防水涂料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219.4605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12218.54162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3厚自粘聚合物改性沥青防水卷材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1810.665846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1810.665846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911.780298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869.545314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1282.176324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标段十一</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875.14625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标段十二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徐州至淮北至阜阳高速公路亳州段，收费站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21078.59786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徐州至淮北至阜阳高速公路亳州段，收费站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12388.40596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标段十二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徐州至淮北至阜阳高速公路亳州段，收费站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20860.48936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徐州至淮北至阜阳高速公路亳州段，收费站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401.747632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标段十二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徐州至淮北至阜阳高速公路亳州段，收费站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高分子涂膜防水</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16.536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徐州至淮北至阜阳高速公路亳州段，收费站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JS复合防水涂料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1991.241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标段十二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徐州至淮北至阜阳高速公路亳州段，收费站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2891.700669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徐州至淮北至阜阳高速公路亳州段，收费站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2095.489812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标段十二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徐州至淮北至阜阳高速公路亳州段，收费站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4mm厚SBS改性沥青卷材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789.977826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徐州至淮北至阜阳高速公路亳州段，收费站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3193.265955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标段十二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徐州至淮北至阜阳高速公路亳州段，收费站</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3厚高聚物改性沥青卷材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278.06625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标段十三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蚌埠管理处</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APP</w:t>
            </w:r>
            <w:r>
              <w:rPr>
                <w:rFonts w:hint="eastAsia" w:ascii="宋体" w:hAnsi="宋体" w:eastAsia="宋体" w:cs="宋体"/>
                <w:i w:val="0"/>
                <w:iCs w:val="0"/>
                <w:color w:val="000000"/>
                <w:kern w:val="0"/>
                <w:sz w:val="20"/>
                <w:szCs w:val="20"/>
                <w:u w:val="none"/>
                <w:lang w:val="en-US" w:eastAsia="zh-CN" w:bidi="ar"/>
              </w:rPr>
              <w:t>聚脂胎乙烯膜卷材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128.639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蚌埠管理处</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单组份聚氨酯防水涂料Ⅰ型</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12155.74624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蚌埠管理处</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JS复合防水涂料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2054.2725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标段十五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蚌埠管理处</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3mm厚SBS改性沥青防水卷材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1317.504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bl>
    <w:p>
      <w:pPr>
        <w:pStyle w:val="16"/>
      </w:pPr>
    </w:p>
    <w:p>
      <w:pPr>
        <w:pStyle w:val="17"/>
      </w:pPr>
    </w:p>
    <w:p/>
    <w:p>
      <w:pPr>
        <w:pStyle w:val="2"/>
      </w:pPr>
    </w:p>
    <w:p>
      <w:pPr>
        <w:pStyle w:val="16"/>
      </w:pPr>
    </w:p>
    <w:p>
      <w:pPr>
        <w:pStyle w:val="17"/>
      </w:pPr>
    </w:p>
    <w:p/>
    <w:p>
      <w:pPr>
        <w:pStyle w:val="2"/>
      </w:pPr>
    </w:p>
    <w:p>
      <w:pPr>
        <w:pStyle w:val="16"/>
      </w:pPr>
    </w:p>
    <w:p>
      <w:pPr>
        <w:pStyle w:val="17"/>
      </w:pPr>
    </w:p>
    <w:p/>
    <w:p>
      <w:pPr>
        <w:pStyle w:val="2"/>
      </w:pPr>
    </w:p>
    <w:p>
      <w:pPr>
        <w:pStyle w:val="2"/>
      </w:pPr>
    </w:p>
    <w:p>
      <w:pPr>
        <w:pStyle w:val="16"/>
      </w:pPr>
    </w:p>
    <w:p>
      <w:pPr>
        <w:pStyle w:val="3"/>
        <w:spacing w:before="312" w:after="312"/>
        <w:rPr>
          <w:rFonts w:ascii="Times New Roman" w:hAnsi="Times New Roman" w:eastAsia="宋体" w:cs="Times New Roman"/>
        </w:rPr>
      </w:pPr>
      <w:bookmarkStart w:id="155" w:name="_Toc17056"/>
      <w:r>
        <w:rPr>
          <w:rFonts w:ascii="Times New Roman" w:hAnsi="Times New Roman" w:eastAsia="宋体" w:cs="Times New Roman"/>
        </w:rPr>
        <w:t>响应文件格式</w:t>
      </w:r>
      <w:bookmarkEnd w:id="155"/>
    </w:p>
    <w:p>
      <w:pPr>
        <w:jc w:val="center"/>
        <w:outlineLvl w:val="9"/>
        <w:rPr>
          <w:rFonts w:ascii="Times New Roman" w:hAnsi="Times New Roman" w:eastAsia="黑体" w:cs="Times New Roman"/>
          <w:sz w:val="50"/>
          <w:szCs w:val="50"/>
        </w:rPr>
      </w:pPr>
      <w:bookmarkStart w:id="156" w:name="_Toc17394_WPSOffice_Level1"/>
      <w:bookmarkStart w:id="157" w:name="_Toc11117"/>
      <w:bookmarkStart w:id="158" w:name="_Toc24135"/>
      <w:bookmarkStart w:id="159" w:name="_Toc1914_WPSOffice_Level1"/>
      <w:bookmarkStart w:id="160" w:name="_Toc3664"/>
      <w:bookmarkStart w:id="161" w:name="_Toc6393_WPSOffice_Level1"/>
      <w:bookmarkStart w:id="162" w:name="_Toc27552_WPSOffice_Level1"/>
      <w:bookmarkStart w:id="163" w:name="_Toc5145_WPSOffice_Level1"/>
      <w:bookmarkStart w:id="164" w:name="_Toc16966_WPSOffice_Level1"/>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pStyle w:val="16"/>
      </w:pPr>
    </w:p>
    <w:bookmarkEnd w:id="156"/>
    <w:bookmarkEnd w:id="157"/>
    <w:bookmarkEnd w:id="158"/>
    <w:bookmarkEnd w:id="159"/>
    <w:bookmarkEnd w:id="160"/>
    <w:bookmarkEnd w:id="161"/>
    <w:bookmarkEnd w:id="162"/>
    <w:bookmarkEnd w:id="163"/>
    <w:bookmarkEnd w:id="164"/>
    <w:p>
      <w:pPr>
        <w:pStyle w:val="25"/>
      </w:pPr>
    </w:p>
    <w:p>
      <w:pPr>
        <w:spacing w:line="440" w:lineRule="exact"/>
        <w:jc w:val="center"/>
        <w:rPr>
          <w:rFonts w:hint="default"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u w:val="none"/>
          <w:lang w:val="en-US" w:eastAsia="zh-CN"/>
        </w:rPr>
        <w:t>（包段号）</w:t>
      </w: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25"/>
        <w:jc w:val="left"/>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sz w:val="50"/>
          <w:szCs w:val="50"/>
          <w:lang w:val="en-US" w:eastAsia="zh-CN"/>
        </w:rPr>
        <w:t xml:space="preserve">     </w:t>
      </w:r>
      <w:r>
        <w:rPr>
          <w:rFonts w:hint="eastAsia" w:ascii="Times New Roman" w:hAnsi="Times New Roman" w:eastAsia="黑体" w:cs="Times New Roman"/>
          <w:kern w:val="2"/>
          <w:sz w:val="28"/>
          <w:szCs w:val="28"/>
          <w:lang w:val="en-US" w:eastAsia="zh-CN" w:bidi="ar-SA"/>
        </w:rPr>
        <w:t>（商务及技术文件）</w:t>
      </w: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165" w:name="_Toc25232_WPSOffice_Level2"/>
      <w:bookmarkStart w:id="166"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65"/>
      <w:bookmarkEnd w:id="166"/>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67" w:name="_Toc20076_WPSOffice_Level2"/>
      <w:bookmarkStart w:id="168"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67"/>
      <w:bookmarkEnd w:id="168"/>
    </w:p>
    <w:p>
      <w:pPr>
        <w:jc w:val="center"/>
        <w:rPr>
          <w:rFonts w:ascii="Times New Roman" w:hAnsi="Times New Roman" w:eastAsia="黑体" w:cs="Times New Roman"/>
          <w:sz w:val="20"/>
          <w:szCs w:val="20"/>
        </w:rPr>
        <w:sectPr>
          <w:headerReference r:id="rId11" w:type="default"/>
          <w:footerReference r:id="rId12"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ascii="Times New Roman" w:hAnsi="Times New Roman" w:eastAsia="黑体" w:cs="Times New Roman"/>
          <w:sz w:val="20"/>
          <w:szCs w:val="20"/>
        </w:rPr>
        <w:br w:type="page"/>
      </w:r>
      <w:bookmarkStart w:id="169" w:name="_Toc12530_WPSOffice_Level1"/>
      <w:bookmarkStart w:id="170" w:name="_Toc18668_WPSOffice_Level1"/>
      <w:bookmarkStart w:id="171" w:name="_Toc7337"/>
      <w:bookmarkStart w:id="172" w:name="_Toc8695_WPSOffice_Level1"/>
      <w:bookmarkStart w:id="173" w:name="_Toc31127_WPSOffice_Level1"/>
      <w:bookmarkStart w:id="174" w:name="_Toc28026"/>
      <w:bookmarkStart w:id="175" w:name="_Toc13190_WPSOffice_Level1"/>
      <w:bookmarkStart w:id="176" w:name="_Toc15033"/>
      <w:bookmarkStart w:id="177" w:name="_Toc32350_WPSOffice_Level1"/>
      <w:bookmarkStart w:id="178" w:name="_Toc14563_WPSOffice_Level1"/>
    </w:p>
    <w:p>
      <w:pPr>
        <w:pStyle w:val="3"/>
        <w:numPr>
          <w:ilvl w:val="0"/>
          <w:numId w:val="0"/>
        </w:numPr>
        <w:jc w:val="center"/>
        <w:outlineLvl w:val="0"/>
        <w:rPr>
          <w:rFonts w:hint="eastAsia" w:eastAsia="方正小标宋_GBK"/>
          <w:lang w:eastAsia="zh-CN"/>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方正小标宋_GBK" w:hAnsi="方正小标宋_GBK" w:eastAsia="方正小标宋_GBK" w:cs="方正小标宋_GBK"/>
          <w:sz w:val="30"/>
          <w:szCs w:val="30"/>
          <w:highlight w:val="none"/>
        </w:rPr>
        <w:t>响应函</w:t>
      </w:r>
      <w:r>
        <w:rPr>
          <w:rFonts w:hint="eastAsia" w:ascii="方正小标宋_GBK" w:hAnsi="方正小标宋_GBK" w:eastAsia="方正小标宋_GBK" w:cs="方正小标宋_GBK"/>
          <w:sz w:val="30"/>
          <w:szCs w:val="30"/>
          <w:highlight w:val="none"/>
          <w:lang w:eastAsia="zh-CN"/>
        </w:rPr>
        <w:t>（不含报价）</w:t>
      </w:r>
    </w:p>
    <w:p>
      <w:pPr>
        <w:pStyle w:val="2"/>
        <w:tabs>
          <w:tab w:val="left" w:pos="972"/>
        </w:tabs>
        <w:spacing w:before="77"/>
        <w:ind w:left="235"/>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（包段）</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pPr>
        <w:pStyle w:val="49"/>
        <w:numPr>
          <w:ilvl w:val="0"/>
          <w:numId w:val="8"/>
        </w:numPr>
        <w:tabs>
          <w:tab w:val="left" w:pos="973"/>
        </w:tabs>
        <w:spacing w:line="48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pPr>
        <w:pStyle w:val="49"/>
        <w:tabs>
          <w:tab w:val="left" w:pos="973"/>
        </w:tabs>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pPr>
        <w:pStyle w:val="49"/>
        <w:tabs>
          <w:tab w:val="left" w:pos="973"/>
        </w:tabs>
        <w:spacing w:line="480" w:lineRule="exact"/>
        <w:ind w:left="560" w:firstLine="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pPr>
        <w:tabs>
          <w:tab w:val="left" w:pos="92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pPr>
        <w:tabs>
          <w:tab w:val="left" w:pos="920"/>
          <w:tab w:val="left" w:pos="3648"/>
        </w:tabs>
        <w:spacing w:line="480" w:lineRule="exact"/>
        <w:ind w:firstLine="474" w:firstLineChars="200"/>
        <w:rPr>
          <w:rFonts w:hint="eastAsia" w:ascii="宋体" w:hAnsi="宋体" w:eastAsia="宋体" w:cs="宋体"/>
          <w:sz w:val="24"/>
          <w:szCs w:val="24"/>
          <w:highlight w:val="none"/>
        </w:rPr>
      </w:pPr>
      <w:r>
        <w:rPr>
          <w:rFonts w:hint="eastAsia" w:ascii="宋体" w:hAnsi="宋体" w:eastAsia="宋体" w:cs="宋体"/>
          <w:w w:val="99"/>
          <w:sz w:val="24"/>
          <w:szCs w:val="24"/>
          <w:highlight w:val="none"/>
          <w:lang w:val="en-US" w:eastAsia="zh-CN"/>
        </w:rPr>
        <w:t>7</w:t>
      </w:r>
      <w:r>
        <w:rPr>
          <w:rFonts w:hint="eastAsia" w:ascii="宋体" w:hAnsi="宋体" w:eastAsia="宋体" w:cs="宋体"/>
          <w:w w:val="99"/>
          <w:sz w:val="24"/>
          <w:szCs w:val="24"/>
          <w:highlight w:val="none"/>
        </w:rPr>
        <w:t xml:space="preserve">.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pPr>
        <w:pStyle w:val="2"/>
        <w:spacing w:line="480" w:lineRule="exact"/>
        <w:rPr>
          <w:rFonts w:hint="eastAsia" w:ascii="宋体" w:hAnsi="宋体" w:eastAsia="宋体" w:cs="宋体"/>
          <w:sz w:val="24"/>
          <w:szCs w:val="24"/>
          <w:highlight w:val="none"/>
        </w:rPr>
      </w:pPr>
    </w:p>
    <w:p>
      <w:pPr>
        <w:pStyle w:val="2"/>
        <w:tabs>
          <w:tab w:val="left" w:pos="6379"/>
        </w:tabs>
        <w:spacing w:line="480" w:lineRule="exact"/>
        <w:ind w:firstLine="480" w:firstLineChars="200"/>
        <w:rPr>
          <w:rFonts w:hint="eastAsia" w:ascii="宋体" w:hAnsi="宋体" w:eastAsia="宋体" w:cs="宋体"/>
          <w:sz w:val="24"/>
          <w:szCs w:val="24"/>
          <w:highlight w:val="none"/>
        </w:rPr>
      </w:pPr>
    </w:p>
    <w:p>
      <w:pPr>
        <w:pStyle w:val="2"/>
        <w:tabs>
          <w:tab w:val="left" w:pos="6379"/>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179" w:name="_Hlk122530524"/>
      <w:r>
        <w:rPr>
          <w:rFonts w:hint="eastAsia" w:ascii="宋体" w:hAnsi="宋体" w:eastAsia="宋体" w:cs="宋体"/>
          <w:sz w:val="24"/>
          <w:szCs w:val="24"/>
          <w:highlight w:val="none"/>
          <w:u w:val="single"/>
        </w:rPr>
        <w:t xml:space="preserve">                         </w:t>
      </w:r>
      <w:bookmarkEnd w:id="179"/>
      <w:r>
        <w:rPr>
          <w:rFonts w:hint="eastAsia" w:ascii="宋体" w:hAnsi="宋体" w:eastAsia="宋体" w:cs="宋体"/>
          <w:sz w:val="24"/>
          <w:szCs w:val="24"/>
          <w:highlight w:val="none"/>
        </w:rPr>
        <w:t>（盖单位章）</w:t>
      </w:r>
    </w:p>
    <w:p>
      <w:pPr>
        <w:pStyle w:val="2"/>
        <w:tabs>
          <w:tab w:val="left" w:pos="6379"/>
        </w:tabs>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pPr>
        <w:pStyle w:val="2"/>
        <w:tabs>
          <w:tab w:val="left" w:leader="underscore" w:pos="5076"/>
        </w:tabs>
        <w:spacing w:before="3" w:line="520" w:lineRule="exact"/>
        <w:ind w:left="708" w:right="2081"/>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eastAsia="黑体" w:cs="Times New Roman"/>
          <w:sz w:val="28"/>
          <w:szCs w:val="28"/>
        </w:rPr>
      </w:pPr>
    </w:p>
    <w:p>
      <w:pPr>
        <w:pStyle w:val="16"/>
        <w:rPr>
          <w:rFonts w:ascii="Times New Roman" w:hAnsi="Times New Roman" w:eastAsia="黑体" w:cs="Times New Roman"/>
          <w:sz w:val="28"/>
          <w:szCs w:val="28"/>
        </w:rPr>
      </w:pPr>
    </w:p>
    <w:p>
      <w:pPr>
        <w:pStyle w:val="17"/>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
        <w:rPr>
          <w:rFonts w:ascii="Times New Roman" w:hAnsi="Times New Roman" w:eastAsia="黑体" w:cs="Times New Roman"/>
          <w:sz w:val="28"/>
          <w:szCs w:val="28"/>
        </w:rPr>
      </w:pPr>
    </w:p>
    <w:p>
      <w:pPr>
        <w:pStyle w:val="16"/>
        <w:rPr>
          <w:rFonts w:ascii="Times New Roman" w:hAnsi="Times New Roman" w:eastAsia="黑体" w:cs="Times New Roman"/>
          <w:sz w:val="28"/>
          <w:szCs w:val="28"/>
        </w:rPr>
      </w:pPr>
    </w:p>
    <w:p>
      <w:pPr>
        <w:pStyle w:val="17"/>
        <w:rPr>
          <w:rFonts w:ascii="Times New Roman" w:hAnsi="Times New Roman" w:eastAsia="黑体" w:cs="Times New Roman"/>
          <w:sz w:val="28"/>
          <w:szCs w:val="28"/>
        </w:rPr>
      </w:pPr>
    </w:p>
    <w:p/>
    <w:p>
      <w:pPr>
        <w:pStyle w:val="34"/>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lang w:eastAsia="zh-CN"/>
        </w:rPr>
        <w:t>二、</w:t>
      </w:r>
      <w:r>
        <w:rPr>
          <w:rFonts w:ascii="Times New Roman" w:hAnsi="Times New Roman" w:eastAsia="黑体" w:cs="Times New Roman"/>
          <w:sz w:val="28"/>
          <w:szCs w:val="28"/>
        </w:rPr>
        <w:t>法定代表人身份证明及授权委托书</w:t>
      </w:r>
      <w:bookmarkEnd w:id="169"/>
      <w:bookmarkEnd w:id="170"/>
      <w:bookmarkEnd w:id="171"/>
      <w:bookmarkEnd w:id="172"/>
      <w:bookmarkEnd w:id="173"/>
      <w:bookmarkEnd w:id="174"/>
      <w:bookmarkEnd w:id="175"/>
      <w:bookmarkEnd w:id="176"/>
      <w:bookmarkEnd w:id="177"/>
      <w:bookmarkEnd w:id="178"/>
    </w:p>
    <w:p>
      <w:pPr>
        <w:spacing w:line="440" w:lineRule="exact"/>
        <w:rPr>
          <w:rFonts w:ascii="Times New Roman" w:hAnsi="Times New Roman" w:cs="Times New Roman"/>
          <w:sz w:val="20"/>
          <w:szCs w:val="20"/>
        </w:rPr>
      </w:pPr>
    </w:p>
    <w:p>
      <w:pPr>
        <w:spacing w:line="440" w:lineRule="exact"/>
        <w:jc w:val="center"/>
        <w:rPr>
          <w:rFonts w:ascii="Times New Roman" w:hAnsi="Times New Roman" w:cs="Times New Roman"/>
          <w:sz w:val="28"/>
          <w:szCs w:val="28"/>
        </w:rPr>
      </w:pPr>
      <w:bookmarkStart w:id="180" w:name="_Toc5153_WPSOffice_Level2"/>
      <w:bookmarkStart w:id="181" w:name="_Toc2080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180"/>
      <w:bookmarkEnd w:id="181"/>
    </w:p>
    <w:p>
      <w:pPr>
        <w:spacing w:line="440" w:lineRule="exact"/>
        <w:rPr>
          <w:rFonts w:ascii="Times New Roman" w:hAnsi="Times New Roman" w:cs="Times New Roman"/>
          <w:sz w:val="20"/>
          <w:szCs w:val="20"/>
        </w:rPr>
      </w:pPr>
    </w:p>
    <w:p>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182" w:name="_Toc19768_WPSOffice_Level2"/>
      <w:bookmarkStart w:id="183" w:name="_Toc12035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 xml:space="preserve">-2 </w:t>
      </w:r>
      <w:r>
        <w:rPr>
          <w:rFonts w:ascii="Times New Roman" w:hAnsi="Times New Roman" w:eastAsia="黑体" w:cs="Times New Roman"/>
          <w:sz w:val="28"/>
          <w:szCs w:val="28"/>
        </w:rPr>
        <w:t>授权委托书</w:t>
      </w:r>
      <w:bookmarkEnd w:id="182"/>
      <w:bookmarkEnd w:id="183"/>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pPr>
        <w:spacing w:line="440" w:lineRule="exact"/>
        <w:jc w:val="both"/>
        <w:rPr>
          <w:rFonts w:ascii="Times New Roman" w:hAnsi="Times New Roman" w:eastAsia="黑体" w:cs="Times New Roman"/>
          <w:sz w:val="24"/>
        </w:rPr>
      </w:pPr>
    </w:p>
    <w:p>
      <w:pPr>
        <w:spacing w:line="440" w:lineRule="exact"/>
        <w:jc w:val="both"/>
        <w:rPr>
          <w:rFonts w:ascii="Times New Roman" w:hAnsi="Times New Roman" w:eastAsia="黑体" w:cs="Times New Roman"/>
          <w:sz w:val="24"/>
        </w:rPr>
      </w:pPr>
    </w:p>
    <w:p>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topLinePunct/>
        <w:spacing w:line="440" w:lineRule="exact"/>
        <w:jc w:val="center"/>
        <w:outlineLvl w:val="0"/>
        <w:rPr>
          <w:rFonts w:ascii="Times New Roman" w:hAnsi="Times New Roman" w:eastAsia="黑体" w:cs="Times New Roman"/>
          <w:sz w:val="28"/>
          <w:szCs w:val="28"/>
        </w:rPr>
      </w:pPr>
      <w:bookmarkStart w:id="184" w:name="_Toc25920_WPSOffice_Level1"/>
      <w:bookmarkStart w:id="185" w:name="_Toc7738_WPSOffice_Level1"/>
      <w:bookmarkStart w:id="186" w:name="_Toc22815_WPSOffice_Level1"/>
      <w:bookmarkStart w:id="187" w:name="_Toc31445_WPSOffice_Level1"/>
      <w:bookmarkStart w:id="188" w:name="_Toc8790"/>
      <w:bookmarkStart w:id="189" w:name="_Toc10436_WPSOffice_Level1"/>
      <w:bookmarkStart w:id="190" w:name="_Toc27812_WPSOffice_Level1"/>
      <w:bookmarkStart w:id="191" w:name="_Toc23545_WPSOffice_Level1"/>
      <w:bookmarkStart w:id="192" w:name="_Toc23012"/>
      <w:bookmarkStart w:id="193" w:name="_Toc2376"/>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94" w:name="_Toc2807_WPSOffice_Level2"/>
      <w:bookmarkStart w:id="195" w:name="_Toc27600_WPSOffice_Level2"/>
      <w:r>
        <w:rPr>
          <w:rFonts w:ascii="Times New Roman" w:hAnsi="Times New Roman" w:eastAsia="黑体" w:cs="Times New Roman"/>
          <w:sz w:val="28"/>
          <w:szCs w:val="28"/>
        </w:rPr>
        <w:t>供应商基本情况</w:t>
      </w:r>
      <w:bookmarkEnd w:id="184"/>
      <w:bookmarkEnd w:id="185"/>
      <w:bookmarkEnd w:id="186"/>
      <w:bookmarkEnd w:id="187"/>
      <w:bookmarkEnd w:id="188"/>
      <w:bookmarkEnd w:id="189"/>
      <w:bookmarkEnd w:id="190"/>
      <w:bookmarkEnd w:id="191"/>
      <w:bookmarkEnd w:id="192"/>
      <w:bookmarkEnd w:id="193"/>
      <w:bookmarkEnd w:id="194"/>
      <w:bookmarkEnd w:id="195"/>
    </w:p>
    <w:p>
      <w:pPr>
        <w:topLinePunct/>
        <w:spacing w:line="440" w:lineRule="exact"/>
        <w:jc w:val="center"/>
        <w:rPr>
          <w:rFonts w:ascii="Times New Roman" w:hAnsi="Times New Roman" w:cs="Times New Roman"/>
          <w:sz w:val="23"/>
          <w:szCs w:val="23"/>
        </w:rPr>
      </w:pPr>
    </w:p>
    <w:tbl>
      <w:tblPr>
        <w:tblStyle w:val="26"/>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基本账户开户银行</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基本账户银行账号</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pPr>
        <w:widowControl/>
        <w:autoSpaceDE w:val="0"/>
        <w:autoSpaceDN w:val="0"/>
        <w:spacing w:line="360" w:lineRule="atLeast"/>
        <w:ind w:left="420" w:leftChars="200"/>
        <w:textAlignment w:val="bottom"/>
        <w:rPr>
          <w:rFonts w:ascii="Times New Roman" w:hAnsi="Times New Roman" w:eastAsia="黑体" w:cs="Times New Roman"/>
          <w:szCs w:val="21"/>
        </w:rPr>
      </w:pPr>
    </w:p>
    <w:p>
      <w:pPr>
        <w:widowControl/>
        <w:rPr>
          <w:rFonts w:ascii="Times New Roman" w:hAnsi="Times New Roman" w:eastAsia="黑体" w:cs="Times New Roman"/>
          <w:szCs w:val="21"/>
        </w:rPr>
      </w:pPr>
      <w:r>
        <w:rPr>
          <w:rFonts w:ascii="Times New Roman" w:hAnsi="Times New Roman" w:eastAsia="黑体" w:cs="Times New Roman"/>
          <w:szCs w:val="21"/>
        </w:rPr>
        <w:br w:type="page"/>
      </w:r>
    </w:p>
    <w:p>
      <w:pPr>
        <w:pStyle w:val="11"/>
        <w:spacing w:line="240" w:lineRule="atLeast"/>
        <w:ind w:left="560" w:leftChars="0" w:right="-512" w:rightChars="-244" w:hanging="560" w:hangingChars="200"/>
        <w:jc w:val="center"/>
        <w:outlineLvl w:val="0"/>
        <w:rPr>
          <w:rFonts w:ascii="Times New Roman" w:hAnsi="Times New Roman" w:cs="Times New Roman"/>
          <w:sz w:val="28"/>
          <w:szCs w:val="28"/>
        </w:rPr>
      </w:pPr>
      <w:bookmarkStart w:id="196" w:name="_Toc18547_WPSOffice_Level1"/>
      <w:bookmarkStart w:id="197" w:name="_Toc28307"/>
      <w:bookmarkStart w:id="198" w:name="_Toc14534_WPSOffice_Level1"/>
      <w:bookmarkStart w:id="199" w:name="_Toc18163"/>
      <w:bookmarkStart w:id="200" w:name="_Toc23763"/>
      <w:bookmarkStart w:id="201" w:name="_Toc1452_WPSOffice_Level1"/>
      <w:bookmarkStart w:id="202" w:name="_Toc3772_WPSOffice_Level1"/>
      <w:bookmarkStart w:id="203" w:name="_Toc23822_WPSOffice_Level1"/>
      <w:bookmarkStart w:id="204" w:name="_Toc5072_WPSOffice_Level1"/>
      <w:bookmarkStart w:id="205" w:name="_Toc19004_WPSOffice_Level1"/>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96"/>
      <w:bookmarkEnd w:id="197"/>
      <w:bookmarkEnd w:id="198"/>
      <w:bookmarkEnd w:id="199"/>
      <w:bookmarkEnd w:id="200"/>
      <w:bookmarkEnd w:id="201"/>
      <w:bookmarkEnd w:id="202"/>
      <w:bookmarkEnd w:id="203"/>
      <w:bookmarkEnd w:id="204"/>
      <w:bookmarkEnd w:id="205"/>
    </w:p>
    <w:tbl>
      <w:tblPr>
        <w:tblStyle w:val="26"/>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975"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975"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pPr>
        <w:pStyle w:val="2"/>
        <w:rPr>
          <w:rFonts w:hint="eastAsia" w:eastAsia="黑体"/>
          <w:lang w:val="en-US" w:eastAsia="zh-CN"/>
        </w:rPr>
      </w:pPr>
    </w:p>
    <w:p>
      <w:pPr>
        <w:pStyle w:val="2"/>
        <w:rPr>
          <w:rFonts w:ascii="Times New Roman" w:hAnsi="Times New Roman"/>
        </w:rPr>
      </w:pPr>
    </w:p>
    <w:p>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pPr>
        <w:tabs>
          <w:tab w:val="left" w:pos="3060"/>
        </w:tabs>
        <w:topLinePunct/>
        <w:spacing w:line="440" w:lineRule="exact"/>
        <w:jc w:val="center"/>
        <w:outlineLvl w:val="0"/>
        <w:rPr>
          <w:rFonts w:ascii="Times New Roman" w:hAnsi="Times New Roman" w:eastAsia="黑体" w:cs="Times New Roman"/>
          <w:sz w:val="28"/>
          <w:szCs w:val="28"/>
        </w:rPr>
      </w:pPr>
      <w:bookmarkStart w:id="206" w:name="_Toc12019_WPSOffice_Level1"/>
      <w:bookmarkStart w:id="207" w:name="_Toc14563"/>
      <w:bookmarkStart w:id="208" w:name="_Toc5403_WPSOffice_Level1"/>
      <w:bookmarkStart w:id="209" w:name="_Toc30712_WPSOffice_Level1"/>
      <w:bookmarkStart w:id="210" w:name="_Toc9011_WPSOffice_Level1"/>
      <w:bookmarkStart w:id="211" w:name="_Toc10796"/>
      <w:bookmarkStart w:id="212" w:name="_Toc11841_WPSOffice_Level1"/>
      <w:bookmarkStart w:id="213" w:name="_Toc9267_WPSOffice_Level1"/>
      <w:bookmarkStart w:id="214" w:name="_Toc10794"/>
      <w:bookmarkStart w:id="215" w:name="_Toc3893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206"/>
      <w:bookmarkEnd w:id="207"/>
      <w:bookmarkEnd w:id="208"/>
      <w:bookmarkEnd w:id="209"/>
      <w:bookmarkEnd w:id="210"/>
      <w:bookmarkEnd w:id="211"/>
      <w:bookmarkEnd w:id="212"/>
      <w:bookmarkEnd w:id="213"/>
      <w:bookmarkEnd w:id="214"/>
      <w:bookmarkEnd w:id="215"/>
    </w:p>
    <w:p>
      <w:pPr>
        <w:topLinePunct/>
        <w:spacing w:line="440" w:lineRule="exact"/>
        <w:rPr>
          <w:rFonts w:ascii="Times New Roman" w:hAnsi="Times New Roman" w:cs="Times New Roman"/>
          <w:bCs/>
          <w:sz w:val="23"/>
          <w:szCs w:val="23"/>
        </w:rPr>
      </w:pPr>
    </w:p>
    <w:tbl>
      <w:tblPr>
        <w:tblStyle w:val="26"/>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5330"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5330"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5330"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5330"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5330"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5330"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5330" w:type="dxa"/>
          </w:tcPr>
          <w:p>
            <w:pPr>
              <w:topLinePunct/>
              <w:spacing w:line="440" w:lineRule="exact"/>
              <w:rPr>
                <w:rFonts w:ascii="Times New Roman" w:hAnsi="Times New Roman" w:cs="Times New Roman"/>
                <w:bCs/>
                <w:szCs w:val="21"/>
              </w:rPr>
            </w:pPr>
          </w:p>
        </w:tc>
      </w:tr>
    </w:tbl>
    <w:p>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pPr>
        <w:pStyle w:val="2"/>
        <w:jc w:val="right"/>
        <w:rPr>
          <w:rFonts w:ascii="Times New Roman" w:hAnsi="Times New Roman" w:cs="Times New Roman"/>
          <w:sz w:val="24"/>
        </w:rPr>
      </w:pPr>
    </w:p>
    <w:p>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2"/>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2"/>
      </w:pPr>
    </w:p>
    <w:p>
      <w:pPr>
        <w:pStyle w:val="2"/>
        <w:spacing w:line="440" w:lineRule="exact"/>
        <w:rPr>
          <w:rFonts w:ascii="Times New Roman" w:hAnsi="Times New Roman" w:cs="Times New Roman"/>
          <w:sz w:val="24"/>
        </w:rPr>
      </w:pPr>
    </w:p>
    <w:p>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pPr>
        <w:spacing w:line="440" w:lineRule="exact"/>
        <w:jc w:val="center"/>
        <w:outlineLvl w:val="0"/>
        <w:rPr>
          <w:rFonts w:ascii="Times New Roman" w:hAnsi="Times New Roman" w:eastAsia="黑体" w:cs="Times New Roman"/>
          <w:sz w:val="28"/>
          <w:szCs w:val="28"/>
        </w:rPr>
      </w:pPr>
      <w:bookmarkStart w:id="216" w:name="_Toc28454_WPSOffice_Level1"/>
      <w:bookmarkStart w:id="217" w:name="_Toc20479"/>
      <w:bookmarkStart w:id="218" w:name="_Toc18092"/>
      <w:bookmarkStart w:id="219" w:name="_Toc24841"/>
      <w:bookmarkStart w:id="220" w:name="_Toc7003_WPSOffice_Level1"/>
      <w:bookmarkStart w:id="221" w:name="_Toc25543_WPSOffice_Level1"/>
      <w:bookmarkStart w:id="222" w:name="_Toc24999_WPSOffice_Level1"/>
      <w:bookmarkStart w:id="223" w:name="_Toc2048_WPSOffice_Level1"/>
      <w:bookmarkStart w:id="224" w:name="_Toc23493_WPSOffice_Level1"/>
      <w:bookmarkStart w:id="225" w:name="_Toc1483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216"/>
      <w:bookmarkEnd w:id="217"/>
      <w:bookmarkEnd w:id="218"/>
      <w:bookmarkEnd w:id="219"/>
      <w:bookmarkEnd w:id="220"/>
      <w:bookmarkEnd w:id="221"/>
      <w:r>
        <w:rPr>
          <w:rFonts w:hint="eastAsia" w:ascii="Times New Roman" w:hAnsi="Times New Roman" w:eastAsia="黑体" w:cs="Times New Roman"/>
          <w:sz w:val="28"/>
          <w:szCs w:val="28"/>
        </w:rPr>
        <w:t>供货方案</w:t>
      </w:r>
    </w:p>
    <w:p>
      <w:pPr>
        <w:spacing w:line="440" w:lineRule="exact"/>
        <w:jc w:val="center"/>
        <w:outlineLvl w:val="9"/>
        <w:rPr>
          <w:rFonts w:ascii="Times New Roman" w:hAnsi="Times New Roman" w:eastAsia="黑体" w:cs="Times New Roman"/>
          <w:sz w:val="28"/>
          <w:szCs w:val="28"/>
        </w:rPr>
      </w:pPr>
    </w:p>
    <w:p>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pPr>
        <w:ind w:firstLine="400" w:firstLineChars="200"/>
        <w:jc w:val="left"/>
        <w:rPr>
          <w:rFonts w:hint="eastAsia" w:ascii="宋体" w:hAnsi="宋体" w:eastAsia="宋体" w:cs="宋体"/>
          <w:color w:val="000000"/>
          <w:kern w:val="0"/>
          <w:sz w:val="20"/>
          <w:szCs w:val="20"/>
          <w:lang w:val="en-US" w:eastAsia="zh-CN" w:bidi="ar"/>
        </w:rPr>
      </w:pPr>
    </w:p>
    <w:p>
      <w:pPr>
        <w:ind w:firstLine="400" w:firstLineChars="200"/>
        <w:jc w:val="left"/>
        <w:rPr>
          <w:rFonts w:ascii="Times New Roman" w:hAnsi="Times New Roman" w:eastAsia="黑体" w:cs="Times New Roman"/>
          <w:sz w:val="28"/>
          <w:szCs w:val="28"/>
        </w:rPr>
      </w:pPr>
      <w:r>
        <w:rPr>
          <w:rFonts w:hint="eastAsia" w:ascii="宋体" w:hAnsi="宋体" w:eastAsia="宋体" w:cs="宋体"/>
          <w:color w:val="000000"/>
          <w:kern w:val="0"/>
          <w:sz w:val="20"/>
          <w:szCs w:val="20"/>
          <w:lang w:val="en-US" w:eastAsia="zh-CN" w:bidi="ar"/>
        </w:rPr>
        <w:t>供应商提供切实可行的供货及服务方案，承诺严格按采购人要求的品种规格、质量标准、供货时间、供货批次供货，提供过程中和验收环节技术指导、应急保障、联合打假、质量检查等各项技术服务和保障。</w:t>
      </w: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pPr>
    </w:p>
    <w:p/>
    <w:p>
      <w:pPr>
        <w:spacing w:line="440" w:lineRule="exact"/>
        <w:jc w:val="center"/>
        <w:outlineLvl w:val="0"/>
        <w:rPr>
          <w:rFonts w:ascii="Times New Roman" w:hAnsi="Times New Roman" w:eastAsia="黑体" w:cs="Times New Roman"/>
          <w:sz w:val="28"/>
          <w:szCs w:val="28"/>
        </w:rPr>
      </w:pPr>
      <w:bookmarkStart w:id="226" w:name="_Toc7540_WPSOffice_Level1"/>
      <w:bookmarkStart w:id="227" w:name="_Toc3653"/>
      <w:bookmarkStart w:id="228" w:name="_Toc12998"/>
      <w:bookmarkStart w:id="229" w:name="_Toc26624"/>
      <w:bookmarkStart w:id="230" w:name="_Toc15767_WPSOffice_Level1"/>
      <w:bookmarkStart w:id="231" w:name="_Toc21078_WPSOffice_Level1"/>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222"/>
      <w:bookmarkEnd w:id="223"/>
      <w:bookmarkEnd w:id="224"/>
      <w:bookmarkEnd w:id="225"/>
      <w:r>
        <w:rPr>
          <w:rFonts w:hint="eastAsia" w:ascii="Times New Roman" w:hAnsi="Times New Roman" w:eastAsia="黑体" w:cs="Times New Roman"/>
          <w:sz w:val="28"/>
          <w:szCs w:val="28"/>
        </w:rPr>
        <w:t>技术性能（质量）指标描述</w:t>
      </w:r>
    </w:p>
    <w:bookmarkEnd w:id="226"/>
    <w:bookmarkEnd w:id="227"/>
    <w:bookmarkEnd w:id="228"/>
    <w:bookmarkEnd w:id="229"/>
    <w:bookmarkEnd w:id="230"/>
    <w:bookmarkEnd w:id="231"/>
    <w:p>
      <w:pPr>
        <w:spacing w:line="440" w:lineRule="exact"/>
        <w:rPr>
          <w:rFonts w:ascii="Times New Roman" w:hAnsi="Times New Roman" w:eastAsia="黑体" w:cs="Times New Roman"/>
          <w:sz w:val="20"/>
          <w:szCs w:val="20"/>
        </w:rPr>
      </w:pPr>
    </w:p>
    <w:p>
      <w:pPr>
        <w:pStyle w:val="2"/>
        <w:jc w:val="center"/>
        <w:rPr>
          <w:rFonts w:hint="default" w:ascii="Times New Roman" w:hAnsi="Times New Roman" w:cs="Times New Roman" w:eastAsiaTheme="minorEastAsia"/>
          <w:sz w:val="24"/>
          <w:lang w:val="en-US" w:eastAsia="zh-CN"/>
        </w:rPr>
      </w:pPr>
      <w:bookmarkStart w:id="232" w:name="_Toc16609_WPSOffice_Level2"/>
      <w:bookmarkStart w:id="233" w:name="_Toc4794_WPSOffice_Level2"/>
      <w:r>
        <w:rPr>
          <w:rFonts w:hint="eastAsia" w:ascii="Times New Roman" w:hAnsi="Times New Roman" w:cs="Times New Roman"/>
          <w:sz w:val="24"/>
          <w:lang w:val="en-US" w:eastAsia="zh-CN"/>
        </w:rPr>
        <w:t>供应商按评审办法要求提供材料</w:t>
      </w: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16"/>
        <w:rPr>
          <w:rFonts w:ascii="Times New Roman" w:hAnsi="Times New Roman" w:cs="Times New Roman"/>
          <w:sz w:val="24"/>
        </w:rPr>
      </w:pPr>
    </w:p>
    <w:p>
      <w:pPr>
        <w:pStyle w:val="17"/>
        <w:rPr>
          <w:rFonts w:ascii="Times New Roman" w:hAnsi="Times New Roman" w:cs="Times New Roman"/>
          <w:sz w:val="24"/>
        </w:rPr>
      </w:pPr>
    </w:p>
    <w:p>
      <w:pPr>
        <w:rPr>
          <w:rFonts w:ascii="Times New Roman" w:hAnsi="Times New Roman" w:cs="Times New Roman"/>
          <w:sz w:val="24"/>
        </w:rPr>
      </w:pPr>
    </w:p>
    <w:p>
      <w:pPr>
        <w:pStyle w:val="2"/>
      </w:pPr>
    </w:p>
    <w:p>
      <w:pPr>
        <w:pStyle w:val="2"/>
        <w:rPr>
          <w:rFonts w:ascii="Times New Roman" w:hAnsi="Times New Roman" w:cs="Times New Roman"/>
          <w:sz w:val="24"/>
        </w:rPr>
      </w:pPr>
    </w:p>
    <w:bookmarkEnd w:id="232"/>
    <w:bookmarkEnd w:id="233"/>
    <w:p>
      <w:pPr>
        <w:spacing w:line="440" w:lineRule="exact"/>
        <w:jc w:val="center"/>
        <w:outlineLvl w:val="0"/>
        <w:rPr>
          <w:rFonts w:ascii="Times New Roman" w:hAnsi="Times New Roman" w:eastAsia="黑体" w:cs="Times New Roman"/>
          <w:sz w:val="28"/>
          <w:szCs w:val="28"/>
        </w:rPr>
      </w:pPr>
      <w:bookmarkStart w:id="234" w:name="_Toc22303_WPSOffice_Level1"/>
      <w:bookmarkStart w:id="235" w:name="_Toc15887_WPSOffice_Level1"/>
      <w:bookmarkStart w:id="236" w:name="_Toc13165_WPSOffice_Level1"/>
      <w:bookmarkStart w:id="237" w:name="_Toc8419_WPSOffice_Level1"/>
      <w:bookmarkStart w:id="238" w:name="_Toc7110_WPSOffice_Level1"/>
      <w:bookmarkStart w:id="239" w:name="_Toc8565"/>
      <w:bookmarkStart w:id="240" w:name="_Toc2428_WPSOffice_Level1"/>
      <w:bookmarkStart w:id="241" w:name="_Toc15802_WPSOffice_Level1"/>
      <w:bookmarkStart w:id="242" w:name="_Toc32592"/>
      <w:bookmarkStart w:id="243" w:name="_Toc23493"/>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234"/>
      <w:bookmarkEnd w:id="235"/>
      <w:bookmarkEnd w:id="236"/>
      <w:bookmarkEnd w:id="237"/>
      <w:bookmarkEnd w:id="238"/>
      <w:bookmarkEnd w:id="239"/>
      <w:bookmarkEnd w:id="240"/>
      <w:bookmarkEnd w:id="241"/>
      <w:r>
        <w:rPr>
          <w:rFonts w:hint="eastAsia" w:ascii="Times New Roman" w:hAnsi="Times New Roman" w:eastAsia="黑体" w:cs="Times New Roman"/>
          <w:sz w:val="28"/>
          <w:szCs w:val="28"/>
        </w:rPr>
        <w:t>承诺书</w:t>
      </w:r>
      <w:bookmarkEnd w:id="242"/>
      <w:bookmarkEnd w:id="243"/>
    </w:p>
    <w:p>
      <w:pPr>
        <w:pStyle w:val="2"/>
        <w:rPr>
          <w:rFonts w:ascii="Times New Roman" w:hAnsi="Times New Roman" w:eastAsia="黑体" w:cs="Times New Roman"/>
          <w:sz w:val="36"/>
          <w:szCs w:val="36"/>
        </w:rPr>
      </w:pPr>
    </w:p>
    <w:p>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pPr>
        <w:pStyle w:val="34"/>
        <w:rPr>
          <w:rFonts w:hint="default" w:ascii="Times New Roman" w:hAnsi="Times New Roman"/>
          <w:color w:val="auto"/>
          <w:szCs w:val="28"/>
        </w:rPr>
      </w:pPr>
    </w:p>
    <w:p>
      <w:pPr>
        <w:adjustRightInd w:val="0"/>
        <w:snapToGrid w:val="0"/>
        <w:ind w:left="4748" w:leftChars="2261" w:firstLine="980" w:firstLineChars="350"/>
        <w:rPr>
          <w:rFonts w:ascii="Times New Roman" w:hAnsi="Times New Roman" w:cs="Times New Roman"/>
          <w:sz w:val="24"/>
        </w:rPr>
      </w:pP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ascii="Times New Roman" w:hAnsi="Times New Roman" w:cs="Times New Roman"/>
          <w:sz w:val="24"/>
        </w:rPr>
        <w:t>（盖单位公章）</w:t>
      </w:r>
    </w:p>
    <w:p>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ascii="Times New Roman" w:hAnsi="Times New Roman" w:cs="Times New Roman"/>
          <w:sz w:val="24"/>
        </w:rPr>
        <w:t>（签字或盖章）</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40" w:lineRule="exact"/>
        <w:jc w:val="center"/>
        <w:outlineLvl w:val="0"/>
        <w:rPr>
          <w:rFonts w:ascii="Times New Roman" w:hAnsi="Times New Roman" w:eastAsia="黑体" w:cs="Times New Roman"/>
          <w:sz w:val="28"/>
          <w:szCs w:val="28"/>
        </w:rPr>
      </w:pPr>
      <w:bookmarkStart w:id="244" w:name="_Toc14109"/>
      <w:bookmarkStart w:id="245" w:name="_Toc1168"/>
      <w:bookmarkStart w:id="246" w:name="_Toc11617"/>
      <w:r>
        <w:rPr>
          <w:rFonts w:hint="eastAsia" w:ascii="Times New Roman" w:hAnsi="Times New Roman" w:eastAsia="黑体" w:cs="Times New Roman"/>
          <w:sz w:val="28"/>
          <w:szCs w:val="28"/>
          <w:lang w:val="en-US" w:eastAsia="zh-CN"/>
        </w:rPr>
        <w:t>九</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244"/>
      <w:bookmarkEnd w:id="245"/>
      <w:bookmarkEnd w:id="246"/>
    </w:p>
    <w:p>
      <w:pPr>
        <w:pStyle w:val="34"/>
        <w:rPr>
          <w:rFonts w:hint="default" w:ascii="Times New Roman" w:hAnsi="Times New Roman"/>
          <w:color w:val="auto"/>
          <w:szCs w:val="28"/>
        </w:rPr>
      </w:pPr>
    </w:p>
    <w:p>
      <w:pPr>
        <w:spacing w:line="400" w:lineRule="atLeast"/>
        <w:ind w:firstLine="480" w:firstLineChars="200"/>
        <w:jc w:val="left"/>
        <w:rPr>
          <w:rFonts w:ascii="Times New Roman" w:hAnsi="Times New Roman" w:cs="Times New Roman"/>
          <w:sz w:val="24"/>
          <w:szCs w:val="28"/>
        </w:rPr>
      </w:pPr>
    </w:p>
    <w:p>
      <w:pPr>
        <w:spacing w:line="400" w:lineRule="atLeast"/>
        <w:ind w:firstLine="480" w:firstLineChars="200"/>
        <w:jc w:val="left"/>
        <w:rPr>
          <w:rFonts w:ascii="Times New Roman" w:hAnsi="Times New Roman" w:cs="Times New Roman"/>
          <w:sz w:val="24"/>
          <w:szCs w:val="28"/>
        </w:rPr>
      </w:pPr>
    </w:p>
    <w:p>
      <w:pPr>
        <w:spacing w:line="400" w:lineRule="atLeast"/>
        <w:ind w:firstLine="480" w:firstLineChars="200"/>
        <w:jc w:val="left"/>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pStyle w:val="2"/>
        <w:rPr>
          <w:rFonts w:ascii="Times New Roman" w:hAnsi="Times New Roman" w:cs="Times New Roman"/>
          <w:sz w:val="24"/>
          <w:szCs w:val="28"/>
        </w:rPr>
      </w:pPr>
    </w:p>
    <w:p>
      <w:pPr>
        <w:spacing w:line="400" w:lineRule="atLeast"/>
        <w:jc w:val="left"/>
        <w:rPr>
          <w:rFonts w:ascii="Times New Roman" w:hAnsi="Times New Roman" w:cs="Times New Roman"/>
          <w:sz w:val="24"/>
          <w:szCs w:val="28"/>
        </w:rPr>
      </w:pPr>
    </w:p>
    <w:p>
      <w:pPr>
        <w:spacing w:line="400" w:lineRule="atLeast"/>
        <w:ind w:firstLine="480" w:firstLineChars="200"/>
        <w:jc w:val="left"/>
        <w:rPr>
          <w:rFonts w:ascii="Times New Roman" w:hAnsi="Times New Roman" w:cs="Times New Roman"/>
          <w:sz w:val="24"/>
          <w:szCs w:val="28"/>
        </w:rPr>
      </w:pPr>
    </w:p>
    <w:p>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u w:val="none"/>
          <w:lang w:val="en-US" w:eastAsia="zh-CN"/>
        </w:rPr>
        <w:t>（包段号）</w:t>
      </w:r>
    </w:p>
    <w:p>
      <w:pPr>
        <w:jc w:val="both"/>
        <w:outlineLvl w:val="9"/>
        <w:rPr>
          <w:rFonts w:ascii="Times New Roman" w:hAnsi="Times New Roman" w:eastAsia="黑体" w:cs="Times New Roman"/>
          <w:sz w:val="50"/>
          <w:szCs w:val="50"/>
        </w:rPr>
      </w:pPr>
    </w:p>
    <w:p>
      <w:pPr>
        <w:jc w:val="both"/>
        <w:outlineLvl w:val="9"/>
        <w:rPr>
          <w:rFonts w:ascii="Times New Roman" w:hAnsi="Times New Roman" w:eastAsia="黑体" w:cs="Times New Roman"/>
          <w:sz w:val="50"/>
          <w:szCs w:val="50"/>
        </w:rPr>
      </w:pPr>
    </w:p>
    <w:p>
      <w:pPr>
        <w:jc w:val="both"/>
        <w:outlineLvl w:val="9"/>
        <w:rPr>
          <w:rFonts w:ascii="Times New Roman" w:hAnsi="Times New Roman" w:eastAsia="黑体" w:cs="Times New Roman"/>
          <w:sz w:val="50"/>
          <w:szCs w:val="50"/>
        </w:rPr>
      </w:pPr>
    </w:p>
    <w:p>
      <w:pPr>
        <w:jc w:val="both"/>
        <w:outlineLvl w:val="9"/>
        <w:rPr>
          <w:rFonts w:ascii="Times New Roman" w:hAnsi="Times New Roman" w:eastAsia="黑体" w:cs="Times New Roman"/>
          <w:sz w:val="50"/>
          <w:szCs w:val="50"/>
        </w:rPr>
      </w:pPr>
    </w:p>
    <w:p>
      <w:pPr>
        <w:jc w:val="center"/>
        <w:outlineLvl w:val="1"/>
        <w:rPr>
          <w:rFonts w:hint="eastAsia" w:ascii="Times New Roman" w:hAnsi="Times New Roman" w:eastAsia="黑体" w:cs="Times New Roman"/>
          <w:color w:val="auto"/>
          <w:sz w:val="50"/>
          <w:szCs w:val="50"/>
          <w:highlight w:val="none"/>
          <w:lang w:val="en-US" w:eastAsia="zh-CN"/>
        </w:rPr>
      </w:pPr>
      <w:r>
        <w:rPr>
          <w:rFonts w:hint="eastAsia" w:ascii="Times New Roman" w:hAnsi="Times New Roman" w:eastAsia="黑体" w:cs="Times New Roman"/>
          <w:color w:val="auto"/>
          <w:sz w:val="50"/>
          <w:szCs w:val="50"/>
          <w:highlight w:val="none"/>
          <w:lang w:val="en-US" w:eastAsia="zh-CN"/>
        </w:rPr>
        <w:t>防水材料</w:t>
      </w:r>
    </w:p>
    <w:p>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25"/>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pStyle w:val="25"/>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spacing w:line="440" w:lineRule="exact"/>
        <w:rPr>
          <w:rFonts w:ascii="Times New Roman" w:hAnsi="Times New Roman" w:eastAsia="黑体" w:cs="Times New Roman"/>
          <w:sz w:val="28"/>
          <w:szCs w:val="28"/>
        </w:rPr>
      </w:pPr>
      <w:r>
        <w:rPr>
          <w:rFonts w:ascii="Times New Roman" w:hAnsi="Times New Roman" w:eastAsia="黑体" w:cs="Times New Roman"/>
          <w:sz w:val="20"/>
          <w:szCs w:val="20"/>
        </w:rPr>
        <w:br w:type="page"/>
      </w:r>
    </w:p>
    <w:p>
      <w:pPr>
        <w:adjustRightInd w:val="0"/>
        <w:snapToGrid w:val="0"/>
        <w:rPr>
          <w:rFonts w:ascii="Times New Roman" w:hAnsi="Times New Roman" w:eastAsia="黑体" w:cs="Times New Roman"/>
          <w:sz w:val="20"/>
          <w:szCs w:val="20"/>
        </w:rPr>
      </w:pPr>
    </w:p>
    <w:p>
      <w:pPr>
        <w:jc w:val="center"/>
        <w:outlineLvl w:val="1"/>
        <w:rPr>
          <w:rFonts w:hint="eastAsia" w:ascii="Times New Roman" w:hAnsi="Times New Roman" w:eastAsia="黑体" w:cs="Times New Roman"/>
          <w:sz w:val="28"/>
          <w:szCs w:val="28"/>
          <w:lang w:eastAsia="zh-CN"/>
        </w:rPr>
      </w:pPr>
      <w:bookmarkStart w:id="247" w:name="_Toc1924"/>
      <w:bookmarkStart w:id="248" w:name="_Toc11805_WPSOffice_Level1"/>
      <w:bookmarkStart w:id="249" w:name="_Toc1687_WPSOffice_Level1"/>
      <w:bookmarkStart w:id="250" w:name="_Toc23583"/>
      <w:bookmarkStart w:id="251" w:name="_Toc2765_WPSOffice_Level1"/>
      <w:bookmarkStart w:id="252" w:name="_Toc8703"/>
      <w:bookmarkStart w:id="253" w:name="_Toc24269_WPSOffice_Level1"/>
      <w:bookmarkStart w:id="254" w:name="_Toc15092"/>
      <w:bookmarkStart w:id="255" w:name="_Toc18312_WPSOffice_Level1"/>
      <w:bookmarkStart w:id="256" w:name="_Toc29399_WPSOffice_Level1"/>
      <w:bookmarkStart w:id="257" w:name="_Toc29968"/>
      <w:bookmarkStart w:id="258" w:name="_Toc30031_WPSOffice_Level1"/>
      <w:r>
        <w:rPr>
          <w:rFonts w:ascii="Times New Roman" w:hAnsi="Times New Roman" w:eastAsia="黑体" w:cs="Times New Roman"/>
          <w:sz w:val="28"/>
          <w:szCs w:val="28"/>
        </w:rPr>
        <w:t>一、</w:t>
      </w:r>
      <w:bookmarkEnd w:id="247"/>
      <w:bookmarkEnd w:id="248"/>
      <w:bookmarkEnd w:id="249"/>
      <w:bookmarkEnd w:id="250"/>
      <w:bookmarkEnd w:id="251"/>
      <w:bookmarkEnd w:id="252"/>
      <w:bookmarkEnd w:id="253"/>
      <w:bookmarkEnd w:id="254"/>
      <w:bookmarkEnd w:id="255"/>
      <w:bookmarkEnd w:id="256"/>
      <w:bookmarkEnd w:id="257"/>
      <w:bookmarkEnd w:id="258"/>
      <w:r>
        <w:rPr>
          <w:rFonts w:hint="eastAsia" w:ascii="Times New Roman" w:hAnsi="Times New Roman" w:eastAsia="黑体" w:cs="Times New Roman"/>
          <w:sz w:val="28"/>
          <w:szCs w:val="28"/>
          <w:lang w:eastAsia="zh-CN"/>
        </w:rPr>
        <w:t>响应函</w:t>
      </w: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pStyle w:val="2"/>
      </w:pPr>
    </w:p>
    <w:p>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u w:val="single"/>
          <w:lang w:val="en-US" w:eastAsia="zh-CN"/>
        </w:rPr>
        <w:t xml:space="preserve">    （X包段）</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pPr>
        <w:pStyle w:val="2"/>
        <w:rPr>
          <w:rFonts w:hint="eastAsia" w:ascii="Times New Roman" w:hAnsi="Times New Roman" w:cs="Times New Roman"/>
          <w:sz w:val="24"/>
        </w:rPr>
      </w:pPr>
    </w:p>
    <w:p>
      <w:pPr>
        <w:pStyle w:val="34"/>
        <w:rPr>
          <w:rFonts w:hint="eastAsia"/>
        </w:rPr>
      </w:pP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00" w:lineRule="exact"/>
        <w:ind w:firstLine="4740" w:firstLineChars="1975"/>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
      </w:pPr>
    </w:p>
    <w:p>
      <w:pPr>
        <w:pStyle w:val="25"/>
        <w:rPr>
          <w:rFonts w:ascii="Times New Roman" w:hAnsi="Times New Roman" w:cs="Times New Roman"/>
          <w:sz w:val="24"/>
        </w:rPr>
      </w:pPr>
    </w:p>
    <w:p>
      <w:pPr>
        <w:adjustRightInd w:val="0"/>
        <w:snapToGrid w:val="0"/>
        <w:jc w:val="center"/>
        <w:outlineLvl w:val="1"/>
        <w:rPr>
          <w:rFonts w:ascii="Times New Roman" w:hAnsi="Times New Roman" w:eastAsia="华文中宋" w:cs="Times New Roman"/>
          <w:b/>
          <w:bCs/>
          <w:sz w:val="28"/>
          <w:szCs w:val="28"/>
        </w:rPr>
      </w:pPr>
      <w:bookmarkStart w:id="259" w:name="_Toc272486050"/>
      <w:bookmarkStart w:id="260" w:name="_Toc162490440"/>
      <w:bookmarkStart w:id="261" w:name="_Toc153421230"/>
      <w:r>
        <w:rPr>
          <w:rFonts w:ascii="Times New Roman" w:hAnsi="Times New Roman" w:eastAsia="华文中宋" w:cs="Times New Roman"/>
          <w:b/>
          <w:sz w:val="24"/>
        </w:rPr>
        <w:t>二、</w:t>
      </w:r>
      <w:bookmarkEnd w:id="259"/>
      <w:bookmarkEnd w:id="260"/>
      <w:bookmarkEnd w:id="261"/>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pPr>
        <w:spacing w:line="440" w:lineRule="exact"/>
        <w:rPr>
          <w:rFonts w:ascii="Times New Roman" w:hAnsi="Times New Roman" w:eastAsia="黑体" w:cs="Times New Roman"/>
          <w:color w:val="auto"/>
          <w:sz w:val="24"/>
          <w:highlight w:val="none"/>
        </w:rPr>
      </w:pPr>
    </w:p>
    <w:p>
      <w:pPr>
        <w:spacing w:line="440" w:lineRule="exact"/>
        <w:rPr>
          <w:rFonts w:ascii="Times New Roman" w:hAnsi="Times New Roman" w:eastAsia="黑体" w:cs="Times New Roman"/>
          <w:color w:val="auto"/>
          <w:sz w:val="24"/>
          <w:highlight w:val="none"/>
        </w:rPr>
      </w:pPr>
    </w:p>
    <w:p>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pPr>
        <w:bidi w:val="0"/>
        <w:rPr>
          <w:rFonts w:hint="eastAsia"/>
          <w:lang w:val="en-US" w:eastAsia="zh-CN"/>
        </w:rPr>
      </w:pPr>
    </w:p>
    <w:p>
      <w:pPr>
        <w:bidi w:val="0"/>
        <w:rPr>
          <w:rFonts w:hint="eastAsia"/>
          <w:lang w:val="en-US" w:eastAsia="zh-CN"/>
        </w:rPr>
      </w:pPr>
    </w:p>
    <w:p>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pPr>
        <w:bidi w:val="0"/>
        <w:rPr>
          <w:rFonts w:hint="eastAsia"/>
          <w:lang w:val="en-US" w:eastAsia="zh-CN"/>
        </w:rPr>
      </w:pPr>
    </w:p>
    <w:p>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7"/>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pPr>
              <w:pStyle w:val="25"/>
              <w:ind w:left="0" w:leftChars="0" w:firstLine="0" w:firstLineChars="0"/>
              <w:jc w:val="center"/>
              <w:rPr>
                <w:rFonts w:hint="default"/>
                <w:lang w:val="en-US" w:eastAsia="zh-CN"/>
              </w:rPr>
            </w:pPr>
            <w:r>
              <w:rPr>
                <w:rFonts w:hint="eastAsia"/>
                <w:lang w:val="en-US" w:eastAsia="zh-CN"/>
              </w:rPr>
              <w:t>防水卷材采购项目（X包段）</w:t>
            </w:r>
          </w:p>
        </w:tc>
        <w:tc>
          <w:tcPr>
            <w:tcW w:w="1922"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pPr>
              <w:pStyle w:val="25"/>
              <w:ind w:left="0" w:leftChars="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pPr>
              <w:pStyle w:val="25"/>
              <w:ind w:left="0" w:leftChars="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pPr>
              <w:pStyle w:val="25"/>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pPr>
              <w:pStyle w:val="25"/>
              <w:jc w:val="center"/>
              <w:rPr>
                <w:rFonts w:hint="eastAsia" w:ascii="宋体" w:hAnsi="宋体" w:eastAsia="宋体" w:cs="宋体"/>
                <w:color w:val="000000"/>
                <w:sz w:val="21"/>
                <w:szCs w:val="21"/>
                <w:highlight w:val="none"/>
                <w:vertAlign w:val="baseline"/>
                <w:lang w:val="en-US" w:eastAsia="zh-CN"/>
              </w:rPr>
            </w:pPr>
          </w:p>
        </w:tc>
      </w:tr>
    </w:tbl>
    <w:p>
      <w:pPr>
        <w:pStyle w:val="25"/>
        <w:ind w:left="0" w:leftChars="0" w:firstLine="0" w:firstLineChars="0"/>
        <w:rPr>
          <w:rFonts w:hint="eastAsia" w:ascii="宋体" w:hAnsi="宋体"/>
          <w:color w:val="auto"/>
          <w:szCs w:val="21"/>
          <w:highlight w:val="none"/>
          <w:u w:val="none"/>
        </w:rPr>
      </w:pPr>
    </w:p>
    <w:p>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pPr>
        <w:ind w:right="480" w:firstLine="1470" w:firstLineChars="700"/>
        <w:jc w:val="right"/>
        <w:rPr>
          <w:rFonts w:ascii="宋体" w:hAnsi="宋体"/>
          <w:color w:val="auto"/>
          <w:szCs w:val="21"/>
          <w:highlight w:val="none"/>
          <w:u w:val="none"/>
        </w:rPr>
      </w:pPr>
    </w:p>
    <w:p>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pPr>
        <w:pStyle w:val="25"/>
        <w:rPr>
          <w:color w:val="auto"/>
          <w:highlight w:val="none"/>
        </w:rPr>
      </w:pPr>
    </w:p>
    <w:p>
      <w:pPr>
        <w:pStyle w:val="25"/>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期：2024年  月  日</w:t>
      </w: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涉及防水卷材检测复试费用均由供应商承担，抽检频率和批次按国家、行业标准或甲方要求执行。</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4.防水卷材须在包装外壁醒目位置及卷材上永久性标示生产厂家、生产批次、品牌标志、规格型号、唯一性可追溯性编码标识（如二维码）等信息。</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5.防水卷材供货进度应满足采购人工程进度分批次实施的安排和要求，中标人应充分理解并全力配合采购人的防水卷材采购、进场工作，并承担因送货次数增加而引起的运输成本增加等相应风险。</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防水卷材质量负总责，材料进场应按程序履行报验、交接手续；因防水卷材质量问题，将视作违约，中标人须赔偿由此造成返工的全部工程建设费用及其他一切损失，同时由采购人追究中标人的违约责任，情节严重的，依法追究相关责任。</w:t>
      </w:r>
    </w:p>
    <w:p>
      <w:pPr>
        <w:pStyle w:val="13"/>
        <w:adjustRightInd w:val="0"/>
        <w:snapToGrid w:val="0"/>
        <w:jc w:val="center"/>
        <w:rPr>
          <w:rFonts w:ascii="Times New Roman" w:hAnsi="Times New Roman" w:cs="Times New Roman"/>
        </w:rPr>
      </w:pPr>
    </w:p>
    <w:p>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pPr>
        <w:pStyle w:val="13"/>
        <w:adjustRightInd w:val="0"/>
        <w:snapToGrid w:val="0"/>
        <w:jc w:val="left"/>
        <w:rPr>
          <w:rFonts w:hint="default" w:ascii="Times New Roman" w:hAnsi="Times New Roman" w:eastAsia="华文中宋" w:cs="Times New Roman"/>
          <w:b/>
          <w:smallCaps/>
          <w:sz w:val="24"/>
          <w:szCs w:val="24"/>
          <w:highlight w:val="yellow"/>
          <w:lang w:val="en-US" w:eastAsia="zh-CN"/>
        </w:rPr>
      </w:pPr>
      <w:r>
        <w:rPr>
          <w:rFonts w:hint="eastAsia" w:ascii="Times New Roman" w:hAnsi="Times New Roman" w:eastAsia="华文中宋" w:cs="Times New Roman"/>
          <w:b/>
          <w:smallCaps/>
          <w:sz w:val="24"/>
          <w:szCs w:val="24"/>
          <w:highlight w:val="yellow"/>
          <w:lang w:val="en-US" w:eastAsia="zh-CN"/>
        </w:rPr>
        <w:t>后附报价清单</w:t>
      </w:r>
    </w:p>
    <w:p>
      <w:pPr>
        <w:pStyle w:val="13"/>
        <w:adjustRightInd w:val="0"/>
        <w:snapToGrid w:val="0"/>
        <w:jc w:val="center"/>
        <w:outlineLvl w:val="1"/>
        <w:rPr>
          <w:rFonts w:ascii="Times New Roman" w:hAnsi="Times New Roman" w:eastAsia="华文中宋" w:cs="Times New Roman"/>
          <w:b/>
          <w:smallCaps/>
          <w:sz w:val="24"/>
          <w:szCs w:val="24"/>
        </w:rPr>
      </w:pPr>
    </w:p>
    <w:p>
      <w:pPr>
        <w:pStyle w:val="13"/>
        <w:adjustRightInd w:val="0"/>
        <w:snapToGrid w:val="0"/>
        <w:jc w:val="center"/>
        <w:outlineLvl w:val="1"/>
        <w:rPr>
          <w:rFonts w:ascii="Times New Roman" w:hAnsi="Times New Roman" w:eastAsia="华文中宋" w:cs="Times New Roman"/>
          <w:b/>
          <w:smallCaps/>
          <w:sz w:val="24"/>
          <w:szCs w:val="24"/>
        </w:rPr>
      </w:pPr>
    </w:p>
    <w:p>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pPr>
        <w:pStyle w:val="13"/>
        <w:adjustRightInd w:val="0"/>
        <w:snapToGrid w:val="0"/>
        <w:jc w:val="center"/>
        <w:outlineLvl w:val="1"/>
        <w:rPr>
          <w:rFonts w:ascii="Times New Roman" w:hAnsi="Times New Roman" w:eastAsia="华文中宋" w:cs="Times New Roman"/>
          <w:b/>
          <w:smallCaps/>
          <w:sz w:val="24"/>
          <w:szCs w:val="24"/>
        </w:rPr>
      </w:pPr>
    </w:p>
    <w:p>
      <w:pPr>
        <w:pStyle w:val="13"/>
        <w:adjustRightInd w:val="0"/>
        <w:snapToGrid w:val="0"/>
        <w:jc w:val="center"/>
        <w:outlineLvl w:val="1"/>
        <w:rPr>
          <w:rFonts w:ascii="Times New Roman" w:hAnsi="Times New Roman" w:eastAsia="华文中宋" w:cs="Times New Roman"/>
          <w:b/>
          <w:smallCaps/>
          <w:sz w:val="24"/>
          <w:szCs w:val="24"/>
        </w:rPr>
      </w:pPr>
    </w:p>
    <w:p>
      <w:pPr>
        <w:pStyle w:val="13"/>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25"/>
        <w:rPr>
          <w:rFonts w:ascii="Times New Roman" w:hAnsi="Times New Roman" w:cs="Times New Roman"/>
          <w:sz w:val="24"/>
        </w:rPr>
      </w:pPr>
    </w:p>
    <w:p>
      <w:pPr>
        <w:rPr>
          <w:rFonts w:ascii="Times New Roman" w:hAnsi="Times New Roman" w:cs="Times New Roman"/>
          <w:sz w:val="24"/>
        </w:rPr>
      </w:pPr>
    </w:p>
    <w:p>
      <w:pPr>
        <w:pStyle w:val="34"/>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br w:type="page"/>
      </w:r>
    </w:p>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附件一：</w:t>
      </w:r>
      <w:r>
        <w:rPr>
          <w:rFonts w:hint="default" w:ascii="Times New Roman" w:hAnsi="Times New Roman" w:cs="Times New Roman"/>
        </w:rPr>
        <w:t xml:space="preserve"> </w:t>
      </w:r>
      <w:r>
        <w:rPr>
          <w:rFonts w:hint="eastAsia" w:ascii="Times New Roman" w:hAnsi="Times New Roman" w:eastAsia="黑体" w:cs="Times New Roman"/>
          <w:sz w:val="28"/>
          <w:szCs w:val="28"/>
          <w:lang w:eastAsia="zh-CN"/>
        </w:rPr>
        <w:t>响应</w:t>
      </w:r>
      <w:r>
        <w:rPr>
          <w:rFonts w:hint="default" w:ascii="Times New Roman" w:hAnsi="Times New Roman" w:eastAsia="黑体" w:cs="Times New Roman"/>
          <w:sz w:val="28"/>
          <w:szCs w:val="28"/>
        </w:rPr>
        <w:t>保证金退还账户说明</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sz w:val="32"/>
          <w:szCs w:val="32"/>
        </w:rPr>
      </w:pPr>
      <w:r>
        <w:rPr>
          <w:rFonts w:hint="default" w:ascii="Times New Roman" w:hAnsi="Times New Roman" w:eastAsia="黑体" w:cs="Times New Roman"/>
          <w:sz w:val="28"/>
          <w:szCs w:val="28"/>
        </w:rPr>
        <w:t xml:space="preserve">    </w:t>
      </w:r>
      <w:r>
        <w:rPr>
          <w:rFonts w:hint="eastAsia" w:ascii="Times New Roman" w:hAnsi="Times New Roman" w:eastAsia="黑体" w:cs="Times New Roman"/>
          <w:sz w:val="32"/>
          <w:szCs w:val="32"/>
          <w:lang w:eastAsia="zh-CN"/>
        </w:rPr>
        <w:t>响应</w:t>
      </w:r>
      <w:r>
        <w:rPr>
          <w:rFonts w:hint="default" w:ascii="Times New Roman" w:hAnsi="Times New Roman" w:eastAsia="黑体" w:cs="Times New Roman"/>
          <w:sz w:val="32"/>
          <w:szCs w:val="32"/>
        </w:rPr>
        <w:t>保证金退还账户说明</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Cs w:val="21"/>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eastAsia" w:ascii="Times New Roman" w:hAnsi="Times New Roman" w:cs="Times New Roman"/>
          <w:sz w:val="24"/>
          <w:szCs w:val="24"/>
          <w:u w:val="single"/>
          <w:lang w:eastAsia="zh-CN"/>
        </w:rPr>
        <w:t>安徽省经工物资有限公司</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我单位于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日转账的用于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(项目名称)</w:t>
      </w:r>
      <w:r>
        <w:rPr>
          <w:rFonts w:hint="eastAsia" w:ascii="Times New Roman" w:hAnsi="Times New Roman" w:cs="Times New Roman"/>
          <w:sz w:val="24"/>
          <w:szCs w:val="24"/>
          <w:lang w:val="en-US" w:eastAsia="zh-CN"/>
        </w:rPr>
        <w:t>询比采购</w:t>
      </w:r>
      <w:r>
        <w:rPr>
          <w:rFonts w:hint="default" w:ascii="Times New Roman" w:hAnsi="Times New Roman" w:cs="Times New Roman"/>
          <w:sz w:val="24"/>
          <w:szCs w:val="24"/>
        </w:rPr>
        <w:t>中的</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元）按以下账户进行退还，特此确认。</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户    名：</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人名称一致)</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开户银行：</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银行账号：</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人提交</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保证金时的汇出账号一致）</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w:t>
      </w:r>
      <w:r>
        <w:rPr>
          <w:rFonts w:hint="default" w:ascii="Times New Roman" w:hAnsi="Times New Roman" w:cs="Times New Roman"/>
          <w:sz w:val="24"/>
          <w:szCs w:val="24"/>
          <w:u w:val="single"/>
        </w:rPr>
        <w:t xml:space="preserve">             </w:t>
      </w:r>
      <w:r>
        <w:rPr>
          <w:rFonts w:hint="default" w:ascii="Times New Roman" w:hAnsi="Times New Roman" w:cs="Times New Roman"/>
          <w:b/>
          <w:bCs/>
          <w:color w:val="FF0000"/>
          <w:sz w:val="24"/>
          <w:szCs w:val="24"/>
        </w:rPr>
        <w:t>(盖单位公章)</w:t>
      </w:r>
    </w:p>
    <w:p>
      <w:pPr>
        <w:pageBreakBefore w:val="0"/>
        <w:kinsoku/>
        <w:overflow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cs="Times New Roman"/>
          <w:sz w:val="24"/>
          <w:szCs w:val="24"/>
        </w:rPr>
      </w:pPr>
      <w:r>
        <w:rPr>
          <w:rFonts w:hint="default" w:ascii="Times New Roman" w:hAnsi="Times New Roman" w:cs="Times New Roman"/>
          <w:sz w:val="24"/>
          <w:szCs w:val="24"/>
        </w:rPr>
        <w:t>法定代表人或其委托代理人：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u w:val="single"/>
        </w:rPr>
      </w:pPr>
      <w:r>
        <w:rPr>
          <w:rFonts w:hint="default" w:ascii="Times New Roman" w:hAnsi="Times New Roman" w:cs="Times New Roman"/>
          <w:sz w:val="24"/>
          <w:szCs w:val="24"/>
        </w:rPr>
        <w:t>　　　　　　　　　　　　　联系电话：</w:t>
      </w:r>
      <w:r>
        <w:rPr>
          <w:rFonts w:hint="default" w:ascii="Times New Roman" w:hAnsi="Times New Roman" w:cs="Times New Roman"/>
          <w:sz w:val="24"/>
          <w:szCs w:val="24"/>
          <w:u w:val="single"/>
        </w:rPr>
        <w:t xml:space="preserve">            </w:t>
      </w:r>
    </w:p>
    <w:p>
      <w:pPr>
        <w:pageBreakBefore w:val="0"/>
        <w:kinsoku/>
        <w:overflowPunct/>
        <w:topLine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eastAsia="黑体"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cs="Times New Roman"/>
          <w:sz w:val="24"/>
          <w:szCs w:val="24"/>
        </w:rPr>
      </w:pPr>
    </w:p>
    <w:p>
      <w:pPr>
        <w:pageBreakBefore w:val="0"/>
        <w:kinsoku/>
        <w:overflowPunct/>
        <w:topLine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注：</w:t>
      </w:r>
    </w:p>
    <w:p>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1、在本说明后应附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人退款的收款收据原件（格式如下表）。</w:t>
      </w:r>
    </w:p>
    <w:p>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2、本说明后应附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人退款的收款收据原件、不需要装订在</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文件中，开标现场单独递交即可。</w:t>
      </w: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 w:val="24"/>
          <w:szCs w:val="24"/>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Style w:val="34"/>
      </w:pPr>
    </w:p>
    <w:p>
      <w:pPr>
        <w:pStyle w:val="34"/>
      </w:pPr>
    </w:p>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71A0EB8-1C68-4B9B-ADB8-BAFF063EF882}"/>
  </w:font>
  <w:font w:name="Arial">
    <w:panose1 w:val="020B0604020202020204"/>
    <w:charset w:val="01"/>
    <w:family w:val="swiss"/>
    <w:pitch w:val="default"/>
    <w:sig w:usb0="E0002EFF" w:usb1="C000785B" w:usb2="00000009" w:usb3="00000000" w:csb0="400001FF" w:csb1="FFFF0000"/>
    <w:embedRegular r:id="rId2" w:fontKey="{FB263FCC-CF20-494D-826D-12FD30099D2D}"/>
  </w:font>
  <w:font w:name="黑体">
    <w:panose1 w:val="02010609060101010101"/>
    <w:charset w:val="86"/>
    <w:family w:val="auto"/>
    <w:pitch w:val="default"/>
    <w:sig w:usb0="800002BF" w:usb1="38CF7CFA" w:usb2="00000016" w:usb3="00000000" w:csb0="00040001" w:csb1="00000000"/>
    <w:embedRegular r:id="rId3" w:fontKey="{67838B10-1DE5-4A7F-9A87-FE38DE397B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AB005BF7-6ADF-4422-B313-23B06924AFFB}"/>
  </w:font>
  <w:font w:name="微软雅黑">
    <w:panose1 w:val="020B0503020204020204"/>
    <w:charset w:val="86"/>
    <w:family w:val="auto"/>
    <w:pitch w:val="default"/>
    <w:sig w:usb0="80000287" w:usb1="2ACF3C50" w:usb2="00000016" w:usb3="00000000" w:csb0="0004001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embedRegular r:id="rId5" w:fontKey="{8A363D99-C054-4E8C-AEEA-D7BBBED1443B}"/>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6" w:fontKey="{DE38C4B3-75F2-4028-8A80-EDB81893494E}"/>
  </w:font>
  <w:font w:name="Wingdings 2">
    <w:panose1 w:val="05020102010507070707"/>
    <w:charset w:val="02"/>
    <w:family w:val="roman"/>
    <w:pitch w:val="default"/>
    <w:sig w:usb0="00000000" w:usb1="00000000" w:usb2="00000000" w:usb3="00000000" w:csb0="80000000" w:csb1="00000000"/>
    <w:embedRegular r:id="rId7" w:fontKey="{20A983F5-F8C7-451B-8927-2DEB520E425B}"/>
  </w:font>
  <w:font w:name="华文楷体">
    <w:panose1 w:val="02010600040101010101"/>
    <w:charset w:val="86"/>
    <w:family w:val="auto"/>
    <w:pitch w:val="default"/>
    <w:sig w:usb0="00000287" w:usb1="080F0000" w:usb2="00000000" w:usb3="00000000" w:csb0="0004009F" w:csb1="DFD70000"/>
    <w:embedRegular r:id="rId8" w:fontKey="{8296EECF-3EA1-4E5B-BA76-2D8BDD8A667B}"/>
  </w:font>
  <w:font w:name="楷体">
    <w:panose1 w:val="02010609060101010101"/>
    <w:charset w:val="86"/>
    <w:family w:val="auto"/>
    <w:pitch w:val="default"/>
    <w:sig w:usb0="800002BF" w:usb1="38CF7CFA" w:usb2="00000016" w:usb3="00000000" w:csb0="00040001" w:csb1="00000000"/>
    <w:embedRegular r:id="rId9" w:fontKey="{E7D65C26-4509-4246-8548-9E5E65A69D0B}"/>
  </w:font>
  <w:font w:name="方正小标宋_GBK">
    <w:panose1 w:val="02000000000000000000"/>
    <w:charset w:val="86"/>
    <w:family w:val="auto"/>
    <w:pitch w:val="default"/>
    <w:sig w:usb0="A00002BF" w:usb1="38CF7CFA" w:usb2="00082016" w:usb3="00000000" w:csb0="00040001" w:csb1="00000000"/>
    <w:embedRegular r:id="rId10" w:fontKey="{460B8A89-1816-4074-B62A-CC8FC01DC7EE}"/>
  </w:font>
  <w:font w:name="华文中宋">
    <w:panose1 w:val="02010600040101010101"/>
    <w:charset w:val="50"/>
    <w:family w:val="auto"/>
    <w:pitch w:val="default"/>
    <w:sig w:usb0="00000287" w:usb1="080F0000" w:usb2="00000000" w:usb3="00000000" w:csb0="0004009F" w:csb1="DFD70000"/>
    <w:embedRegular r:id="rId11" w:fontKey="{6D94DC10-6F12-49B4-8848-13CD3919F0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48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4805" cy="139700"/>
                      </a:xfrm>
                      <a:prstGeom prst="rect">
                        <a:avLst/>
                      </a:prstGeom>
                      <a:noFill/>
                      <a:ln>
                        <a:noFill/>
                      </a:ln>
                      <a:effectLst/>
                    </wps:spPr>
                    <wps:txbx>
                      <w:txbxContent>
                        <w:p>
                          <w:pPr>
                            <w:pStyle w:val="15"/>
                            <w:ind w:firstLine="360"/>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27.15pt;mso-position-horizontal:center;mso-position-horizontal-relative:margin;mso-wrap-style:none;z-index:251661312;mso-width-relative:page;mso-height-relative:page;" filled="f" stroked="f" coordsize="21600,21600" o:gfxdata="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1CASNEAAAADAQAADwAAAAAAAAABACAAAAAiAAAA&#10;ZHJzL2Rvd25yZXYueG1sUEsBAhQAFAAAAAgAh07iQJg+ltvVAQAApQMAAA4AAAAAAAAAAQAgAAAA&#10;IAEAAGRycy9lMm9Eb2MueG1sUEsFBgAAAAAGAAYAWQEAAGcFAAAAAA==&#10;">
              <v:fill on="f" focussize="0,0"/>
              <v:stroke on="f"/>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15</w:t>
                    </w:r>
                    <w:r>
                      <w:fldChar w:fldCharType="end"/>
                    </w:r>
                  </w:p>
                </w:txbxContent>
              </v:textbox>
            </v:shape>
          </w:pict>
        </mc:Fallback>
      </mc:AlternateContent>
    </w:r>
  </w:p>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102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CA015"/>
    <w:multiLevelType w:val="singleLevel"/>
    <w:tmpl w:val="834CA015"/>
    <w:lvl w:ilvl="0" w:tentative="0">
      <w:start w:val="2"/>
      <w:numFmt w:val="decimal"/>
      <w:suff w:val="nothing"/>
      <w:lvlText w:val="（%1）"/>
      <w:lvlJc w:val="left"/>
    </w:lvl>
  </w:abstractNum>
  <w:abstractNum w:abstractNumId="1">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CF8F6265"/>
    <w:multiLevelType w:val="singleLevel"/>
    <w:tmpl w:val="CF8F6265"/>
    <w:lvl w:ilvl="0" w:tentative="0">
      <w:start w:val="1"/>
      <w:numFmt w:val="decimal"/>
      <w:suff w:val="nothing"/>
      <w:lvlText w:val="%1、"/>
      <w:lvlJc w:val="left"/>
    </w:lvl>
  </w:abstractNum>
  <w:abstractNum w:abstractNumId="3">
    <w:nsid w:val="F172C5CB"/>
    <w:multiLevelType w:val="singleLevel"/>
    <w:tmpl w:val="F172C5CB"/>
    <w:lvl w:ilvl="0" w:tentative="0">
      <w:start w:val="1"/>
      <w:numFmt w:val="decimal"/>
      <w:suff w:val="nothing"/>
      <w:lvlText w:val="%1、"/>
      <w:lvlJc w:val="left"/>
    </w:lvl>
  </w:abstractNum>
  <w:abstractNum w:abstractNumId="4">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5">
    <w:nsid w:val="0AEA0BAA"/>
    <w:multiLevelType w:val="multilevel"/>
    <w:tmpl w:val="0AEA0BA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2E95D47B"/>
    <w:multiLevelType w:val="singleLevel"/>
    <w:tmpl w:val="2E95D47B"/>
    <w:lvl w:ilvl="0" w:tentative="0">
      <w:start w:val="1"/>
      <w:numFmt w:val="decimal"/>
      <w:pStyle w:val="4"/>
      <w:suff w:val="nothing"/>
      <w:lvlText w:val="%1．"/>
      <w:lvlJc w:val="left"/>
      <w:pPr>
        <w:ind w:left="17" w:firstLine="400"/>
      </w:pPr>
      <w:rPr>
        <w:rFonts w:hint="default"/>
      </w:rPr>
    </w:lvl>
  </w:abstractNum>
  <w:num w:numId="1">
    <w:abstractNumId w:val="1"/>
  </w:num>
  <w:num w:numId="2">
    <w:abstractNumId w:val="6"/>
  </w:num>
  <w:num w:numId="3">
    <w:abstractNumId w:val="6"/>
    <w:lvlOverride w:ilvl="0">
      <w:startOverride w:val="1"/>
    </w:lvlOverride>
  </w:num>
  <w:num w:numId="4">
    <w:abstractNumId w:val="5"/>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s>
  <w:rsids>
    <w:rsidRoot w:val="00173451"/>
    <w:rsid w:val="0001283D"/>
    <w:rsid w:val="000168CA"/>
    <w:rsid w:val="0002748A"/>
    <w:rsid w:val="000A75D9"/>
    <w:rsid w:val="00126DE8"/>
    <w:rsid w:val="001659E6"/>
    <w:rsid w:val="00173451"/>
    <w:rsid w:val="001C61BE"/>
    <w:rsid w:val="00286930"/>
    <w:rsid w:val="003C6A6E"/>
    <w:rsid w:val="00436B53"/>
    <w:rsid w:val="00466F51"/>
    <w:rsid w:val="004932B8"/>
    <w:rsid w:val="00497F92"/>
    <w:rsid w:val="004F30C6"/>
    <w:rsid w:val="00512041"/>
    <w:rsid w:val="005B1C62"/>
    <w:rsid w:val="006D3976"/>
    <w:rsid w:val="007344FF"/>
    <w:rsid w:val="00774C23"/>
    <w:rsid w:val="007B4EDC"/>
    <w:rsid w:val="007F0E50"/>
    <w:rsid w:val="008107E7"/>
    <w:rsid w:val="008304E5"/>
    <w:rsid w:val="0089301F"/>
    <w:rsid w:val="008B7798"/>
    <w:rsid w:val="00A223ED"/>
    <w:rsid w:val="00A47A82"/>
    <w:rsid w:val="00A63074"/>
    <w:rsid w:val="00AE1115"/>
    <w:rsid w:val="00AF0DA2"/>
    <w:rsid w:val="00B15DDC"/>
    <w:rsid w:val="00B56F3C"/>
    <w:rsid w:val="00C328EB"/>
    <w:rsid w:val="00C368C6"/>
    <w:rsid w:val="00DD0279"/>
    <w:rsid w:val="00E83F4E"/>
    <w:rsid w:val="00F43DE7"/>
    <w:rsid w:val="00F81293"/>
    <w:rsid w:val="00FA1044"/>
    <w:rsid w:val="00FD2626"/>
    <w:rsid w:val="00FD4D7B"/>
    <w:rsid w:val="01082DCE"/>
    <w:rsid w:val="01196377"/>
    <w:rsid w:val="011A27E6"/>
    <w:rsid w:val="011B4B0A"/>
    <w:rsid w:val="011D6ED0"/>
    <w:rsid w:val="01316EEB"/>
    <w:rsid w:val="0132738C"/>
    <w:rsid w:val="013442A3"/>
    <w:rsid w:val="013C7065"/>
    <w:rsid w:val="014D641B"/>
    <w:rsid w:val="01604B65"/>
    <w:rsid w:val="01631629"/>
    <w:rsid w:val="016A3995"/>
    <w:rsid w:val="01767A67"/>
    <w:rsid w:val="018B2605"/>
    <w:rsid w:val="019312E0"/>
    <w:rsid w:val="0195715E"/>
    <w:rsid w:val="019D2FC7"/>
    <w:rsid w:val="019E058F"/>
    <w:rsid w:val="01A00A3C"/>
    <w:rsid w:val="01B82FCB"/>
    <w:rsid w:val="01BB4D08"/>
    <w:rsid w:val="01BC5540"/>
    <w:rsid w:val="01C36ECD"/>
    <w:rsid w:val="01D75117"/>
    <w:rsid w:val="01DC22B4"/>
    <w:rsid w:val="01E22FC9"/>
    <w:rsid w:val="01E75CDE"/>
    <w:rsid w:val="01ED4448"/>
    <w:rsid w:val="021A334D"/>
    <w:rsid w:val="02241CA7"/>
    <w:rsid w:val="022C0382"/>
    <w:rsid w:val="022D7E5C"/>
    <w:rsid w:val="02383C35"/>
    <w:rsid w:val="023A1A65"/>
    <w:rsid w:val="02454DC6"/>
    <w:rsid w:val="02460711"/>
    <w:rsid w:val="024B086A"/>
    <w:rsid w:val="024C3FDE"/>
    <w:rsid w:val="025C2FF3"/>
    <w:rsid w:val="025F5CCB"/>
    <w:rsid w:val="0260580C"/>
    <w:rsid w:val="026F50F7"/>
    <w:rsid w:val="0292228F"/>
    <w:rsid w:val="029D3473"/>
    <w:rsid w:val="02A843B9"/>
    <w:rsid w:val="02AF018D"/>
    <w:rsid w:val="02B17534"/>
    <w:rsid w:val="02B8379A"/>
    <w:rsid w:val="02C148EA"/>
    <w:rsid w:val="02CD0689"/>
    <w:rsid w:val="02F11F86"/>
    <w:rsid w:val="03042952"/>
    <w:rsid w:val="031402A0"/>
    <w:rsid w:val="03142DB9"/>
    <w:rsid w:val="031C7DE4"/>
    <w:rsid w:val="03530EF0"/>
    <w:rsid w:val="0353796C"/>
    <w:rsid w:val="03666726"/>
    <w:rsid w:val="036A6013"/>
    <w:rsid w:val="036B0042"/>
    <w:rsid w:val="03921536"/>
    <w:rsid w:val="03957CCA"/>
    <w:rsid w:val="03DE6BBF"/>
    <w:rsid w:val="03EA0F31"/>
    <w:rsid w:val="03EC548F"/>
    <w:rsid w:val="03FB6B06"/>
    <w:rsid w:val="04233E93"/>
    <w:rsid w:val="04295DA0"/>
    <w:rsid w:val="04301D9B"/>
    <w:rsid w:val="04352FAD"/>
    <w:rsid w:val="04533F12"/>
    <w:rsid w:val="046B7205"/>
    <w:rsid w:val="047B3AB4"/>
    <w:rsid w:val="047C0CFA"/>
    <w:rsid w:val="047C234D"/>
    <w:rsid w:val="048328A9"/>
    <w:rsid w:val="04A61CAB"/>
    <w:rsid w:val="04B66E9B"/>
    <w:rsid w:val="04BE12FC"/>
    <w:rsid w:val="04DF02F5"/>
    <w:rsid w:val="04EA65EC"/>
    <w:rsid w:val="04F54297"/>
    <w:rsid w:val="04F76AAC"/>
    <w:rsid w:val="04F95D73"/>
    <w:rsid w:val="050022AA"/>
    <w:rsid w:val="05162632"/>
    <w:rsid w:val="05392E51"/>
    <w:rsid w:val="05474D67"/>
    <w:rsid w:val="055A37C3"/>
    <w:rsid w:val="057351EA"/>
    <w:rsid w:val="059761EF"/>
    <w:rsid w:val="059F2433"/>
    <w:rsid w:val="05A12F8F"/>
    <w:rsid w:val="05B16949"/>
    <w:rsid w:val="05C614B1"/>
    <w:rsid w:val="05EC39B6"/>
    <w:rsid w:val="05EC3DBF"/>
    <w:rsid w:val="05F90297"/>
    <w:rsid w:val="060C39DD"/>
    <w:rsid w:val="061006D5"/>
    <w:rsid w:val="06227012"/>
    <w:rsid w:val="06291D77"/>
    <w:rsid w:val="062929E2"/>
    <w:rsid w:val="06432CF5"/>
    <w:rsid w:val="064B1FD0"/>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43057C"/>
    <w:rsid w:val="07914D92"/>
    <w:rsid w:val="07C93DD2"/>
    <w:rsid w:val="07F10BD9"/>
    <w:rsid w:val="07F33261"/>
    <w:rsid w:val="07FB3039"/>
    <w:rsid w:val="07FC2047"/>
    <w:rsid w:val="080A4F8B"/>
    <w:rsid w:val="081D312D"/>
    <w:rsid w:val="08290DFC"/>
    <w:rsid w:val="082B101D"/>
    <w:rsid w:val="082D031A"/>
    <w:rsid w:val="083227D0"/>
    <w:rsid w:val="083E61F6"/>
    <w:rsid w:val="08441F41"/>
    <w:rsid w:val="085024A6"/>
    <w:rsid w:val="0871359F"/>
    <w:rsid w:val="08762289"/>
    <w:rsid w:val="087C60E3"/>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7853D8"/>
    <w:rsid w:val="09835642"/>
    <w:rsid w:val="09904735"/>
    <w:rsid w:val="09A1577F"/>
    <w:rsid w:val="09B1743D"/>
    <w:rsid w:val="09BF3C5F"/>
    <w:rsid w:val="09EC3543"/>
    <w:rsid w:val="0A017749"/>
    <w:rsid w:val="0A2A75F4"/>
    <w:rsid w:val="0A31325F"/>
    <w:rsid w:val="0A433EA3"/>
    <w:rsid w:val="0A44279E"/>
    <w:rsid w:val="0A4C0A53"/>
    <w:rsid w:val="0A562E5C"/>
    <w:rsid w:val="0A6D1CF7"/>
    <w:rsid w:val="0A6D4428"/>
    <w:rsid w:val="0A6F718B"/>
    <w:rsid w:val="0A70103F"/>
    <w:rsid w:val="0A830A8F"/>
    <w:rsid w:val="0AB60CBE"/>
    <w:rsid w:val="0ADB488F"/>
    <w:rsid w:val="0ADF4740"/>
    <w:rsid w:val="0AF404CA"/>
    <w:rsid w:val="0AFB5FEB"/>
    <w:rsid w:val="0B237F0C"/>
    <w:rsid w:val="0B25655D"/>
    <w:rsid w:val="0B2D2CDB"/>
    <w:rsid w:val="0B3B41A4"/>
    <w:rsid w:val="0B4355E9"/>
    <w:rsid w:val="0B466158"/>
    <w:rsid w:val="0B765704"/>
    <w:rsid w:val="0B7D0BA2"/>
    <w:rsid w:val="0B831417"/>
    <w:rsid w:val="0B8E4069"/>
    <w:rsid w:val="0B976282"/>
    <w:rsid w:val="0BAA0921"/>
    <w:rsid w:val="0BBE3C8E"/>
    <w:rsid w:val="0BD75140"/>
    <w:rsid w:val="0BD821CA"/>
    <w:rsid w:val="0BE00F68"/>
    <w:rsid w:val="0BF36640"/>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E45ABA"/>
    <w:rsid w:val="0CE55D2A"/>
    <w:rsid w:val="0CEA1161"/>
    <w:rsid w:val="0D0E1A16"/>
    <w:rsid w:val="0D0F3FB6"/>
    <w:rsid w:val="0D10611A"/>
    <w:rsid w:val="0D204464"/>
    <w:rsid w:val="0D245D5D"/>
    <w:rsid w:val="0D2A5D78"/>
    <w:rsid w:val="0D5220FA"/>
    <w:rsid w:val="0D643C93"/>
    <w:rsid w:val="0D840310"/>
    <w:rsid w:val="0D935001"/>
    <w:rsid w:val="0DA75F7E"/>
    <w:rsid w:val="0DA966D0"/>
    <w:rsid w:val="0DA966E2"/>
    <w:rsid w:val="0DCE19B4"/>
    <w:rsid w:val="0E05440A"/>
    <w:rsid w:val="0E14052A"/>
    <w:rsid w:val="0E141751"/>
    <w:rsid w:val="0E1B588D"/>
    <w:rsid w:val="0E223C28"/>
    <w:rsid w:val="0E265F28"/>
    <w:rsid w:val="0E2873E9"/>
    <w:rsid w:val="0E421F35"/>
    <w:rsid w:val="0E445BFC"/>
    <w:rsid w:val="0E744B2D"/>
    <w:rsid w:val="0E754541"/>
    <w:rsid w:val="0E8D05E0"/>
    <w:rsid w:val="0E9B3C63"/>
    <w:rsid w:val="0EA142F0"/>
    <w:rsid w:val="0EB4636E"/>
    <w:rsid w:val="0EB75DCA"/>
    <w:rsid w:val="0EC81177"/>
    <w:rsid w:val="0ED12EB4"/>
    <w:rsid w:val="0ED16605"/>
    <w:rsid w:val="0ED97B37"/>
    <w:rsid w:val="0EE3071C"/>
    <w:rsid w:val="0EED2DF2"/>
    <w:rsid w:val="0EF83DB8"/>
    <w:rsid w:val="0EFC5DFF"/>
    <w:rsid w:val="0F063B0F"/>
    <w:rsid w:val="0F1D266E"/>
    <w:rsid w:val="0F401FA4"/>
    <w:rsid w:val="0F4F57E8"/>
    <w:rsid w:val="0F6C3B60"/>
    <w:rsid w:val="0F6F6315"/>
    <w:rsid w:val="0F7150A0"/>
    <w:rsid w:val="0FAE4A21"/>
    <w:rsid w:val="0FB81B5B"/>
    <w:rsid w:val="0FD00E8A"/>
    <w:rsid w:val="0FFE6FD8"/>
    <w:rsid w:val="10090199"/>
    <w:rsid w:val="101B2EFD"/>
    <w:rsid w:val="10337DDD"/>
    <w:rsid w:val="103656D1"/>
    <w:rsid w:val="103C7917"/>
    <w:rsid w:val="10416F65"/>
    <w:rsid w:val="10564A8B"/>
    <w:rsid w:val="1058602D"/>
    <w:rsid w:val="10795C93"/>
    <w:rsid w:val="10800123"/>
    <w:rsid w:val="108B3AFA"/>
    <w:rsid w:val="10B15280"/>
    <w:rsid w:val="10D50461"/>
    <w:rsid w:val="10E24CD8"/>
    <w:rsid w:val="10F15163"/>
    <w:rsid w:val="10F26CDC"/>
    <w:rsid w:val="10FA1B98"/>
    <w:rsid w:val="111451B1"/>
    <w:rsid w:val="11163C77"/>
    <w:rsid w:val="111A2E4F"/>
    <w:rsid w:val="1139732F"/>
    <w:rsid w:val="11465B33"/>
    <w:rsid w:val="114A7510"/>
    <w:rsid w:val="114C67B8"/>
    <w:rsid w:val="115A53BC"/>
    <w:rsid w:val="11696085"/>
    <w:rsid w:val="117A2D8F"/>
    <w:rsid w:val="11864194"/>
    <w:rsid w:val="118E75B9"/>
    <w:rsid w:val="1194155A"/>
    <w:rsid w:val="119C1623"/>
    <w:rsid w:val="119F70B0"/>
    <w:rsid w:val="11A94823"/>
    <w:rsid w:val="11AB3509"/>
    <w:rsid w:val="11B5299E"/>
    <w:rsid w:val="11E52624"/>
    <w:rsid w:val="11E8124D"/>
    <w:rsid w:val="11F9333E"/>
    <w:rsid w:val="11FE31AD"/>
    <w:rsid w:val="121466AA"/>
    <w:rsid w:val="122B6577"/>
    <w:rsid w:val="12343761"/>
    <w:rsid w:val="123756D1"/>
    <w:rsid w:val="123B7167"/>
    <w:rsid w:val="124444B1"/>
    <w:rsid w:val="124E5F2C"/>
    <w:rsid w:val="12597E87"/>
    <w:rsid w:val="125B3739"/>
    <w:rsid w:val="126943EE"/>
    <w:rsid w:val="12826070"/>
    <w:rsid w:val="12865675"/>
    <w:rsid w:val="128F2D41"/>
    <w:rsid w:val="12926138"/>
    <w:rsid w:val="129A697A"/>
    <w:rsid w:val="12C6189A"/>
    <w:rsid w:val="12CA7A4E"/>
    <w:rsid w:val="12CE1AB3"/>
    <w:rsid w:val="12CE785B"/>
    <w:rsid w:val="12D16BCB"/>
    <w:rsid w:val="12DC2AAB"/>
    <w:rsid w:val="12E419F7"/>
    <w:rsid w:val="12E74E3F"/>
    <w:rsid w:val="12ED7F8F"/>
    <w:rsid w:val="12F04674"/>
    <w:rsid w:val="12FE1AE7"/>
    <w:rsid w:val="12FF2882"/>
    <w:rsid w:val="13190BA4"/>
    <w:rsid w:val="13293F8A"/>
    <w:rsid w:val="132A5815"/>
    <w:rsid w:val="13356A71"/>
    <w:rsid w:val="134854F2"/>
    <w:rsid w:val="134E69EB"/>
    <w:rsid w:val="13594F2D"/>
    <w:rsid w:val="13714DE1"/>
    <w:rsid w:val="138D1ED8"/>
    <w:rsid w:val="13A70B15"/>
    <w:rsid w:val="13B72E13"/>
    <w:rsid w:val="13BA32C6"/>
    <w:rsid w:val="13CA1A3A"/>
    <w:rsid w:val="13D319B2"/>
    <w:rsid w:val="13DE4A24"/>
    <w:rsid w:val="14003B68"/>
    <w:rsid w:val="14077165"/>
    <w:rsid w:val="140A4876"/>
    <w:rsid w:val="141C69E4"/>
    <w:rsid w:val="142136EA"/>
    <w:rsid w:val="14231FAC"/>
    <w:rsid w:val="14264818"/>
    <w:rsid w:val="145378D4"/>
    <w:rsid w:val="1463315F"/>
    <w:rsid w:val="14664519"/>
    <w:rsid w:val="146F09C5"/>
    <w:rsid w:val="147441B4"/>
    <w:rsid w:val="14745B8C"/>
    <w:rsid w:val="14832530"/>
    <w:rsid w:val="14936D19"/>
    <w:rsid w:val="14B03221"/>
    <w:rsid w:val="14CE44A7"/>
    <w:rsid w:val="14F33B67"/>
    <w:rsid w:val="151E62FD"/>
    <w:rsid w:val="151F03B5"/>
    <w:rsid w:val="15342F84"/>
    <w:rsid w:val="153A65BE"/>
    <w:rsid w:val="15422B45"/>
    <w:rsid w:val="1554131A"/>
    <w:rsid w:val="156629A4"/>
    <w:rsid w:val="156A38D6"/>
    <w:rsid w:val="1584295D"/>
    <w:rsid w:val="158558A1"/>
    <w:rsid w:val="158735B1"/>
    <w:rsid w:val="1588777F"/>
    <w:rsid w:val="15895244"/>
    <w:rsid w:val="159E013D"/>
    <w:rsid w:val="15BA0961"/>
    <w:rsid w:val="15BC6BCB"/>
    <w:rsid w:val="15D32868"/>
    <w:rsid w:val="15E35210"/>
    <w:rsid w:val="15EE1192"/>
    <w:rsid w:val="15FD0081"/>
    <w:rsid w:val="161713B9"/>
    <w:rsid w:val="1621024A"/>
    <w:rsid w:val="162117F2"/>
    <w:rsid w:val="1635775C"/>
    <w:rsid w:val="163D38BD"/>
    <w:rsid w:val="164432FC"/>
    <w:rsid w:val="166867F9"/>
    <w:rsid w:val="16746A12"/>
    <w:rsid w:val="16763172"/>
    <w:rsid w:val="167E2633"/>
    <w:rsid w:val="168431DE"/>
    <w:rsid w:val="168C763B"/>
    <w:rsid w:val="1690501F"/>
    <w:rsid w:val="16B22F9A"/>
    <w:rsid w:val="16D147CF"/>
    <w:rsid w:val="16DB2D50"/>
    <w:rsid w:val="16DE5569"/>
    <w:rsid w:val="16E8299C"/>
    <w:rsid w:val="16EB239B"/>
    <w:rsid w:val="16F40010"/>
    <w:rsid w:val="16FB1042"/>
    <w:rsid w:val="170622F3"/>
    <w:rsid w:val="17096A52"/>
    <w:rsid w:val="170A608F"/>
    <w:rsid w:val="17176EC0"/>
    <w:rsid w:val="171A22E9"/>
    <w:rsid w:val="173213AE"/>
    <w:rsid w:val="1735048C"/>
    <w:rsid w:val="173C70F5"/>
    <w:rsid w:val="174206F3"/>
    <w:rsid w:val="176B4C2E"/>
    <w:rsid w:val="177E312E"/>
    <w:rsid w:val="17912DBB"/>
    <w:rsid w:val="179E2BB2"/>
    <w:rsid w:val="17A31E57"/>
    <w:rsid w:val="17A41A09"/>
    <w:rsid w:val="17B1723B"/>
    <w:rsid w:val="17BE7705"/>
    <w:rsid w:val="17DE1931"/>
    <w:rsid w:val="17E43CA4"/>
    <w:rsid w:val="1803234F"/>
    <w:rsid w:val="18050C18"/>
    <w:rsid w:val="181F7B0D"/>
    <w:rsid w:val="184D7361"/>
    <w:rsid w:val="18611ADF"/>
    <w:rsid w:val="18660D83"/>
    <w:rsid w:val="188F0361"/>
    <w:rsid w:val="18A34D8C"/>
    <w:rsid w:val="18AD0BE1"/>
    <w:rsid w:val="18B619A6"/>
    <w:rsid w:val="18BB43F9"/>
    <w:rsid w:val="18BD2A66"/>
    <w:rsid w:val="18C13AC1"/>
    <w:rsid w:val="18D119EE"/>
    <w:rsid w:val="190102ED"/>
    <w:rsid w:val="190524A1"/>
    <w:rsid w:val="19111C94"/>
    <w:rsid w:val="193809C2"/>
    <w:rsid w:val="194361A3"/>
    <w:rsid w:val="194E641E"/>
    <w:rsid w:val="19651738"/>
    <w:rsid w:val="198365E2"/>
    <w:rsid w:val="19976995"/>
    <w:rsid w:val="19B044DF"/>
    <w:rsid w:val="19B17D54"/>
    <w:rsid w:val="19FA5475"/>
    <w:rsid w:val="19FC6A1D"/>
    <w:rsid w:val="1A110767"/>
    <w:rsid w:val="1A1964F4"/>
    <w:rsid w:val="1A576AE8"/>
    <w:rsid w:val="1A5A1E87"/>
    <w:rsid w:val="1A613F40"/>
    <w:rsid w:val="1A6450AE"/>
    <w:rsid w:val="1A6F3D1D"/>
    <w:rsid w:val="1A742AE7"/>
    <w:rsid w:val="1A8369AA"/>
    <w:rsid w:val="1A851E5E"/>
    <w:rsid w:val="1A976D8E"/>
    <w:rsid w:val="1A9845E5"/>
    <w:rsid w:val="1A9A00BD"/>
    <w:rsid w:val="1A9F3526"/>
    <w:rsid w:val="1AB60854"/>
    <w:rsid w:val="1AB62259"/>
    <w:rsid w:val="1ADB5923"/>
    <w:rsid w:val="1ADF24BC"/>
    <w:rsid w:val="1AFB2F34"/>
    <w:rsid w:val="1B111758"/>
    <w:rsid w:val="1B142E41"/>
    <w:rsid w:val="1B1C4A6C"/>
    <w:rsid w:val="1B1F0131"/>
    <w:rsid w:val="1B2372F3"/>
    <w:rsid w:val="1B2709C3"/>
    <w:rsid w:val="1B2C2EBB"/>
    <w:rsid w:val="1B300A8F"/>
    <w:rsid w:val="1B3028D7"/>
    <w:rsid w:val="1B344A57"/>
    <w:rsid w:val="1B364075"/>
    <w:rsid w:val="1B387860"/>
    <w:rsid w:val="1B5A266B"/>
    <w:rsid w:val="1B6F3157"/>
    <w:rsid w:val="1B745152"/>
    <w:rsid w:val="1B763A15"/>
    <w:rsid w:val="1B941FF2"/>
    <w:rsid w:val="1BA455F3"/>
    <w:rsid w:val="1BB91E00"/>
    <w:rsid w:val="1BC0329E"/>
    <w:rsid w:val="1BC63DA4"/>
    <w:rsid w:val="1BC863D0"/>
    <w:rsid w:val="1C01157A"/>
    <w:rsid w:val="1C337FF5"/>
    <w:rsid w:val="1C3B4532"/>
    <w:rsid w:val="1C3F63C6"/>
    <w:rsid w:val="1C495A9B"/>
    <w:rsid w:val="1C4A4F18"/>
    <w:rsid w:val="1C4C62F2"/>
    <w:rsid w:val="1C6063BC"/>
    <w:rsid w:val="1C611FFA"/>
    <w:rsid w:val="1C677760"/>
    <w:rsid w:val="1C8342C9"/>
    <w:rsid w:val="1C835541"/>
    <w:rsid w:val="1C962287"/>
    <w:rsid w:val="1CA63F16"/>
    <w:rsid w:val="1CB63D17"/>
    <w:rsid w:val="1CBE15B8"/>
    <w:rsid w:val="1CC70AAE"/>
    <w:rsid w:val="1CF14F3E"/>
    <w:rsid w:val="1CF93C71"/>
    <w:rsid w:val="1CF97B60"/>
    <w:rsid w:val="1D030883"/>
    <w:rsid w:val="1D1D75F2"/>
    <w:rsid w:val="1D1F4399"/>
    <w:rsid w:val="1D5039A9"/>
    <w:rsid w:val="1D670B14"/>
    <w:rsid w:val="1D924EB5"/>
    <w:rsid w:val="1D9F65B1"/>
    <w:rsid w:val="1DA002EB"/>
    <w:rsid w:val="1DD7785D"/>
    <w:rsid w:val="1DE0242C"/>
    <w:rsid w:val="1DE02E8C"/>
    <w:rsid w:val="1DEB579E"/>
    <w:rsid w:val="1DFB418B"/>
    <w:rsid w:val="1E1510B3"/>
    <w:rsid w:val="1E1B06D7"/>
    <w:rsid w:val="1E1D003B"/>
    <w:rsid w:val="1E2405CC"/>
    <w:rsid w:val="1E2A636A"/>
    <w:rsid w:val="1E2B5895"/>
    <w:rsid w:val="1E2C74D0"/>
    <w:rsid w:val="1E33162B"/>
    <w:rsid w:val="1E3F71AC"/>
    <w:rsid w:val="1E407FC7"/>
    <w:rsid w:val="1E484768"/>
    <w:rsid w:val="1E4A65BA"/>
    <w:rsid w:val="1E506677"/>
    <w:rsid w:val="1E5A2DA3"/>
    <w:rsid w:val="1E611165"/>
    <w:rsid w:val="1E6C6427"/>
    <w:rsid w:val="1E7646AA"/>
    <w:rsid w:val="1E965D04"/>
    <w:rsid w:val="1E986736"/>
    <w:rsid w:val="1EA26379"/>
    <w:rsid w:val="1EC13239"/>
    <w:rsid w:val="1ED352F2"/>
    <w:rsid w:val="1ED920BE"/>
    <w:rsid w:val="1EF5766C"/>
    <w:rsid w:val="1EF7470E"/>
    <w:rsid w:val="1F05265B"/>
    <w:rsid w:val="1F073AFB"/>
    <w:rsid w:val="1F0E2E4B"/>
    <w:rsid w:val="1F1068A9"/>
    <w:rsid w:val="1F11207D"/>
    <w:rsid w:val="1F3309E4"/>
    <w:rsid w:val="1F3C6344"/>
    <w:rsid w:val="1F5435CA"/>
    <w:rsid w:val="1F546D45"/>
    <w:rsid w:val="1F664E2A"/>
    <w:rsid w:val="1F6A639E"/>
    <w:rsid w:val="1F8132C8"/>
    <w:rsid w:val="1FA02744"/>
    <w:rsid w:val="1FAC011C"/>
    <w:rsid w:val="1FC24714"/>
    <w:rsid w:val="1FCC3990"/>
    <w:rsid w:val="200C298F"/>
    <w:rsid w:val="201C190B"/>
    <w:rsid w:val="201C77D7"/>
    <w:rsid w:val="202A4D90"/>
    <w:rsid w:val="202B2B0F"/>
    <w:rsid w:val="203F2F7A"/>
    <w:rsid w:val="20435529"/>
    <w:rsid w:val="20517E69"/>
    <w:rsid w:val="20530F08"/>
    <w:rsid w:val="2066350B"/>
    <w:rsid w:val="206B4A56"/>
    <w:rsid w:val="208701DC"/>
    <w:rsid w:val="20942936"/>
    <w:rsid w:val="20AD1511"/>
    <w:rsid w:val="20AE71CD"/>
    <w:rsid w:val="20BE481C"/>
    <w:rsid w:val="20C75587"/>
    <w:rsid w:val="20DD7EA1"/>
    <w:rsid w:val="20EC6F0D"/>
    <w:rsid w:val="20EF3849"/>
    <w:rsid w:val="21114D59"/>
    <w:rsid w:val="212707FC"/>
    <w:rsid w:val="21351C12"/>
    <w:rsid w:val="216C0366"/>
    <w:rsid w:val="216D73A5"/>
    <w:rsid w:val="2186530F"/>
    <w:rsid w:val="218D6398"/>
    <w:rsid w:val="21A82FAF"/>
    <w:rsid w:val="21C614F6"/>
    <w:rsid w:val="21D07572"/>
    <w:rsid w:val="21D57E5D"/>
    <w:rsid w:val="220B38D3"/>
    <w:rsid w:val="220F27AB"/>
    <w:rsid w:val="221073BF"/>
    <w:rsid w:val="22265504"/>
    <w:rsid w:val="22270ADD"/>
    <w:rsid w:val="223029AE"/>
    <w:rsid w:val="224B1241"/>
    <w:rsid w:val="22565E31"/>
    <w:rsid w:val="226200AE"/>
    <w:rsid w:val="226C24D9"/>
    <w:rsid w:val="227540C8"/>
    <w:rsid w:val="22C438D9"/>
    <w:rsid w:val="22C90127"/>
    <w:rsid w:val="22D008F7"/>
    <w:rsid w:val="22D42D6B"/>
    <w:rsid w:val="22DF5D82"/>
    <w:rsid w:val="22FD581D"/>
    <w:rsid w:val="2308181B"/>
    <w:rsid w:val="231A6446"/>
    <w:rsid w:val="23200D04"/>
    <w:rsid w:val="23252F62"/>
    <w:rsid w:val="2329015A"/>
    <w:rsid w:val="233979A9"/>
    <w:rsid w:val="233D41F6"/>
    <w:rsid w:val="233E1D9D"/>
    <w:rsid w:val="233F79BC"/>
    <w:rsid w:val="235A23F9"/>
    <w:rsid w:val="23690BF3"/>
    <w:rsid w:val="237F4339"/>
    <w:rsid w:val="238A746E"/>
    <w:rsid w:val="23BD0EBB"/>
    <w:rsid w:val="23CC0376"/>
    <w:rsid w:val="23D003FB"/>
    <w:rsid w:val="23E06FF0"/>
    <w:rsid w:val="23F26B67"/>
    <w:rsid w:val="240E7BA3"/>
    <w:rsid w:val="24321DFA"/>
    <w:rsid w:val="243B5F35"/>
    <w:rsid w:val="244B3815"/>
    <w:rsid w:val="24530C8F"/>
    <w:rsid w:val="24636547"/>
    <w:rsid w:val="24717D47"/>
    <w:rsid w:val="249C788A"/>
    <w:rsid w:val="24B550A2"/>
    <w:rsid w:val="24B82B32"/>
    <w:rsid w:val="24B86773"/>
    <w:rsid w:val="24BB6D5B"/>
    <w:rsid w:val="24DC6375"/>
    <w:rsid w:val="24F755BB"/>
    <w:rsid w:val="24FA5375"/>
    <w:rsid w:val="25057AB1"/>
    <w:rsid w:val="25167458"/>
    <w:rsid w:val="251E581D"/>
    <w:rsid w:val="252A368C"/>
    <w:rsid w:val="253317B8"/>
    <w:rsid w:val="2537641D"/>
    <w:rsid w:val="253C3EF7"/>
    <w:rsid w:val="254D074A"/>
    <w:rsid w:val="2558795E"/>
    <w:rsid w:val="255E089E"/>
    <w:rsid w:val="257F5882"/>
    <w:rsid w:val="25987884"/>
    <w:rsid w:val="259C6F9A"/>
    <w:rsid w:val="25BC57A4"/>
    <w:rsid w:val="25BF330D"/>
    <w:rsid w:val="25C27A7C"/>
    <w:rsid w:val="25C76039"/>
    <w:rsid w:val="25E31DB1"/>
    <w:rsid w:val="25F341F9"/>
    <w:rsid w:val="25FD4EFD"/>
    <w:rsid w:val="2603678D"/>
    <w:rsid w:val="26050C41"/>
    <w:rsid w:val="261A0D6A"/>
    <w:rsid w:val="263F4733"/>
    <w:rsid w:val="264826D8"/>
    <w:rsid w:val="26486C62"/>
    <w:rsid w:val="26581526"/>
    <w:rsid w:val="26845C6C"/>
    <w:rsid w:val="269408C3"/>
    <w:rsid w:val="269A360B"/>
    <w:rsid w:val="26A244E0"/>
    <w:rsid w:val="26AF5A72"/>
    <w:rsid w:val="26BE55EA"/>
    <w:rsid w:val="26C35476"/>
    <w:rsid w:val="26C762DB"/>
    <w:rsid w:val="26DC20E5"/>
    <w:rsid w:val="26E71E33"/>
    <w:rsid w:val="26F97745"/>
    <w:rsid w:val="270E3585"/>
    <w:rsid w:val="27154292"/>
    <w:rsid w:val="272A5595"/>
    <w:rsid w:val="274B353E"/>
    <w:rsid w:val="27524FD4"/>
    <w:rsid w:val="275319F4"/>
    <w:rsid w:val="27613BAA"/>
    <w:rsid w:val="276A2C20"/>
    <w:rsid w:val="276E6872"/>
    <w:rsid w:val="278E3101"/>
    <w:rsid w:val="27941CFF"/>
    <w:rsid w:val="279D100E"/>
    <w:rsid w:val="27BC1DF8"/>
    <w:rsid w:val="27C04E60"/>
    <w:rsid w:val="28076074"/>
    <w:rsid w:val="280D4614"/>
    <w:rsid w:val="281846D4"/>
    <w:rsid w:val="282B2CB9"/>
    <w:rsid w:val="282F78FD"/>
    <w:rsid w:val="28436F61"/>
    <w:rsid w:val="286A2391"/>
    <w:rsid w:val="28724132"/>
    <w:rsid w:val="287B59F6"/>
    <w:rsid w:val="28847D06"/>
    <w:rsid w:val="288F48FB"/>
    <w:rsid w:val="28974169"/>
    <w:rsid w:val="28AC0ECF"/>
    <w:rsid w:val="28AE2264"/>
    <w:rsid w:val="28BE57FD"/>
    <w:rsid w:val="28C01F1D"/>
    <w:rsid w:val="28C14CAA"/>
    <w:rsid w:val="28D35487"/>
    <w:rsid w:val="28EB33ED"/>
    <w:rsid w:val="29001D45"/>
    <w:rsid w:val="290D0C20"/>
    <w:rsid w:val="29154A5F"/>
    <w:rsid w:val="29156F28"/>
    <w:rsid w:val="29162105"/>
    <w:rsid w:val="291D6CFF"/>
    <w:rsid w:val="291E564E"/>
    <w:rsid w:val="2931052C"/>
    <w:rsid w:val="29454998"/>
    <w:rsid w:val="295F2CEF"/>
    <w:rsid w:val="29741CFA"/>
    <w:rsid w:val="297C2E49"/>
    <w:rsid w:val="29941624"/>
    <w:rsid w:val="29950707"/>
    <w:rsid w:val="299554BA"/>
    <w:rsid w:val="29956056"/>
    <w:rsid w:val="29AA3C23"/>
    <w:rsid w:val="29BF59D6"/>
    <w:rsid w:val="29C53546"/>
    <w:rsid w:val="29C941A2"/>
    <w:rsid w:val="29EB49C9"/>
    <w:rsid w:val="29EF3FB8"/>
    <w:rsid w:val="29F12286"/>
    <w:rsid w:val="29FB2966"/>
    <w:rsid w:val="2A1D7695"/>
    <w:rsid w:val="2A2658E2"/>
    <w:rsid w:val="2A2B2E5B"/>
    <w:rsid w:val="2A37472F"/>
    <w:rsid w:val="2A3A63BF"/>
    <w:rsid w:val="2A411009"/>
    <w:rsid w:val="2A48150B"/>
    <w:rsid w:val="2A4C0A1A"/>
    <w:rsid w:val="2A4C6A3D"/>
    <w:rsid w:val="2A5503E4"/>
    <w:rsid w:val="2A59713C"/>
    <w:rsid w:val="2A633D38"/>
    <w:rsid w:val="2A655AFF"/>
    <w:rsid w:val="2A715DEA"/>
    <w:rsid w:val="2A770498"/>
    <w:rsid w:val="2A97233B"/>
    <w:rsid w:val="2A97631D"/>
    <w:rsid w:val="2AB4054B"/>
    <w:rsid w:val="2AB843C9"/>
    <w:rsid w:val="2AD307BD"/>
    <w:rsid w:val="2AEF6881"/>
    <w:rsid w:val="2AFE46B0"/>
    <w:rsid w:val="2B073FBC"/>
    <w:rsid w:val="2B22095A"/>
    <w:rsid w:val="2B392180"/>
    <w:rsid w:val="2B3C1D66"/>
    <w:rsid w:val="2B3E28EB"/>
    <w:rsid w:val="2B430D79"/>
    <w:rsid w:val="2B6D61D4"/>
    <w:rsid w:val="2B6E1F63"/>
    <w:rsid w:val="2B80515D"/>
    <w:rsid w:val="2B9215B2"/>
    <w:rsid w:val="2BA42C24"/>
    <w:rsid w:val="2BB623FD"/>
    <w:rsid w:val="2BBB0483"/>
    <w:rsid w:val="2BC566C7"/>
    <w:rsid w:val="2BC81736"/>
    <w:rsid w:val="2BD04145"/>
    <w:rsid w:val="2BE3479D"/>
    <w:rsid w:val="2BEA5DA8"/>
    <w:rsid w:val="2BF20979"/>
    <w:rsid w:val="2BFB3F34"/>
    <w:rsid w:val="2C057779"/>
    <w:rsid w:val="2C19133D"/>
    <w:rsid w:val="2C1A1B3D"/>
    <w:rsid w:val="2C221397"/>
    <w:rsid w:val="2C81653D"/>
    <w:rsid w:val="2CB9247E"/>
    <w:rsid w:val="2CF42A2C"/>
    <w:rsid w:val="2CF5656A"/>
    <w:rsid w:val="2D1547AA"/>
    <w:rsid w:val="2D1C0C8B"/>
    <w:rsid w:val="2D500625"/>
    <w:rsid w:val="2D511CF8"/>
    <w:rsid w:val="2D8E0155"/>
    <w:rsid w:val="2D8E5DB3"/>
    <w:rsid w:val="2D9C231F"/>
    <w:rsid w:val="2D9F3C27"/>
    <w:rsid w:val="2DA55DA2"/>
    <w:rsid w:val="2DAB019F"/>
    <w:rsid w:val="2DB15F1B"/>
    <w:rsid w:val="2DE44B7D"/>
    <w:rsid w:val="2DE85A59"/>
    <w:rsid w:val="2E00515D"/>
    <w:rsid w:val="2E042AF3"/>
    <w:rsid w:val="2E153C96"/>
    <w:rsid w:val="2E1D043E"/>
    <w:rsid w:val="2E2C30CF"/>
    <w:rsid w:val="2E2C3CC9"/>
    <w:rsid w:val="2E2D39B2"/>
    <w:rsid w:val="2E3944DD"/>
    <w:rsid w:val="2E5178FB"/>
    <w:rsid w:val="2E524DAC"/>
    <w:rsid w:val="2E553313"/>
    <w:rsid w:val="2E6C4C6B"/>
    <w:rsid w:val="2E760F81"/>
    <w:rsid w:val="2E7A64DB"/>
    <w:rsid w:val="2E7F0E45"/>
    <w:rsid w:val="2E816717"/>
    <w:rsid w:val="2E98672E"/>
    <w:rsid w:val="2EB774D0"/>
    <w:rsid w:val="2ED62883"/>
    <w:rsid w:val="2EE04406"/>
    <w:rsid w:val="2EE642AD"/>
    <w:rsid w:val="2F05447E"/>
    <w:rsid w:val="2F2F0CD7"/>
    <w:rsid w:val="2F332613"/>
    <w:rsid w:val="2F3F6D21"/>
    <w:rsid w:val="2F427B64"/>
    <w:rsid w:val="2F7A7771"/>
    <w:rsid w:val="2F8E7570"/>
    <w:rsid w:val="2FA70B41"/>
    <w:rsid w:val="2FAE780E"/>
    <w:rsid w:val="2FD60B5D"/>
    <w:rsid w:val="2FEA61C6"/>
    <w:rsid w:val="2FF46A33"/>
    <w:rsid w:val="30024A46"/>
    <w:rsid w:val="300B2814"/>
    <w:rsid w:val="30115DAB"/>
    <w:rsid w:val="30164ACC"/>
    <w:rsid w:val="301746AE"/>
    <w:rsid w:val="301A510E"/>
    <w:rsid w:val="30446691"/>
    <w:rsid w:val="30536DA5"/>
    <w:rsid w:val="30555F0B"/>
    <w:rsid w:val="305B18F9"/>
    <w:rsid w:val="306675DB"/>
    <w:rsid w:val="306F4A5C"/>
    <w:rsid w:val="30704F1E"/>
    <w:rsid w:val="30963BE9"/>
    <w:rsid w:val="30987AC8"/>
    <w:rsid w:val="30991CC7"/>
    <w:rsid w:val="309D04B3"/>
    <w:rsid w:val="30B74EB9"/>
    <w:rsid w:val="31075C26"/>
    <w:rsid w:val="31130579"/>
    <w:rsid w:val="31150AF7"/>
    <w:rsid w:val="312977F5"/>
    <w:rsid w:val="313B0A55"/>
    <w:rsid w:val="3140510D"/>
    <w:rsid w:val="31490B16"/>
    <w:rsid w:val="31500AF0"/>
    <w:rsid w:val="31606BA9"/>
    <w:rsid w:val="317B5137"/>
    <w:rsid w:val="31B173FD"/>
    <w:rsid w:val="31B535AF"/>
    <w:rsid w:val="31EA44FA"/>
    <w:rsid w:val="31F304A6"/>
    <w:rsid w:val="32091243"/>
    <w:rsid w:val="32294765"/>
    <w:rsid w:val="327E7CD9"/>
    <w:rsid w:val="32B56E69"/>
    <w:rsid w:val="32C01A91"/>
    <w:rsid w:val="32F445A5"/>
    <w:rsid w:val="32F707BD"/>
    <w:rsid w:val="32FC5FC6"/>
    <w:rsid w:val="330F4401"/>
    <w:rsid w:val="3311355D"/>
    <w:rsid w:val="331E1E02"/>
    <w:rsid w:val="33353215"/>
    <w:rsid w:val="33435036"/>
    <w:rsid w:val="33472431"/>
    <w:rsid w:val="335D7B29"/>
    <w:rsid w:val="336059CF"/>
    <w:rsid w:val="336747D4"/>
    <w:rsid w:val="336B0B61"/>
    <w:rsid w:val="338C3ABE"/>
    <w:rsid w:val="33A867A1"/>
    <w:rsid w:val="33BE0CB2"/>
    <w:rsid w:val="33C02706"/>
    <w:rsid w:val="33D21CA6"/>
    <w:rsid w:val="33E56ED0"/>
    <w:rsid w:val="33F133C2"/>
    <w:rsid w:val="33F26C2B"/>
    <w:rsid w:val="33F943AC"/>
    <w:rsid w:val="341548E7"/>
    <w:rsid w:val="34302EC0"/>
    <w:rsid w:val="345A7961"/>
    <w:rsid w:val="3478149B"/>
    <w:rsid w:val="347A05C3"/>
    <w:rsid w:val="347E5080"/>
    <w:rsid w:val="34853B4C"/>
    <w:rsid w:val="348D4D75"/>
    <w:rsid w:val="34902CE5"/>
    <w:rsid w:val="34965FFC"/>
    <w:rsid w:val="349E0792"/>
    <w:rsid w:val="34A437E9"/>
    <w:rsid w:val="34AC38BB"/>
    <w:rsid w:val="34B475AD"/>
    <w:rsid w:val="34C1398D"/>
    <w:rsid w:val="34D33C1F"/>
    <w:rsid w:val="34DB71D0"/>
    <w:rsid w:val="34E077DE"/>
    <w:rsid w:val="34EB3FFA"/>
    <w:rsid w:val="34EF14B5"/>
    <w:rsid w:val="351911D3"/>
    <w:rsid w:val="351C58FB"/>
    <w:rsid w:val="35572F42"/>
    <w:rsid w:val="35597C68"/>
    <w:rsid w:val="35673221"/>
    <w:rsid w:val="35680A2A"/>
    <w:rsid w:val="35682CA4"/>
    <w:rsid w:val="356E5C0E"/>
    <w:rsid w:val="357375C4"/>
    <w:rsid w:val="357A743D"/>
    <w:rsid w:val="358B52B4"/>
    <w:rsid w:val="35990A65"/>
    <w:rsid w:val="359A7FF3"/>
    <w:rsid w:val="359D6299"/>
    <w:rsid w:val="35A6171B"/>
    <w:rsid w:val="35A82F5F"/>
    <w:rsid w:val="35B603F5"/>
    <w:rsid w:val="35CC2089"/>
    <w:rsid w:val="35EF1F65"/>
    <w:rsid w:val="35EF4E9F"/>
    <w:rsid w:val="36011B96"/>
    <w:rsid w:val="360D3064"/>
    <w:rsid w:val="362779DE"/>
    <w:rsid w:val="3652616D"/>
    <w:rsid w:val="366046B9"/>
    <w:rsid w:val="366135C0"/>
    <w:rsid w:val="36685957"/>
    <w:rsid w:val="366A5627"/>
    <w:rsid w:val="36710AA2"/>
    <w:rsid w:val="36AC26B2"/>
    <w:rsid w:val="36C81B5B"/>
    <w:rsid w:val="36CA4796"/>
    <w:rsid w:val="36D305E5"/>
    <w:rsid w:val="36D30B9F"/>
    <w:rsid w:val="36EA7FF2"/>
    <w:rsid w:val="37017235"/>
    <w:rsid w:val="37261CFE"/>
    <w:rsid w:val="373D169F"/>
    <w:rsid w:val="374E143A"/>
    <w:rsid w:val="375145A6"/>
    <w:rsid w:val="37522485"/>
    <w:rsid w:val="37613C52"/>
    <w:rsid w:val="376F2885"/>
    <w:rsid w:val="377835C6"/>
    <w:rsid w:val="378E6BE1"/>
    <w:rsid w:val="37D66A01"/>
    <w:rsid w:val="37DD1744"/>
    <w:rsid w:val="37E72371"/>
    <w:rsid w:val="37F25243"/>
    <w:rsid w:val="380255AF"/>
    <w:rsid w:val="38333626"/>
    <w:rsid w:val="384E441A"/>
    <w:rsid w:val="38506C2F"/>
    <w:rsid w:val="38803B23"/>
    <w:rsid w:val="38877CF7"/>
    <w:rsid w:val="38961914"/>
    <w:rsid w:val="38A531E7"/>
    <w:rsid w:val="38AF3010"/>
    <w:rsid w:val="38D822E9"/>
    <w:rsid w:val="38DD6A3B"/>
    <w:rsid w:val="38E03474"/>
    <w:rsid w:val="38E2286A"/>
    <w:rsid w:val="38E32D4B"/>
    <w:rsid w:val="38E63DAA"/>
    <w:rsid w:val="38E94228"/>
    <w:rsid w:val="39090EB2"/>
    <w:rsid w:val="390A09B4"/>
    <w:rsid w:val="390B2C76"/>
    <w:rsid w:val="391644FB"/>
    <w:rsid w:val="391D605A"/>
    <w:rsid w:val="39257351"/>
    <w:rsid w:val="392F0F3D"/>
    <w:rsid w:val="39322F95"/>
    <w:rsid w:val="39430A5E"/>
    <w:rsid w:val="39602F23"/>
    <w:rsid w:val="396B58C4"/>
    <w:rsid w:val="397B0BB4"/>
    <w:rsid w:val="399B3376"/>
    <w:rsid w:val="39A64195"/>
    <w:rsid w:val="39AF1465"/>
    <w:rsid w:val="39B67560"/>
    <w:rsid w:val="39C04E20"/>
    <w:rsid w:val="39CA3463"/>
    <w:rsid w:val="39CF6662"/>
    <w:rsid w:val="39E80849"/>
    <w:rsid w:val="39EB122C"/>
    <w:rsid w:val="39F2252B"/>
    <w:rsid w:val="3A0E5A41"/>
    <w:rsid w:val="3A2175BE"/>
    <w:rsid w:val="3A2436D1"/>
    <w:rsid w:val="3A2A7F00"/>
    <w:rsid w:val="3A593D19"/>
    <w:rsid w:val="3A6A27D7"/>
    <w:rsid w:val="3A6B3C99"/>
    <w:rsid w:val="3ABC09E4"/>
    <w:rsid w:val="3AC407C9"/>
    <w:rsid w:val="3AD658B8"/>
    <w:rsid w:val="3ADD1A06"/>
    <w:rsid w:val="3AF06CC1"/>
    <w:rsid w:val="3B183E18"/>
    <w:rsid w:val="3B215631"/>
    <w:rsid w:val="3B297D4A"/>
    <w:rsid w:val="3B2D6711"/>
    <w:rsid w:val="3B51309B"/>
    <w:rsid w:val="3B5A0155"/>
    <w:rsid w:val="3B7010B2"/>
    <w:rsid w:val="3B7D3818"/>
    <w:rsid w:val="3B80467F"/>
    <w:rsid w:val="3B883403"/>
    <w:rsid w:val="3B886626"/>
    <w:rsid w:val="3B954F85"/>
    <w:rsid w:val="3B980AC2"/>
    <w:rsid w:val="3B9C0E95"/>
    <w:rsid w:val="3BA96A60"/>
    <w:rsid w:val="3BAB70BF"/>
    <w:rsid w:val="3BBD0AD4"/>
    <w:rsid w:val="3BFE5D03"/>
    <w:rsid w:val="3C0248C3"/>
    <w:rsid w:val="3C072215"/>
    <w:rsid w:val="3C167592"/>
    <w:rsid w:val="3C170EB9"/>
    <w:rsid w:val="3C250799"/>
    <w:rsid w:val="3C276162"/>
    <w:rsid w:val="3C2B1BD6"/>
    <w:rsid w:val="3C2C17DF"/>
    <w:rsid w:val="3C396A58"/>
    <w:rsid w:val="3C4C2153"/>
    <w:rsid w:val="3C530342"/>
    <w:rsid w:val="3C663D83"/>
    <w:rsid w:val="3C714A0F"/>
    <w:rsid w:val="3C717A3C"/>
    <w:rsid w:val="3C762FBC"/>
    <w:rsid w:val="3C87779E"/>
    <w:rsid w:val="3C9108DC"/>
    <w:rsid w:val="3CA427D7"/>
    <w:rsid w:val="3CA431D4"/>
    <w:rsid w:val="3CA51A10"/>
    <w:rsid w:val="3CA86B29"/>
    <w:rsid w:val="3CAC710F"/>
    <w:rsid w:val="3CBD03A6"/>
    <w:rsid w:val="3CC76DD6"/>
    <w:rsid w:val="3CDB0CF0"/>
    <w:rsid w:val="3CDC27C9"/>
    <w:rsid w:val="3CE068D8"/>
    <w:rsid w:val="3CF21AEE"/>
    <w:rsid w:val="3CF63E46"/>
    <w:rsid w:val="3D036E93"/>
    <w:rsid w:val="3D0A22D5"/>
    <w:rsid w:val="3D0B5F2D"/>
    <w:rsid w:val="3D114B5C"/>
    <w:rsid w:val="3D193B16"/>
    <w:rsid w:val="3D397355"/>
    <w:rsid w:val="3D3F2810"/>
    <w:rsid w:val="3D484D37"/>
    <w:rsid w:val="3D495DF7"/>
    <w:rsid w:val="3D5F2479"/>
    <w:rsid w:val="3D851633"/>
    <w:rsid w:val="3D875BB8"/>
    <w:rsid w:val="3DBF1661"/>
    <w:rsid w:val="3DD84ADD"/>
    <w:rsid w:val="3E051FCE"/>
    <w:rsid w:val="3E1756B6"/>
    <w:rsid w:val="3E2048C2"/>
    <w:rsid w:val="3E28471D"/>
    <w:rsid w:val="3E3F34AC"/>
    <w:rsid w:val="3E42659A"/>
    <w:rsid w:val="3E4452CF"/>
    <w:rsid w:val="3E4C632F"/>
    <w:rsid w:val="3E5E3BF8"/>
    <w:rsid w:val="3E5F70CE"/>
    <w:rsid w:val="3E610DA9"/>
    <w:rsid w:val="3E645172"/>
    <w:rsid w:val="3E701062"/>
    <w:rsid w:val="3E77442B"/>
    <w:rsid w:val="3EAC39B4"/>
    <w:rsid w:val="3EB15B29"/>
    <w:rsid w:val="3EB73C1B"/>
    <w:rsid w:val="3EC11BF7"/>
    <w:rsid w:val="3EE92873"/>
    <w:rsid w:val="3EF169DA"/>
    <w:rsid w:val="3EF93089"/>
    <w:rsid w:val="3EFD3948"/>
    <w:rsid w:val="3F0E4239"/>
    <w:rsid w:val="3F127531"/>
    <w:rsid w:val="3F2B4E96"/>
    <w:rsid w:val="3F3A7BF4"/>
    <w:rsid w:val="3F507482"/>
    <w:rsid w:val="3F5661ED"/>
    <w:rsid w:val="3F5C181E"/>
    <w:rsid w:val="3F613AE6"/>
    <w:rsid w:val="3F6263C0"/>
    <w:rsid w:val="3F700303"/>
    <w:rsid w:val="3F755AF4"/>
    <w:rsid w:val="3F7A035D"/>
    <w:rsid w:val="3F7A4AAC"/>
    <w:rsid w:val="3F7F2AED"/>
    <w:rsid w:val="3F8568C6"/>
    <w:rsid w:val="3F895D56"/>
    <w:rsid w:val="3FAF7F99"/>
    <w:rsid w:val="3FBB60ED"/>
    <w:rsid w:val="3FBE325D"/>
    <w:rsid w:val="3FC24EFB"/>
    <w:rsid w:val="3FC42D5D"/>
    <w:rsid w:val="3FC470DF"/>
    <w:rsid w:val="3FCA08E3"/>
    <w:rsid w:val="3FDD44BD"/>
    <w:rsid w:val="3FEE70B9"/>
    <w:rsid w:val="400E55CD"/>
    <w:rsid w:val="4016105A"/>
    <w:rsid w:val="4019618E"/>
    <w:rsid w:val="4047419F"/>
    <w:rsid w:val="40506241"/>
    <w:rsid w:val="40507088"/>
    <w:rsid w:val="40511B29"/>
    <w:rsid w:val="40525CFA"/>
    <w:rsid w:val="405666DE"/>
    <w:rsid w:val="405A164D"/>
    <w:rsid w:val="405A2653"/>
    <w:rsid w:val="40622EEA"/>
    <w:rsid w:val="40646D0C"/>
    <w:rsid w:val="407D09B4"/>
    <w:rsid w:val="40892F96"/>
    <w:rsid w:val="408E1F25"/>
    <w:rsid w:val="40927306"/>
    <w:rsid w:val="409D774F"/>
    <w:rsid w:val="40A22DA0"/>
    <w:rsid w:val="40A354E5"/>
    <w:rsid w:val="40A82BD1"/>
    <w:rsid w:val="40B03322"/>
    <w:rsid w:val="40C444B5"/>
    <w:rsid w:val="40DB60C2"/>
    <w:rsid w:val="4109777D"/>
    <w:rsid w:val="411F6223"/>
    <w:rsid w:val="41390C96"/>
    <w:rsid w:val="413B683F"/>
    <w:rsid w:val="41466C95"/>
    <w:rsid w:val="414B6987"/>
    <w:rsid w:val="4158647C"/>
    <w:rsid w:val="416B0B98"/>
    <w:rsid w:val="4175321B"/>
    <w:rsid w:val="418F78FA"/>
    <w:rsid w:val="4195768D"/>
    <w:rsid w:val="41A605D0"/>
    <w:rsid w:val="41A967E3"/>
    <w:rsid w:val="41BB2783"/>
    <w:rsid w:val="41C30FBB"/>
    <w:rsid w:val="41CA3305"/>
    <w:rsid w:val="41CC6A6E"/>
    <w:rsid w:val="41D46746"/>
    <w:rsid w:val="41DD294D"/>
    <w:rsid w:val="41E50241"/>
    <w:rsid w:val="41ED6B4B"/>
    <w:rsid w:val="42065175"/>
    <w:rsid w:val="42203DE5"/>
    <w:rsid w:val="423339AE"/>
    <w:rsid w:val="42400071"/>
    <w:rsid w:val="42482391"/>
    <w:rsid w:val="42623E1B"/>
    <w:rsid w:val="42702AE2"/>
    <w:rsid w:val="427A3AB6"/>
    <w:rsid w:val="427B2568"/>
    <w:rsid w:val="427B6090"/>
    <w:rsid w:val="42885024"/>
    <w:rsid w:val="428A5209"/>
    <w:rsid w:val="42A32E9D"/>
    <w:rsid w:val="42A37451"/>
    <w:rsid w:val="42AA632B"/>
    <w:rsid w:val="42AE7F37"/>
    <w:rsid w:val="42B9327D"/>
    <w:rsid w:val="42CC28E0"/>
    <w:rsid w:val="43037BB1"/>
    <w:rsid w:val="4308583C"/>
    <w:rsid w:val="433E40E3"/>
    <w:rsid w:val="434C25F0"/>
    <w:rsid w:val="434D4AE8"/>
    <w:rsid w:val="43512BF1"/>
    <w:rsid w:val="435448CE"/>
    <w:rsid w:val="43572820"/>
    <w:rsid w:val="43633FF9"/>
    <w:rsid w:val="43640BB8"/>
    <w:rsid w:val="436B0A40"/>
    <w:rsid w:val="43715519"/>
    <w:rsid w:val="437B5074"/>
    <w:rsid w:val="437E400B"/>
    <w:rsid w:val="43993698"/>
    <w:rsid w:val="439C3F24"/>
    <w:rsid w:val="43B31196"/>
    <w:rsid w:val="43BB720C"/>
    <w:rsid w:val="43BC335F"/>
    <w:rsid w:val="43C92B32"/>
    <w:rsid w:val="43DA3694"/>
    <w:rsid w:val="43E85BAE"/>
    <w:rsid w:val="43EB7ACC"/>
    <w:rsid w:val="43FC1AB4"/>
    <w:rsid w:val="440D4D0E"/>
    <w:rsid w:val="442A1993"/>
    <w:rsid w:val="442F4C28"/>
    <w:rsid w:val="44402F95"/>
    <w:rsid w:val="447D407D"/>
    <w:rsid w:val="448A0E5D"/>
    <w:rsid w:val="449D45F7"/>
    <w:rsid w:val="449E7462"/>
    <w:rsid w:val="44A435AA"/>
    <w:rsid w:val="44A872EC"/>
    <w:rsid w:val="44A91136"/>
    <w:rsid w:val="44A97284"/>
    <w:rsid w:val="44C07EB7"/>
    <w:rsid w:val="44C41CD0"/>
    <w:rsid w:val="44C72410"/>
    <w:rsid w:val="44E71E8C"/>
    <w:rsid w:val="44EB55BF"/>
    <w:rsid w:val="4516216D"/>
    <w:rsid w:val="451F0B3D"/>
    <w:rsid w:val="452A57C8"/>
    <w:rsid w:val="452D2698"/>
    <w:rsid w:val="45344BE8"/>
    <w:rsid w:val="454E3658"/>
    <w:rsid w:val="45764B6F"/>
    <w:rsid w:val="45770104"/>
    <w:rsid w:val="45836B41"/>
    <w:rsid w:val="459027A8"/>
    <w:rsid w:val="45BA3A93"/>
    <w:rsid w:val="45BC2D40"/>
    <w:rsid w:val="45C41302"/>
    <w:rsid w:val="45D32B9D"/>
    <w:rsid w:val="45D51F09"/>
    <w:rsid w:val="45E335B5"/>
    <w:rsid w:val="45FF0921"/>
    <w:rsid w:val="46072FDC"/>
    <w:rsid w:val="460B44C8"/>
    <w:rsid w:val="46136A51"/>
    <w:rsid w:val="46144FA7"/>
    <w:rsid w:val="461F3C01"/>
    <w:rsid w:val="462D4AD7"/>
    <w:rsid w:val="463E6D3E"/>
    <w:rsid w:val="46566AA9"/>
    <w:rsid w:val="46661558"/>
    <w:rsid w:val="466A3548"/>
    <w:rsid w:val="466C4AED"/>
    <w:rsid w:val="46967F5B"/>
    <w:rsid w:val="46B05B1F"/>
    <w:rsid w:val="46B35E11"/>
    <w:rsid w:val="46B952B6"/>
    <w:rsid w:val="46BA27BC"/>
    <w:rsid w:val="46BC6770"/>
    <w:rsid w:val="46C1708C"/>
    <w:rsid w:val="46CF7E90"/>
    <w:rsid w:val="46D13DB8"/>
    <w:rsid w:val="46D52711"/>
    <w:rsid w:val="46D86573"/>
    <w:rsid w:val="470B6B70"/>
    <w:rsid w:val="47240834"/>
    <w:rsid w:val="474378DF"/>
    <w:rsid w:val="47486CC0"/>
    <w:rsid w:val="47546CCD"/>
    <w:rsid w:val="475567CD"/>
    <w:rsid w:val="475B3DA3"/>
    <w:rsid w:val="478039D4"/>
    <w:rsid w:val="479E642E"/>
    <w:rsid w:val="47A20A59"/>
    <w:rsid w:val="47B5458F"/>
    <w:rsid w:val="47C1238D"/>
    <w:rsid w:val="47CB0AA5"/>
    <w:rsid w:val="47D52B50"/>
    <w:rsid w:val="47E246F7"/>
    <w:rsid w:val="47E76F91"/>
    <w:rsid w:val="47FD24FA"/>
    <w:rsid w:val="47FF0DAF"/>
    <w:rsid w:val="48030380"/>
    <w:rsid w:val="48185A6B"/>
    <w:rsid w:val="48273A4D"/>
    <w:rsid w:val="483F2C13"/>
    <w:rsid w:val="48490C72"/>
    <w:rsid w:val="484A471E"/>
    <w:rsid w:val="484B0824"/>
    <w:rsid w:val="485162E7"/>
    <w:rsid w:val="48557869"/>
    <w:rsid w:val="48560B58"/>
    <w:rsid w:val="48583F28"/>
    <w:rsid w:val="48615205"/>
    <w:rsid w:val="486B3599"/>
    <w:rsid w:val="486D0456"/>
    <w:rsid w:val="486F3FB1"/>
    <w:rsid w:val="487452ED"/>
    <w:rsid w:val="48936FC5"/>
    <w:rsid w:val="489414DE"/>
    <w:rsid w:val="48A61185"/>
    <w:rsid w:val="48B603D6"/>
    <w:rsid w:val="48B9589A"/>
    <w:rsid w:val="48D17B15"/>
    <w:rsid w:val="48F814A8"/>
    <w:rsid w:val="491171A1"/>
    <w:rsid w:val="49146B04"/>
    <w:rsid w:val="4927647B"/>
    <w:rsid w:val="492C5797"/>
    <w:rsid w:val="494814C8"/>
    <w:rsid w:val="495B4299"/>
    <w:rsid w:val="495F48E7"/>
    <w:rsid w:val="49804F41"/>
    <w:rsid w:val="499C2D6D"/>
    <w:rsid w:val="49B1141B"/>
    <w:rsid w:val="49BF7880"/>
    <w:rsid w:val="49C82B49"/>
    <w:rsid w:val="49D56C49"/>
    <w:rsid w:val="49D855C7"/>
    <w:rsid w:val="49EC4258"/>
    <w:rsid w:val="49F80512"/>
    <w:rsid w:val="4A120AE6"/>
    <w:rsid w:val="4A21436D"/>
    <w:rsid w:val="4A263F01"/>
    <w:rsid w:val="4A45688F"/>
    <w:rsid w:val="4A4658CB"/>
    <w:rsid w:val="4A4C1CC9"/>
    <w:rsid w:val="4A7F1D52"/>
    <w:rsid w:val="4A854E3F"/>
    <w:rsid w:val="4AAB146E"/>
    <w:rsid w:val="4AAC594A"/>
    <w:rsid w:val="4AB74B72"/>
    <w:rsid w:val="4AB921A8"/>
    <w:rsid w:val="4ABB6A60"/>
    <w:rsid w:val="4ACF32C9"/>
    <w:rsid w:val="4AED724C"/>
    <w:rsid w:val="4AF850BA"/>
    <w:rsid w:val="4AFB4F34"/>
    <w:rsid w:val="4B130467"/>
    <w:rsid w:val="4B1338CC"/>
    <w:rsid w:val="4B172B12"/>
    <w:rsid w:val="4B262EBA"/>
    <w:rsid w:val="4B3F1EC7"/>
    <w:rsid w:val="4B531F8D"/>
    <w:rsid w:val="4B55340A"/>
    <w:rsid w:val="4B662E8B"/>
    <w:rsid w:val="4B82772E"/>
    <w:rsid w:val="4B8D450C"/>
    <w:rsid w:val="4B943B21"/>
    <w:rsid w:val="4B9E0EF0"/>
    <w:rsid w:val="4BAB096B"/>
    <w:rsid w:val="4BAF7E06"/>
    <w:rsid w:val="4BBB3716"/>
    <w:rsid w:val="4BC50843"/>
    <w:rsid w:val="4BD46636"/>
    <w:rsid w:val="4BE52C2A"/>
    <w:rsid w:val="4BEE45CB"/>
    <w:rsid w:val="4C0563A3"/>
    <w:rsid w:val="4C082496"/>
    <w:rsid w:val="4C08678F"/>
    <w:rsid w:val="4C1B5AC4"/>
    <w:rsid w:val="4C396B73"/>
    <w:rsid w:val="4C426781"/>
    <w:rsid w:val="4C4C5496"/>
    <w:rsid w:val="4C6A1CEF"/>
    <w:rsid w:val="4C6C3432"/>
    <w:rsid w:val="4C854697"/>
    <w:rsid w:val="4C8C21FB"/>
    <w:rsid w:val="4C9D08B4"/>
    <w:rsid w:val="4CA66198"/>
    <w:rsid w:val="4CAA102F"/>
    <w:rsid w:val="4CB14655"/>
    <w:rsid w:val="4CB33E17"/>
    <w:rsid w:val="4CC80B92"/>
    <w:rsid w:val="4CC92C3A"/>
    <w:rsid w:val="4CD17EA5"/>
    <w:rsid w:val="4CE01489"/>
    <w:rsid w:val="4CE87159"/>
    <w:rsid w:val="4CEB74B6"/>
    <w:rsid w:val="4CF50A59"/>
    <w:rsid w:val="4CF8202F"/>
    <w:rsid w:val="4CFD4AAA"/>
    <w:rsid w:val="4D182801"/>
    <w:rsid w:val="4D1836FB"/>
    <w:rsid w:val="4D533AAF"/>
    <w:rsid w:val="4D6F1CC9"/>
    <w:rsid w:val="4D79073E"/>
    <w:rsid w:val="4D7B0185"/>
    <w:rsid w:val="4D9E34B9"/>
    <w:rsid w:val="4DBF6851"/>
    <w:rsid w:val="4DC73C39"/>
    <w:rsid w:val="4DC90683"/>
    <w:rsid w:val="4DC94ACF"/>
    <w:rsid w:val="4DCE1C69"/>
    <w:rsid w:val="4DE047C5"/>
    <w:rsid w:val="4DE54991"/>
    <w:rsid w:val="4DF05258"/>
    <w:rsid w:val="4DFA1C4F"/>
    <w:rsid w:val="4E09036F"/>
    <w:rsid w:val="4E252D2A"/>
    <w:rsid w:val="4E3F795C"/>
    <w:rsid w:val="4E40707C"/>
    <w:rsid w:val="4E42373A"/>
    <w:rsid w:val="4E50145C"/>
    <w:rsid w:val="4E507D99"/>
    <w:rsid w:val="4E892804"/>
    <w:rsid w:val="4E8D2056"/>
    <w:rsid w:val="4EBB286E"/>
    <w:rsid w:val="4ED21F42"/>
    <w:rsid w:val="4EE07940"/>
    <w:rsid w:val="4EEF1E97"/>
    <w:rsid w:val="4EF3528B"/>
    <w:rsid w:val="4EF647A8"/>
    <w:rsid w:val="4F093E78"/>
    <w:rsid w:val="4F1E444B"/>
    <w:rsid w:val="4F262164"/>
    <w:rsid w:val="4F280A7B"/>
    <w:rsid w:val="4F2B223C"/>
    <w:rsid w:val="4F2C416E"/>
    <w:rsid w:val="4F3B0396"/>
    <w:rsid w:val="4F4D0E89"/>
    <w:rsid w:val="4F5464CE"/>
    <w:rsid w:val="4F55307E"/>
    <w:rsid w:val="4F6A5B52"/>
    <w:rsid w:val="4F6F5219"/>
    <w:rsid w:val="4F8E4B27"/>
    <w:rsid w:val="4F907AA4"/>
    <w:rsid w:val="4FA42C81"/>
    <w:rsid w:val="4FA60918"/>
    <w:rsid w:val="4FB476B5"/>
    <w:rsid w:val="4FBC4BF4"/>
    <w:rsid w:val="4FD65B1E"/>
    <w:rsid w:val="50051405"/>
    <w:rsid w:val="500832F8"/>
    <w:rsid w:val="501136F0"/>
    <w:rsid w:val="502256AD"/>
    <w:rsid w:val="504215FA"/>
    <w:rsid w:val="50451DB7"/>
    <w:rsid w:val="504B791D"/>
    <w:rsid w:val="50754C44"/>
    <w:rsid w:val="508B4900"/>
    <w:rsid w:val="508F60CA"/>
    <w:rsid w:val="50981162"/>
    <w:rsid w:val="5098458C"/>
    <w:rsid w:val="50BC7B28"/>
    <w:rsid w:val="50C06385"/>
    <w:rsid w:val="50CE6418"/>
    <w:rsid w:val="50D12D28"/>
    <w:rsid w:val="50D327FF"/>
    <w:rsid w:val="50D40BCA"/>
    <w:rsid w:val="50D4778F"/>
    <w:rsid w:val="50D70E9D"/>
    <w:rsid w:val="50F35D93"/>
    <w:rsid w:val="50FA44CD"/>
    <w:rsid w:val="510036F5"/>
    <w:rsid w:val="5105303B"/>
    <w:rsid w:val="51114085"/>
    <w:rsid w:val="511216F1"/>
    <w:rsid w:val="512A1CE3"/>
    <w:rsid w:val="51375B19"/>
    <w:rsid w:val="514516F1"/>
    <w:rsid w:val="51545650"/>
    <w:rsid w:val="51652510"/>
    <w:rsid w:val="516E7D73"/>
    <w:rsid w:val="5180209A"/>
    <w:rsid w:val="51897721"/>
    <w:rsid w:val="518F6268"/>
    <w:rsid w:val="519667AD"/>
    <w:rsid w:val="51973EE4"/>
    <w:rsid w:val="51A84D41"/>
    <w:rsid w:val="51AA2482"/>
    <w:rsid w:val="51B1317F"/>
    <w:rsid w:val="51C23429"/>
    <w:rsid w:val="51DB1E92"/>
    <w:rsid w:val="51E14E39"/>
    <w:rsid w:val="51ED757F"/>
    <w:rsid w:val="52150A7D"/>
    <w:rsid w:val="52414306"/>
    <w:rsid w:val="52457AEB"/>
    <w:rsid w:val="52564EE5"/>
    <w:rsid w:val="52666F95"/>
    <w:rsid w:val="526763FB"/>
    <w:rsid w:val="52741EC2"/>
    <w:rsid w:val="5274205C"/>
    <w:rsid w:val="53326854"/>
    <w:rsid w:val="53336AAE"/>
    <w:rsid w:val="533A136C"/>
    <w:rsid w:val="53480B19"/>
    <w:rsid w:val="5355264E"/>
    <w:rsid w:val="535F2BBA"/>
    <w:rsid w:val="536504C6"/>
    <w:rsid w:val="537C67BA"/>
    <w:rsid w:val="539D7A2D"/>
    <w:rsid w:val="53AF337A"/>
    <w:rsid w:val="53B26284"/>
    <w:rsid w:val="53B759F4"/>
    <w:rsid w:val="53D225A4"/>
    <w:rsid w:val="53DF4479"/>
    <w:rsid w:val="53FD46F3"/>
    <w:rsid w:val="54024151"/>
    <w:rsid w:val="54157C9B"/>
    <w:rsid w:val="54186AD3"/>
    <w:rsid w:val="543547EF"/>
    <w:rsid w:val="54371F77"/>
    <w:rsid w:val="543B112A"/>
    <w:rsid w:val="54484DDF"/>
    <w:rsid w:val="544A4D29"/>
    <w:rsid w:val="54547B86"/>
    <w:rsid w:val="5459550C"/>
    <w:rsid w:val="545E0121"/>
    <w:rsid w:val="54633F30"/>
    <w:rsid w:val="546A3396"/>
    <w:rsid w:val="54760B52"/>
    <w:rsid w:val="54806293"/>
    <w:rsid w:val="5481317B"/>
    <w:rsid w:val="5494027A"/>
    <w:rsid w:val="54A21918"/>
    <w:rsid w:val="54AA76FF"/>
    <w:rsid w:val="54AC3199"/>
    <w:rsid w:val="54B92F65"/>
    <w:rsid w:val="54DA00AC"/>
    <w:rsid w:val="54DE5937"/>
    <w:rsid w:val="54E05AE9"/>
    <w:rsid w:val="54E82ECC"/>
    <w:rsid w:val="54FB3C17"/>
    <w:rsid w:val="55023D6F"/>
    <w:rsid w:val="551765D7"/>
    <w:rsid w:val="551D6AC8"/>
    <w:rsid w:val="55220DA5"/>
    <w:rsid w:val="55272CCA"/>
    <w:rsid w:val="552B579B"/>
    <w:rsid w:val="55487F01"/>
    <w:rsid w:val="55564A1D"/>
    <w:rsid w:val="555C6E60"/>
    <w:rsid w:val="556B74EA"/>
    <w:rsid w:val="556B7BE3"/>
    <w:rsid w:val="556E398A"/>
    <w:rsid w:val="558114B8"/>
    <w:rsid w:val="55910F8E"/>
    <w:rsid w:val="55AB500F"/>
    <w:rsid w:val="55B256C0"/>
    <w:rsid w:val="55C73811"/>
    <w:rsid w:val="55DF79E5"/>
    <w:rsid w:val="5611384C"/>
    <w:rsid w:val="561B28DD"/>
    <w:rsid w:val="561D05FE"/>
    <w:rsid w:val="5635520A"/>
    <w:rsid w:val="564846E1"/>
    <w:rsid w:val="566056C5"/>
    <w:rsid w:val="56641FF0"/>
    <w:rsid w:val="566C0CDE"/>
    <w:rsid w:val="567A48C4"/>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110754"/>
    <w:rsid w:val="57305E26"/>
    <w:rsid w:val="57314C5A"/>
    <w:rsid w:val="574A5794"/>
    <w:rsid w:val="57540F95"/>
    <w:rsid w:val="575A261C"/>
    <w:rsid w:val="578C50D8"/>
    <w:rsid w:val="57A6426A"/>
    <w:rsid w:val="57AE07E6"/>
    <w:rsid w:val="57B21B09"/>
    <w:rsid w:val="57BF0950"/>
    <w:rsid w:val="57E01724"/>
    <w:rsid w:val="57F307C1"/>
    <w:rsid w:val="57FA2BAA"/>
    <w:rsid w:val="580162E5"/>
    <w:rsid w:val="58041F34"/>
    <w:rsid w:val="5815497A"/>
    <w:rsid w:val="581C6799"/>
    <w:rsid w:val="58327181"/>
    <w:rsid w:val="583C702E"/>
    <w:rsid w:val="584D4B72"/>
    <w:rsid w:val="58502974"/>
    <w:rsid w:val="585D149C"/>
    <w:rsid w:val="586621B6"/>
    <w:rsid w:val="589C683B"/>
    <w:rsid w:val="58B9588A"/>
    <w:rsid w:val="58C14572"/>
    <w:rsid w:val="58C73AD7"/>
    <w:rsid w:val="58DA2920"/>
    <w:rsid w:val="58F020A3"/>
    <w:rsid w:val="58FB332B"/>
    <w:rsid w:val="59130297"/>
    <w:rsid w:val="591E1291"/>
    <w:rsid w:val="59540A82"/>
    <w:rsid w:val="59594578"/>
    <w:rsid w:val="59631729"/>
    <w:rsid w:val="596D14E7"/>
    <w:rsid w:val="598A7A09"/>
    <w:rsid w:val="59B33075"/>
    <w:rsid w:val="59B63D96"/>
    <w:rsid w:val="59BA3374"/>
    <w:rsid w:val="59C13ED2"/>
    <w:rsid w:val="59E6253A"/>
    <w:rsid w:val="59E7033F"/>
    <w:rsid w:val="5A0354F7"/>
    <w:rsid w:val="5A1E5359"/>
    <w:rsid w:val="5A291824"/>
    <w:rsid w:val="5A344ECC"/>
    <w:rsid w:val="5A390B46"/>
    <w:rsid w:val="5A492723"/>
    <w:rsid w:val="5A5D74BC"/>
    <w:rsid w:val="5A7C5C8F"/>
    <w:rsid w:val="5A7F5FF4"/>
    <w:rsid w:val="5A90403D"/>
    <w:rsid w:val="5A9D71ED"/>
    <w:rsid w:val="5AA2571A"/>
    <w:rsid w:val="5AB04EDE"/>
    <w:rsid w:val="5AC64C86"/>
    <w:rsid w:val="5ACF4A76"/>
    <w:rsid w:val="5AD51064"/>
    <w:rsid w:val="5ADE295C"/>
    <w:rsid w:val="5AF04090"/>
    <w:rsid w:val="5AF8170C"/>
    <w:rsid w:val="5B05555C"/>
    <w:rsid w:val="5B117908"/>
    <w:rsid w:val="5B1649CC"/>
    <w:rsid w:val="5B244DD8"/>
    <w:rsid w:val="5B2717CA"/>
    <w:rsid w:val="5B295890"/>
    <w:rsid w:val="5B2E4556"/>
    <w:rsid w:val="5B2F1F99"/>
    <w:rsid w:val="5B3879B9"/>
    <w:rsid w:val="5B436EF0"/>
    <w:rsid w:val="5B4D2B80"/>
    <w:rsid w:val="5B4F79FA"/>
    <w:rsid w:val="5B550806"/>
    <w:rsid w:val="5B770B64"/>
    <w:rsid w:val="5B893F6C"/>
    <w:rsid w:val="5B9F1B41"/>
    <w:rsid w:val="5BA37F28"/>
    <w:rsid w:val="5BAE24A8"/>
    <w:rsid w:val="5BB117B1"/>
    <w:rsid w:val="5BC51BF0"/>
    <w:rsid w:val="5BCF26D8"/>
    <w:rsid w:val="5BD34259"/>
    <w:rsid w:val="5C0B7CEE"/>
    <w:rsid w:val="5C13308A"/>
    <w:rsid w:val="5C44015E"/>
    <w:rsid w:val="5C4D41F0"/>
    <w:rsid w:val="5C554BC5"/>
    <w:rsid w:val="5C5E11A8"/>
    <w:rsid w:val="5C5E75D0"/>
    <w:rsid w:val="5C66589F"/>
    <w:rsid w:val="5C66667E"/>
    <w:rsid w:val="5C7D3D43"/>
    <w:rsid w:val="5C882C4F"/>
    <w:rsid w:val="5C8962BA"/>
    <w:rsid w:val="5CA70B0A"/>
    <w:rsid w:val="5CBD523A"/>
    <w:rsid w:val="5CCD31A9"/>
    <w:rsid w:val="5CD2475E"/>
    <w:rsid w:val="5CF86CAE"/>
    <w:rsid w:val="5D0B3776"/>
    <w:rsid w:val="5D443020"/>
    <w:rsid w:val="5D47572E"/>
    <w:rsid w:val="5D485FD5"/>
    <w:rsid w:val="5D487E79"/>
    <w:rsid w:val="5D516A2D"/>
    <w:rsid w:val="5D65410C"/>
    <w:rsid w:val="5D6C5E39"/>
    <w:rsid w:val="5D71281A"/>
    <w:rsid w:val="5D7D662C"/>
    <w:rsid w:val="5D9134AB"/>
    <w:rsid w:val="5D954FBB"/>
    <w:rsid w:val="5D9C6762"/>
    <w:rsid w:val="5DE847B7"/>
    <w:rsid w:val="5DEE4E88"/>
    <w:rsid w:val="5E0779FA"/>
    <w:rsid w:val="5E1D5BB1"/>
    <w:rsid w:val="5E1D5F77"/>
    <w:rsid w:val="5E234035"/>
    <w:rsid w:val="5E4F7B86"/>
    <w:rsid w:val="5E4F7B9F"/>
    <w:rsid w:val="5E5608DB"/>
    <w:rsid w:val="5E751A3D"/>
    <w:rsid w:val="5E7762CF"/>
    <w:rsid w:val="5E8460C1"/>
    <w:rsid w:val="5EBF574D"/>
    <w:rsid w:val="5EC9135A"/>
    <w:rsid w:val="5ED14E5B"/>
    <w:rsid w:val="5EDA14B9"/>
    <w:rsid w:val="5EF04B7B"/>
    <w:rsid w:val="5EFF3DE0"/>
    <w:rsid w:val="5F106EAF"/>
    <w:rsid w:val="5F2711D9"/>
    <w:rsid w:val="5F283CA5"/>
    <w:rsid w:val="5F305F32"/>
    <w:rsid w:val="5F425A26"/>
    <w:rsid w:val="5F4E3CB5"/>
    <w:rsid w:val="5F71550B"/>
    <w:rsid w:val="5F78456F"/>
    <w:rsid w:val="5F7D1E64"/>
    <w:rsid w:val="5F9374D0"/>
    <w:rsid w:val="5FB50836"/>
    <w:rsid w:val="5FB54A36"/>
    <w:rsid w:val="5FDA48B5"/>
    <w:rsid w:val="5FE25384"/>
    <w:rsid w:val="5FE875BC"/>
    <w:rsid w:val="60671E65"/>
    <w:rsid w:val="606936DB"/>
    <w:rsid w:val="607562A7"/>
    <w:rsid w:val="608664A5"/>
    <w:rsid w:val="608C7B28"/>
    <w:rsid w:val="608F41F2"/>
    <w:rsid w:val="608F48B0"/>
    <w:rsid w:val="609120FB"/>
    <w:rsid w:val="60934545"/>
    <w:rsid w:val="609E6925"/>
    <w:rsid w:val="609F798D"/>
    <w:rsid w:val="60BA77CD"/>
    <w:rsid w:val="60C63F24"/>
    <w:rsid w:val="60CA2B58"/>
    <w:rsid w:val="60D12704"/>
    <w:rsid w:val="60EC7957"/>
    <w:rsid w:val="60F80C2F"/>
    <w:rsid w:val="613468C2"/>
    <w:rsid w:val="61375158"/>
    <w:rsid w:val="613A48D5"/>
    <w:rsid w:val="61487E7F"/>
    <w:rsid w:val="614C4BCD"/>
    <w:rsid w:val="614F6149"/>
    <w:rsid w:val="61572E4F"/>
    <w:rsid w:val="616128EC"/>
    <w:rsid w:val="616720C6"/>
    <w:rsid w:val="61725619"/>
    <w:rsid w:val="61787FA0"/>
    <w:rsid w:val="617E294F"/>
    <w:rsid w:val="618649E8"/>
    <w:rsid w:val="619104F5"/>
    <w:rsid w:val="61AB7C65"/>
    <w:rsid w:val="61AD7969"/>
    <w:rsid w:val="61C3512C"/>
    <w:rsid w:val="61D81393"/>
    <w:rsid w:val="61DB7979"/>
    <w:rsid w:val="62073433"/>
    <w:rsid w:val="620B3059"/>
    <w:rsid w:val="620D753C"/>
    <w:rsid w:val="62181D46"/>
    <w:rsid w:val="626B7791"/>
    <w:rsid w:val="62721747"/>
    <w:rsid w:val="628762A4"/>
    <w:rsid w:val="628875C0"/>
    <w:rsid w:val="628C2933"/>
    <w:rsid w:val="628C4312"/>
    <w:rsid w:val="62A95F12"/>
    <w:rsid w:val="62AA703F"/>
    <w:rsid w:val="62AB1D8D"/>
    <w:rsid w:val="62C42917"/>
    <w:rsid w:val="62D9309F"/>
    <w:rsid w:val="62DE5A92"/>
    <w:rsid w:val="62E73481"/>
    <w:rsid w:val="62ED42C9"/>
    <w:rsid w:val="62F0419C"/>
    <w:rsid w:val="62FA55D0"/>
    <w:rsid w:val="631A7E52"/>
    <w:rsid w:val="63234C0F"/>
    <w:rsid w:val="63365E8E"/>
    <w:rsid w:val="634B4DB7"/>
    <w:rsid w:val="634C01CF"/>
    <w:rsid w:val="635665B8"/>
    <w:rsid w:val="637A72AA"/>
    <w:rsid w:val="63A83A82"/>
    <w:rsid w:val="63CB3622"/>
    <w:rsid w:val="63D600F2"/>
    <w:rsid w:val="63D96043"/>
    <w:rsid w:val="63E31E9D"/>
    <w:rsid w:val="640434E5"/>
    <w:rsid w:val="64185C22"/>
    <w:rsid w:val="643B275E"/>
    <w:rsid w:val="64411A38"/>
    <w:rsid w:val="64587275"/>
    <w:rsid w:val="646A5BED"/>
    <w:rsid w:val="64C4485F"/>
    <w:rsid w:val="64D24668"/>
    <w:rsid w:val="64DA076B"/>
    <w:rsid w:val="64E36924"/>
    <w:rsid w:val="64E9112D"/>
    <w:rsid w:val="65014155"/>
    <w:rsid w:val="65142B38"/>
    <w:rsid w:val="6520621E"/>
    <w:rsid w:val="653D68E6"/>
    <w:rsid w:val="655230E9"/>
    <w:rsid w:val="656A3683"/>
    <w:rsid w:val="656A7144"/>
    <w:rsid w:val="657B048C"/>
    <w:rsid w:val="657F70B1"/>
    <w:rsid w:val="65865107"/>
    <w:rsid w:val="659242EE"/>
    <w:rsid w:val="659E656E"/>
    <w:rsid w:val="659E7900"/>
    <w:rsid w:val="65B0069A"/>
    <w:rsid w:val="65B61ED7"/>
    <w:rsid w:val="65F93869"/>
    <w:rsid w:val="66053426"/>
    <w:rsid w:val="660B2971"/>
    <w:rsid w:val="660B5D8E"/>
    <w:rsid w:val="66224F9D"/>
    <w:rsid w:val="6632531C"/>
    <w:rsid w:val="66491321"/>
    <w:rsid w:val="667237CD"/>
    <w:rsid w:val="66953E2E"/>
    <w:rsid w:val="669F7CBA"/>
    <w:rsid w:val="66AE39AD"/>
    <w:rsid w:val="66B00768"/>
    <w:rsid w:val="66FB73E6"/>
    <w:rsid w:val="670A4B9E"/>
    <w:rsid w:val="67171C12"/>
    <w:rsid w:val="671C012D"/>
    <w:rsid w:val="672E507D"/>
    <w:rsid w:val="673936D7"/>
    <w:rsid w:val="67517AFA"/>
    <w:rsid w:val="67805AAD"/>
    <w:rsid w:val="67AB1B26"/>
    <w:rsid w:val="67B265D1"/>
    <w:rsid w:val="67B30E44"/>
    <w:rsid w:val="67C23B71"/>
    <w:rsid w:val="67C501C3"/>
    <w:rsid w:val="67E55296"/>
    <w:rsid w:val="67E87F7F"/>
    <w:rsid w:val="67EF5410"/>
    <w:rsid w:val="68080A2F"/>
    <w:rsid w:val="681A2A3E"/>
    <w:rsid w:val="681E7CFD"/>
    <w:rsid w:val="68221B5F"/>
    <w:rsid w:val="682633F9"/>
    <w:rsid w:val="68270406"/>
    <w:rsid w:val="68273145"/>
    <w:rsid w:val="682A5BF7"/>
    <w:rsid w:val="68344C36"/>
    <w:rsid w:val="684E5727"/>
    <w:rsid w:val="68535738"/>
    <w:rsid w:val="68721156"/>
    <w:rsid w:val="687C423F"/>
    <w:rsid w:val="68C25D28"/>
    <w:rsid w:val="68D033F3"/>
    <w:rsid w:val="68DC689F"/>
    <w:rsid w:val="68DE0CB1"/>
    <w:rsid w:val="68E0170A"/>
    <w:rsid w:val="68F24605"/>
    <w:rsid w:val="68F302CC"/>
    <w:rsid w:val="69123CE1"/>
    <w:rsid w:val="69141C2E"/>
    <w:rsid w:val="69184264"/>
    <w:rsid w:val="693350FB"/>
    <w:rsid w:val="695479FA"/>
    <w:rsid w:val="696F1E02"/>
    <w:rsid w:val="69762AAC"/>
    <w:rsid w:val="697826BD"/>
    <w:rsid w:val="69874F79"/>
    <w:rsid w:val="69974F12"/>
    <w:rsid w:val="69997553"/>
    <w:rsid w:val="69AA23F5"/>
    <w:rsid w:val="69BF7EC3"/>
    <w:rsid w:val="69D330B4"/>
    <w:rsid w:val="69F432B5"/>
    <w:rsid w:val="6A2835EC"/>
    <w:rsid w:val="6A291175"/>
    <w:rsid w:val="6A2C34AA"/>
    <w:rsid w:val="6A6459AF"/>
    <w:rsid w:val="6A820F91"/>
    <w:rsid w:val="6A824374"/>
    <w:rsid w:val="6A87407F"/>
    <w:rsid w:val="6A99127D"/>
    <w:rsid w:val="6AB8004E"/>
    <w:rsid w:val="6AB861B4"/>
    <w:rsid w:val="6AD414D7"/>
    <w:rsid w:val="6AD96CB7"/>
    <w:rsid w:val="6AFD14F6"/>
    <w:rsid w:val="6B0F3C1E"/>
    <w:rsid w:val="6B13077A"/>
    <w:rsid w:val="6B1424DD"/>
    <w:rsid w:val="6B221E5F"/>
    <w:rsid w:val="6B272595"/>
    <w:rsid w:val="6B2B1CE6"/>
    <w:rsid w:val="6B2F5E6F"/>
    <w:rsid w:val="6B4629BA"/>
    <w:rsid w:val="6B4C3CF7"/>
    <w:rsid w:val="6B5B3140"/>
    <w:rsid w:val="6B613C21"/>
    <w:rsid w:val="6B6B5CD2"/>
    <w:rsid w:val="6B711394"/>
    <w:rsid w:val="6B7B2A53"/>
    <w:rsid w:val="6B7C0E69"/>
    <w:rsid w:val="6B831059"/>
    <w:rsid w:val="6B882178"/>
    <w:rsid w:val="6BA078E7"/>
    <w:rsid w:val="6BB36B04"/>
    <w:rsid w:val="6BC576AE"/>
    <w:rsid w:val="6BC82F86"/>
    <w:rsid w:val="6BCC1277"/>
    <w:rsid w:val="6BE20510"/>
    <w:rsid w:val="6BEA1F9C"/>
    <w:rsid w:val="6BFC4F57"/>
    <w:rsid w:val="6C1F76C2"/>
    <w:rsid w:val="6C4D2CE9"/>
    <w:rsid w:val="6C4E1244"/>
    <w:rsid w:val="6C51299F"/>
    <w:rsid w:val="6C536837"/>
    <w:rsid w:val="6C5B6EEC"/>
    <w:rsid w:val="6C5D2D2B"/>
    <w:rsid w:val="6C69192F"/>
    <w:rsid w:val="6C6E3EA2"/>
    <w:rsid w:val="6C7765FE"/>
    <w:rsid w:val="6C8008DC"/>
    <w:rsid w:val="6C823C2D"/>
    <w:rsid w:val="6CA92B04"/>
    <w:rsid w:val="6CAA5E4D"/>
    <w:rsid w:val="6CAF3DE3"/>
    <w:rsid w:val="6CC60DC9"/>
    <w:rsid w:val="6CD44DB3"/>
    <w:rsid w:val="6CD642E7"/>
    <w:rsid w:val="6CDC7845"/>
    <w:rsid w:val="6CE31305"/>
    <w:rsid w:val="6D000FC4"/>
    <w:rsid w:val="6D031778"/>
    <w:rsid w:val="6D08005D"/>
    <w:rsid w:val="6D0A7C83"/>
    <w:rsid w:val="6D106FB7"/>
    <w:rsid w:val="6D157FC8"/>
    <w:rsid w:val="6D1C3F9C"/>
    <w:rsid w:val="6D2B7848"/>
    <w:rsid w:val="6D4A67A4"/>
    <w:rsid w:val="6D517127"/>
    <w:rsid w:val="6D582717"/>
    <w:rsid w:val="6D5D5CC1"/>
    <w:rsid w:val="6D6B744D"/>
    <w:rsid w:val="6DA07DE7"/>
    <w:rsid w:val="6DA721E6"/>
    <w:rsid w:val="6DBE5CD2"/>
    <w:rsid w:val="6DE374BA"/>
    <w:rsid w:val="6DEC6B1D"/>
    <w:rsid w:val="6E122B32"/>
    <w:rsid w:val="6E1A3D81"/>
    <w:rsid w:val="6E20601C"/>
    <w:rsid w:val="6E2A5041"/>
    <w:rsid w:val="6E2C4FDA"/>
    <w:rsid w:val="6E3A38A7"/>
    <w:rsid w:val="6E4660D0"/>
    <w:rsid w:val="6E4A043D"/>
    <w:rsid w:val="6E6F129A"/>
    <w:rsid w:val="6E8C7E9A"/>
    <w:rsid w:val="6EA7226C"/>
    <w:rsid w:val="6EB13143"/>
    <w:rsid w:val="6EB1782A"/>
    <w:rsid w:val="6EBF0F07"/>
    <w:rsid w:val="6EC3545C"/>
    <w:rsid w:val="6ECA78B1"/>
    <w:rsid w:val="6EFD5C0F"/>
    <w:rsid w:val="6F0211AE"/>
    <w:rsid w:val="6F081FAF"/>
    <w:rsid w:val="6F252E0D"/>
    <w:rsid w:val="6F257D94"/>
    <w:rsid w:val="6F6A055F"/>
    <w:rsid w:val="6F6A09C1"/>
    <w:rsid w:val="6F733EF8"/>
    <w:rsid w:val="6F7478CD"/>
    <w:rsid w:val="6F8310B0"/>
    <w:rsid w:val="6FA66C5B"/>
    <w:rsid w:val="6FAF4A0F"/>
    <w:rsid w:val="6FB917DB"/>
    <w:rsid w:val="6FC80B1A"/>
    <w:rsid w:val="6FD412E1"/>
    <w:rsid w:val="6FEA1D9F"/>
    <w:rsid w:val="6FEE7DF4"/>
    <w:rsid w:val="6FF43A17"/>
    <w:rsid w:val="6FF473BA"/>
    <w:rsid w:val="6FFC588A"/>
    <w:rsid w:val="70233526"/>
    <w:rsid w:val="70306C17"/>
    <w:rsid w:val="70754C0A"/>
    <w:rsid w:val="70810F20"/>
    <w:rsid w:val="70984F7D"/>
    <w:rsid w:val="709970EF"/>
    <w:rsid w:val="709C1A8C"/>
    <w:rsid w:val="70B27B70"/>
    <w:rsid w:val="70CE09C3"/>
    <w:rsid w:val="70E306DF"/>
    <w:rsid w:val="70E41A32"/>
    <w:rsid w:val="70FB7A07"/>
    <w:rsid w:val="71147566"/>
    <w:rsid w:val="711E76A8"/>
    <w:rsid w:val="71287630"/>
    <w:rsid w:val="712C1AEB"/>
    <w:rsid w:val="713148BC"/>
    <w:rsid w:val="71371CF9"/>
    <w:rsid w:val="713975F2"/>
    <w:rsid w:val="713E5AE7"/>
    <w:rsid w:val="71647CCE"/>
    <w:rsid w:val="716F1C44"/>
    <w:rsid w:val="717E7A69"/>
    <w:rsid w:val="71806D32"/>
    <w:rsid w:val="7191451E"/>
    <w:rsid w:val="71927E43"/>
    <w:rsid w:val="71AD6FAE"/>
    <w:rsid w:val="71AE30B5"/>
    <w:rsid w:val="71C27EC8"/>
    <w:rsid w:val="71C33DD0"/>
    <w:rsid w:val="71D129F4"/>
    <w:rsid w:val="71FB10E2"/>
    <w:rsid w:val="72005AE6"/>
    <w:rsid w:val="720E57EF"/>
    <w:rsid w:val="72104AC2"/>
    <w:rsid w:val="72124041"/>
    <w:rsid w:val="72135B21"/>
    <w:rsid w:val="721601E1"/>
    <w:rsid w:val="72295AE2"/>
    <w:rsid w:val="72337620"/>
    <w:rsid w:val="723F5BDB"/>
    <w:rsid w:val="72495D85"/>
    <w:rsid w:val="72570EA7"/>
    <w:rsid w:val="725F047E"/>
    <w:rsid w:val="72726B56"/>
    <w:rsid w:val="727355E2"/>
    <w:rsid w:val="72A11E23"/>
    <w:rsid w:val="72A322A5"/>
    <w:rsid w:val="72AF0917"/>
    <w:rsid w:val="72B3210B"/>
    <w:rsid w:val="72CF7ADB"/>
    <w:rsid w:val="72E33128"/>
    <w:rsid w:val="72E75951"/>
    <w:rsid w:val="72E91B02"/>
    <w:rsid w:val="72F9284C"/>
    <w:rsid w:val="72FF3233"/>
    <w:rsid w:val="73141659"/>
    <w:rsid w:val="732650C3"/>
    <w:rsid w:val="733C616F"/>
    <w:rsid w:val="7340334A"/>
    <w:rsid w:val="734A7EB9"/>
    <w:rsid w:val="73586DC3"/>
    <w:rsid w:val="735B05AA"/>
    <w:rsid w:val="7367676C"/>
    <w:rsid w:val="736811C4"/>
    <w:rsid w:val="73725CC7"/>
    <w:rsid w:val="738842D9"/>
    <w:rsid w:val="739B35DE"/>
    <w:rsid w:val="73B3455A"/>
    <w:rsid w:val="73DA0AAB"/>
    <w:rsid w:val="73FA2A89"/>
    <w:rsid w:val="73FF32CB"/>
    <w:rsid w:val="74041738"/>
    <w:rsid w:val="7405758D"/>
    <w:rsid w:val="740C73F0"/>
    <w:rsid w:val="74301EA6"/>
    <w:rsid w:val="74386E56"/>
    <w:rsid w:val="7439010A"/>
    <w:rsid w:val="74622F2F"/>
    <w:rsid w:val="74682E1C"/>
    <w:rsid w:val="74824DB9"/>
    <w:rsid w:val="7497088D"/>
    <w:rsid w:val="74A30572"/>
    <w:rsid w:val="74C73FE3"/>
    <w:rsid w:val="74DC5A55"/>
    <w:rsid w:val="74E71A82"/>
    <w:rsid w:val="74F64E3F"/>
    <w:rsid w:val="74FD1B30"/>
    <w:rsid w:val="751D0E17"/>
    <w:rsid w:val="754A05DC"/>
    <w:rsid w:val="757530A7"/>
    <w:rsid w:val="75942A40"/>
    <w:rsid w:val="75A023F2"/>
    <w:rsid w:val="75C5780F"/>
    <w:rsid w:val="75D41993"/>
    <w:rsid w:val="75FB2A56"/>
    <w:rsid w:val="75FF18EA"/>
    <w:rsid w:val="76023351"/>
    <w:rsid w:val="761730DD"/>
    <w:rsid w:val="762514F1"/>
    <w:rsid w:val="762C5C47"/>
    <w:rsid w:val="76373F25"/>
    <w:rsid w:val="765512FB"/>
    <w:rsid w:val="766477E6"/>
    <w:rsid w:val="76687032"/>
    <w:rsid w:val="7672045B"/>
    <w:rsid w:val="76766B2A"/>
    <w:rsid w:val="7677598C"/>
    <w:rsid w:val="767F2D37"/>
    <w:rsid w:val="76895AED"/>
    <w:rsid w:val="7698131F"/>
    <w:rsid w:val="76984EB1"/>
    <w:rsid w:val="76991A17"/>
    <w:rsid w:val="76BA50E5"/>
    <w:rsid w:val="76C01D43"/>
    <w:rsid w:val="76C42FE0"/>
    <w:rsid w:val="76D42781"/>
    <w:rsid w:val="76D45B4A"/>
    <w:rsid w:val="76D81D5A"/>
    <w:rsid w:val="77067FBD"/>
    <w:rsid w:val="771A06F0"/>
    <w:rsid w:val="77236D53"/>
    <w:rsid w:val="772A5AB9"/>
    <w:rsid w:val="774D3DC3"/>
    <w:rsid w:val="776A22E2"/>
    <w:rsid w:val="776D6580"/>
    <w:rsid w:val="777D1EBF"/>
    <w:rsid w:val="778C04E9"/>
    <w:rsid w:val="778F2765"/>
    <w:rsid w:val="77B360B7"/>
    <w:rsid w:val="77B65AA5"/>
    <w:rsid w:val="77E22291"/>
    <w:rsid w:val="77E64251"/>
    <w:rsid w:val="77EF6C02"/>
    <w:rsid w:val="7803269B"/>
    <w:rsid w:val="78125407"/>
    <w:rsid w:val="78163E0D"/>
    <w:rsid w:val="781E2A04"/>
    <w:rsid w:val="78300AEE"/>
    <w:rsid w:val="784F14F7"/>
    <w:rsid w:val="78507637"/>
    <w:rsid w:val="7859168E"/>
    <w:rsid w:val="7867796C"/>
    <w:rsid w:val="78797F61"/>
    <w:rsid w:val="787F40EE"/>
    <w:rsid w:val="78985EAB"/>
    <w:rsid w:val="789E5F80"/>
    <w:rsid w:val="78B57BD3"/>
    <w:rsid w:val="78C14DB7"/>
    <w:rsid w:val="78C243BF"/>
    <w:rsid w:val="78C44A4A"/>
    <w:rsid w:val="78D81144"/>
    <w:rsid w:val="78F669DD"/>
    <w:rsid w:val="79000801"/>
    <w:rsid w:val="7904277D"/>
    <w:rsid w:val="79047D24"/>
    <w:rsid w:val="792073FF"/>
    <w:rsid w:val="79255B1E"/>
    <w:rsid w:val="79327BE3"/>
    <w:rsid w:val="793423B9"/>
    <w:rsid w:val="794674FF"/>
    <w:rsid w:val="794F5E9D"/>
    <w:rsid w:val="7950305C"/>
    <w:rsid w:val="79596ED9"/>
    <w:rsid w:val="795F7A95"/>
    <w:rsid w:val="79645F30"/>
    <w:rsid w:val="796606AB"/>
    <w:rsid w:val="797279F9"/>
    <w:rsid w:val="798B6440"/>
    <w:rsid w:val="79976759"/>
    <w:rsid w:val="799C0BFC"/>
    <w:rsid w:val="79B50C6F"/>
    <w:rsid w:val="79D319E8"/>
    <w:rsid w:val="79E06AB0"/>
    <w:rsid w:val="79F82F77"/>
    <w:rsid w:val="7A0527D6"/>
    <w:rsid w:val="7A073B40"/>
    <w:rsid w:val="7A1E66A7"/>
    <w:rsid w:val="7A3E3C86"/>
    <w:rsid w:val="7A421F6B"/>
    <w:rsid w:val="7A6A1622"/>
    <w:rsid w:val="7A961F78"/>
    <w:rsid w:val="7A9C129D"/>
    <w:rsid w:val="7AAC617C"/>
    <w:rsid w:val="7ABB0835"/>
    <w:rsid w:val="7ABE7A74"/>
    <w:rsid w:val="7AC001C9"/>
    <w:rsid w:val="7AC3193E"/>
    <w:rsid w:val="7AD825ED"/>
    <w:rsid w:val="7AE7522B"/>
    <w:rsid w:val="7AEF05B0"/>
    <w:rsid w:val="7AF11E4A"/>
    <w:rsid w:val="7AF66F13"/>
    <w:rsid w:val="7AFC756B"/>
    <w:rsid w:val="7B0A616D"/>
    <w:rsid w:val="7B1001C7"/>
    <w:rsid w:val="7B1530FA"/>
    <w:rsid w:val="7B2119B9"/>
    <w:rsid w:val="7B385861"/>
    <w:rsid w:val="7B6A65F9"/>
    <w:rsid w:val="7B6E44EE"/>
    <w:rsid w:val="7B73525D"/>
    <w:rsid w:val="7B790438"/>
    <w:rsid w:val="7B841502"/>
    <w:rsid w:val="7B856B69"/>
    <w:rsid w:val="7BA51FAA"/>
    <w:rsid w:val="7BA71431"/>
    <w:rsid w:val="7BA76788"/>
    <w:rsid w:val="7BAB65F0"/>
    <w:rsid w:val="7BB80112"/>
    <w:rsid w:val="7BC16734"/>
    <w:rsid w:val="7BC5601A"/>
    <w:rsid w:val="7BDA78A7"/>
    <w:rsid w:val="7BE067C0"/>
    <w:rsid w:val="7BF7355E"/>
    <w:rsid w:val="7C041716"/>
    <w:rsid w:val="7C0F6F8D"/>
    <w:rsid w:val="7C1832E2"/>
    <w:rsid w:val="7C2C3168"/>
    <w:rsid w:val="7C60764A"/>
    <w:rsid w:val="7C663DB5"/>
    <w:rsid w:val="7C7F077B"/>
    <w:rsid w:val="7C916907"/>
    <w:rsid w:val="7C9A2C55"/>
    <w:rsid w:val="7CB570A3"/>
    <w:rsid w:val="7CBB543F"/>
    <w:rsid w:val="7CC85D2E"/>
    <w:rsid w:val="7CEB39AF"/>
    <w:rsid w:val="7CFA0A3C"/>
    <w:rsid w:val="7CFB25C5"/>
    <w:rsid w:val="7D024938"/>
    <w:rsid w:val="7D0432EA"/>
    <w:rsid w:val="7D071A67"/>
    <w:rsid w:val="7D153027"/>
    <w:rsid w:val="7D240558"/>
    <w:rsid w:val="7D4337AE"/>
    <w:rsid w:val="7D441B35"/>
    <w:rsid w:val="7D4E4391"/>
    <w:rsid w:val="7D6A50D1"/>
    <w:rsid w:val="7D6C1F0C"/>
    <w:rsid w:val="7D6F7C2B"/>
    <w:rsid w:val="7D7B5BD6"/>
    <w:rsid w:val="7D7F6644"/>
    <w:rsid w:val="7D812A55"/>
    <w:rsid w:val="7D9828AA"/>
    <w:rsid w:val="7D9B51A7"/>
    <w:rsid w:val="7DA15DD8"/>
    <w:rsid w:val="7DA54E7B"/>
    <w:rsid w:val="7DAD4B1E"/>
    <w:rsid w:val="7DCE4670"/>
    <w:rsid w:val="7DDB6F5C"/>
    <w:rsid w:val="7DDF08B2"/>
    <w:rsid w:val="7DDF7781"/>
    <w:rsid w:val="7E2F58AE"/>
    <w:rsid w:val="7E464EB2"/>
    <w:rsid w:val="7E540C52"/>
    <w:rsid w:val="7E5724CE"/>
    <w:rsid w:val="7E5B4BE3"/>
    <w:rsid w:val="7E6C79E8"/>
    <w:rsid w:val="7E6E14DC"/>
    <w:rsid w:val="7EAF7D82"/>
    <w:rsid w:val="7EB90785"/>
    <w:rsid w:val="7EE97E69"/>
    <w:rsid w:val="7EEA0913"/>
    <w:rsid w:val="7EEF15E6"/>
    <w:rsid w:val="7F0F3C4C"/>
    <w:rsid w:val="7F102E25"/>
    <w:rsid w:val="7F2B3490"/>
    <w:rsid w:val="7F3731B4"/>
    <w:rsid w:val="7F6A24E0"/>
    <w:rsid w:val="7F81479C"/>
    <w:rsid w:val="7F851D0B"/>
    <w:rsid w:val="7F961536"/>
    <w:rsid w:val="7FB772DD"/>
    <w:rsid w:val="7FC37D4C"/>
    <w:rsid w:val="7FD5728C"/>
    <w:rsid w:val="7FDF620B"/>
    <w:rsid w:val="7FE66A22"/>
    <w:rsid w:val="7FED0787"/>
    <w:rsid w:val="7FF352B9"/>
    <w:rsid w:val="7FF640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38"/>
    <w:autoRedefine/>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autoRedefine/>
    <w:qFormat/>
    <w:uiPriority w:val="0"/>
    <w:pPr>
      <w:keepNext/>
      <w:keepLines/>
      <w:outlineLvl w:val="2"/>
    </w:pPr>
    <w:rPr>
      <w:rFonts w:ascii="宋体" w:hAnsi="宋体" w:eastAsia="黑体"/>
      <w:bCs/>
      <w:sz w:val="24"/>
      <w:szCs w:val="28"/>
    </w:rPr>
  </w:style>
  <w:style w:type="paragraph" w:styleId="6">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8">
    <w:name w:val="Default Paragraph Font"/>
    <w:autoRedefine/>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List 3"/>
    <w:basedOn w:val="1"/>
    <w:autoRedefine/>
    <w:qFormat/>
    <w:uiPriority w:val="0"/>
    <w:pPr>
      <w:spacing w:line="240" w:lineRule="auto"/>
      <w:ind w:firstLine="0" w:firstLineChars="0"/>
    </w:pPr>
    <w:rPr>
      <w:szCs w:val="20"/>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qFormat/>
    <w:uiPriority w:val="0"/>
    <w:pPr>
      <w:spacing w:beforeLines="50"/>
    </w:pPr>
    <w:rPr>
      <w:rFonts w:ascii="宋体" w:hAnsi="宋体"/>
      <w:szCs w:val="20"/>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autoRedefine/>
    <w:unhideWhenUsed/>
    <w:qFormat/>
    <w:uiPriority w:val="99"/>
    <w:pPr>
      <w:snapToGrid w:val="0"/>
      <w:ind w:firstLine="200"/>
    </w:pPr>
    <w:rPr>
      <w:rFonts w:ascii="Arial" w:hAnsi="Arial" w:cs="Arial"/>
      <w:szCs w:val="20"/>
    </w:rPr>
  </w:style>
  <w:style w:type="paragraph" w:styleId="13">
    <w:name w:val="Plain Text"/>
    <w:basedOn w:val="1"/>
    <w:autoRedefine/>
    <w:qFormat/>
    <w:uiPriority w:val="0"/>
    <w:rPr>
      <w:rFonts w:ascii="宋体" w:hAnsi="Courier New"/>
      <w:szCs w:val="20"/>
    </w:rPr>
  </w:style>
  <w:style w:type="paragraph" w:styleId="14">
    <w:name w:val="Balloon Text"/>
    <w:basedOn w:val="1"/>
    <w:link w:val="47"/>
    <w:autoRedefine/>
    <w:qFormat/>
    <w:uiPriority w:val="0"/>
    <w:rPr>
      <w:rFonts w:ascii="Heiti SC Light" w:eastAsia="Heiti SC Light"/>
      <w:sz w:val="18"/>
      <w:szCs w:val="18"/>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next w:val="1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7">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8">
    <w:name w:val="toc 1"/>
    <w:basedOn w:val="1"/>
    <w:next w:val="1"/>
    <w:autoRedefine/>
    <w:qFormat/>
    <w:uiPriority w:val="39"/>
    <w:pPr>
      <w:spacing w:before="120" w:after="120"/>
      <w:jc w:val="left"/>
    </w:pPr>
    <w:rPr>
      <w:rFonts w:cs="Calibri"/>
      <w:b/>
      <w:bCs/>
      <w:caps/>
      <w:sz w:val="20"/>
      <w:szCs w:val="20"/>
    </w:rPr>
  </w:style>
  <w:style w:type="paragraph" w:styleId="19">
    <w:name w:val="List"/>
    <w:basedOn w:val="2"/>
    <w:autoRedefine/>
    <w:qFormat/>
    <w:uiPriority w:val="0"/>
    <w:pPr>
      <w:suppressAutoHyphens/>
    </w:pPr>
    <w:rPr>
      <w:kern w:val="1"/>
      <w:lang w:eastAsia="ar-SA"/>
    </w:rPr>
  </w:style>
  <w:style w:type="paragraph" w:styleId="20">
    <w:name w:val="footnote text"/>
    <w:basedOn w:val="1"/>
    <w:autoRedefine/>
    <w:unhideWhenUsed/>
    <w:qFormat/>
    <w:uiPriority w:val="0"/>
    <w:pPr>
      <w:snapToGrid w:val="0"/>
      <w:jc w:val="left"/>
    </w:pPr>
    <w:rPr>
      <w:sz w:val="18"/>
      <w:szCs w:val="18"/>
    </w:rPr>
  </w:style>
  <w:style w:type="paragraph" w:styleId="21">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styleId="22">
    <w:name w:val="index 1"/>
    <w:basedOn w:val="1"/>
    <w:next w:val="1"/>
    <w:autoRedefine/>
    <w:semiHidden/>
    <w:qFormat/>
    <w:uiPriority w:val="0"/>
    <w:pPr>
      <w:spacing w:line="220" w:lineRule="exact"/>
      <w:jc w:val="center"/>
    </w:pPr>
    <w:rPr>
      <w:rFonts w:ascii="仿宋_GB2312" w:eastAsia="仿宋_GB2312"/>
      <w:szCs w:val="21"/>
    </w:rPr>
  </w:style>
  <w:style w:type="paragraph" w:styleId="23">
    <w:name w:val="Title"/>
    <w:basedOn w:val="1"/>
    <w:next w:val="1"/>
    <w:autoRedefine/>
    <w:qFormat/>
    <w:uiPriority w:val="0"/>
    <w:pPr>
      <w:tabs>
        <w:tab w:val="left" w:pos="450"/>
      </w:tabs>
      <w:ind w:left="450" w:hanging="450"/>
      <w:jc w:val="center"/>
    </w:pPr>
    <w:rPr>
      <w:rFonts w:ascii="黑体" w:eastAsia="黑体"/>
      <w:sz w:val="32"/>
      <w:szCs w:val="20"/>
    </w:rPr>
  </w:style>
  <w:style w:type="paragraph" w:styleId="24">
    <w:name w:val="Body Text First Indent"/>
    <w:basedOn w:val="2"/>
    <w:autoRedefine/>
    <w:qFormat/>
    <w:uiPriority w:val="99"/>
    <w:pPr>
      <w:ind w:firstLine="420" w:firstLineChars="100"/>
    </w:pPr>
  </w:style>
  <w:style w:type="paragraph" w:styleId="25">
    <w:name w:val="Body Text First Indent 2"/>
    <w:basedOn w:val="11"/>
    <w:next w:val="1"/>
    <w:autoRedefine/>
    <w:qFormat/>
    <w:uiPriority w:val="0"/>
    <w:pPr>
      <w:ind w:firstLine="420" w:firstLineChars="200"/>
    </w:pPr>
    <w:rPr>
      <w:rFonts w:ascii="Calibri" w:hAnsi="Calibri"/>
      <w:szCs w:val="2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rPr>
      <w:b/>
    </w:rPr>
  </w:style>
  <w:style w:type="character" w:styleId="30">
    <w:name w:val="page number"/>
    <w:basedOn w:val="28"/>
    <w:autoRedefine/>
    <w:qFormat/>
    <w:uiPriority w:val="0"/>
  </w:style>
  <w:style w:type="character" w:styleId="31">
    <w:name w:val="Hyperlink"/>
    <w:basedOn w:val="28"/>
    <w:autoRedefine/>
    <w:qFormat/>
    <w:uiPriority w:val="0"/>
    <w:rPr>
      <w:color w:val="0000FF"/>
      <w:u w:val="single"/>
    </w:rPr>
  </w:style>
  <w:style w:type="character" w:styleId="32">
    <w:name w:val="annotation reference"/>
    <w:autoRedefine/>
    <w:qFormat/>
    <w:uiPriority w:val="0"/>
    <w:rPr>
      <w:sz w:val="21"/>
      <w:szCs w:val="21"/>
    </w:rPr>
  </w:style>
  <w:style w:type="character" w:styleId="33">
    <w:name w:val="footnote reference"/>
    <w:autoRedefine/>
    <w:qFormat/>
    <w:uiPriority w:val="0"/>
    <w:rPr>
      <w:vertAlign w:val="superscript"/>
    </w:rPr>
  </w:style>
  <w:style w:type="paragraph" w:customStyle="1" w:styleId="34">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5">
    <w:name w:val="表格"/>
    <w:basedOn w:val="1"/>
    <w:autoRedefine/>
    <w:qFormat/>
    <w:uiPriority w:val="0"/>
    <w:pPr>
      <w:textAlignment w:val="center"/>
    </w:pPr>
    <w:rPr>
      <w:rFonts w:ascii="华文细黑" w:hAnsi="华文细黑"/>
      <w:kern w:val="0"/>
      <w:szCs w:val="20"/>
    </w:rPr>
  </w:style>
  <w:style w:type="paragraph" w:customStyle="1" w:styleId="36">
    <w:name w:val="正文 题目"/>
    <w:basedOn w:val="1"/>
    <w:autoRedefine/>
    <w:qFormat/>
    <w:uiPriority w:val="0"/>
    <w:pPr>
      <w:jc w:val="center"/>
    </w:pPr>
    <w:rPr>
      <w:rFonts w:ascii="黑体" w:hAnsi="黑体" w:eastAsia="黑体"/>
      <w:sz w:val="28"/>
    </w:rPr>
  </w:style>
  <w:style w:type="paragraph" w:customStyle="1" w:styleId="37">
    <w:name w:val="列出段落1"/>
    <w:basedOn w:val="1"/>
    <w:autoRedefine/>
    <w:qFormat/>
    <w:uiPriority w:val="99"/>
    <w:rPr>
      <w:rFonts w:ascii="Times New Roman" w:hAnsi="Times New Roman"/>
    </w:rPr>
  </w:style>
  <w:style w:type="character" w:customStyle="1" w:styleId="38">
    <w:name w:val="标题 2 Char"/>
    <w:link w:val="4"/>
    <w:autoRedefine/>
    <w:qFormat/>
    <w:uiPriority w:val="0"/>
    <w:rPr>
      <w:rFonts w:ascii="Arial" w:hAnsi="Arial"/>
      <w:b/>
      <w:bCs/>
      <w:sz w:val="28"/>
      <w:szCs w:val="32"/>
    </w:rPr>
  </w:style>
  <w:style w:type="paragraph" w:customStyle="1" w:styleId="39">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
    <w:name w:val="WPSOffice手动目录 1"/>
    <w:autoRedefine/>
    <w:qFormat/>
    <w:uiPriority w:val="0"/>
    <w:rPr>
      <w:rFonts w:asciiTheme="minorHAnsi" w:hAnsiTheme="minorHAnsi" w:eastAsiaTheme="minorEastAsia" w:cstheme="minorBidi"/>
      <w:lang w:val="en-US" w:eastAsia="zh-CN" w:bidi="ar-SA"/>
    </w:rPr>
  </w:style>
  <w:style w:type="paragraph" w:customStyle="1" w:styleId="41">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42">
    <w:name w:val="font21"/>
    <w:basedOn w:val="28"/>
    <w:autoRedefine/>
    <w:qFormat/>
    <w:uiPriority w:val="0"/>
    <w:rPr>
      <w:rFonts w:hint="eastAsia" w:ascii="宋体" w:hAnsi="宋体" w:eastAsia="宋体" w:cs="宋体"/>
      <w:color w:val="000000"/>
      <w:sz w:val="24"/>
      <w:szCs w:val="24"/>
      <w:u w:val="none"/>
    </w:rPr>
  </w:style>
  <w:style w:type="character" w:customStyle="1" w:styleId="43">
    <w:name w:val="font01"/>
    <w:basedOn w:val="28"/>
    <w:autoRedefine/>
    <w:qFormat/>
    <w:uiPriority w:val="0"/>
    <w:rPr>
      <w:rFonts w:hint="default" w:ascii="Times New Roman" w:hAnsi="Times New Roman" w:cs="Times New Roman"/>
      <w:color w:val="000000"/>
      <w:sz w:val="24"/>
      <w:szCs w:val="24"/>
      <w:u w:val="none"/>
    </w:rPr>
  </w:style>
  <w:style w:type="character" w:customStyle="1" w:styleId="44">
    <w:name w:val="font11"/>
    <w:basedOn w:val="28"/>
    <w:autoRedefine/>
    <w:qFormat/>
    <w:uiPriority w:val="0"/>
    <w:rPr>
      <w:rFonts w:hint="default" w:ascii="Times New Roman" w:hAnsi="Times New Roman" w:cs="Times New Roman"/>
      <w:color w:val="000000"/>
      <w:sz w:val="20"/>
      <w:szCs w:val="20"/>
      <w:u w:val="none"/>
    </w:rPr>
  </w:style>
  <w:style w:type="character" w:customStyle="1" w:styleId="45">
    <w:name w:val="font31"/>
    <w:basedOn w:val="28"/>
    <w:autoRedefine/>
    <w:qFormat/>
    <w:uiPriority w:val="0"/>
    <w:rPr>
      <w:rFonts w:hint="eastAsia" w:ascii="宋体" w:hAnsi="宋体" w:eastAsia="宋体" w:cs="宋体"/>
      <w:color w:val="000000"/>
      <w:sz w:val="20"/>
      <w:szCs w:val="20"/>
      <w:u w:val="none"/>
    </w:rPr>
  </w:style>
  <w:style w:type="paragraph" w:customStyle="1" w:styleId="46">
    <w:name w:val="Table Paragraph"/>
    <w:basedOn w:val="1"/>
    <w:autoRedefine/>
    <w:qFormat/>
    <w:uiPriority w:val="99"/>
  </w:style>
  <w:style w:type="character" w:customStyle="1" w:styleId="47">
    <w:name w:val="批注框文本 Char"/>
    <w:basedOn w:val="28"/>
    <w:link w:val="14"/>
    <w:autoRedefine/>
    <w:qFormat/>
    <w:uiPriority w:val="0"/>
    <w:rPr>
      <w:rFonts w:ascii="Heiti SC Light" w:eastAsia="Heiti SC Light" w:hAnsiTheme="minorHAnsi" w:cstheme="minorBidi"/>
      <w:kern w:val="2"/>
      <w:sz w:val="18"/>
      <w:szCs w:val="18"/>
    </w:rPr>
  </w:style>
  <w:style w:type="paragraph" w:customStyle="1" w:styleId="48">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49">
    <w:name w:val="List Paragraph"/>
    <w:basedOn w:val="1"/>
    <w:autoRedefine/>
    <w:qFormat/>
    <w:uiPriority w:val="1"/>
    <w:pPr>
      <w:ind w:left="235" w:hanging="527"/>
    </w:pPr>
    <w:rPr>
      <w:rFonts w:ascii="宋体" w:hAnsi="宋体" w:eastAsia="宋体" w:cs="宋体"/>
      <w:lang w:val="zh-CN" w:eastAsia="zh-CN" w:bidi="zh-CN"/>
    </w:rPr>
  </w:style>
  <w:style w:type="character" w:customStyle="1" w:styleId="50">
    <w:name w:val="font121"/>
    <w:autoRedefine/>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053F4-5EA5-4DC3-B679-3F0A5C68C92D}">
  <ds:schemaRefs/>
</ds:datastoreItem>
</file>

<file path=docProps/app.xml><?xml version="1.0" encoding="utf-8"?>
<Properties xmlns="http://schemas.openxmlformats.org/officeDocument/2006/extended-properties" xmlns:vt="http://schemas.openxmlformats.org/officeDocument/2006/docPropsVTypes">
  <Template>Normal</Template>
  <Pages>68</Pages>
  <Words>25107</Words>
  <Characters>27482</Characters>
  <Lines>269</Lines>
  <Paragraphs>75</Paragraphs>
  <TotalTime>2</TotalTime>
  <ScaleCrop>false</ScaleCrop>
  <LinksUpToDate>false</LinksUpToDate>
  <CharactersWithSpaces>30579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2022-05-18T01:43:00Z</dcterms:created>
  <dc:creator>huajie</dc:creator>
  <cp:lastModifiedBy>夜丶长枫</cp:lastModifiedBy>
  <cp:lastPrinted>2024-06-09T01:33:00Z</cp:lastPrinted>
  <dcterms:modified xsi:type="dcterms:W3CDTF">2024-06-11T10:24:44Z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13CB3EF2321C4458924F97BD5E3C3E8F_13</vt:lpwstr>
  </property>
</Properties>
</file>