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b/>
          <w:bCs/>
          <w:sz w:val="48"/>
          <w:szCs w:val="48"/>
          <w:highlight w:val="none"/>
          <w:u w:val="none"/>
          <w:lang w:eastAsia="zh-CN"/>
        </w:rPr>
      </w:pPr>
      <w:r>
        <w:rPr>
          <w:rFonts w:hint="eastAsia" w:ascii="宋体" w:hAnsi="宋体"/>
          <w:b/>
          <w:bCs/>
          <w:sz w:val="48"/>
          <w:szCs w:val="48"/>
          <w:highlight w:val="none"/>
          <w:u w:val="none"/>
          <w:lang w:eastAsia="zh-CN"/>
        </w:rPr>
        <w:t>安徽省阜淮高速公桥服务区充电桩</w:t>
      </w:r>
    </w:p>
    <w:p>
      <w:pPr>
        <w:widowControl/>
        <w:jc w:val="center"/>
        <w:rPr>
          <w:rFonts w:hint="eastAsia" w:ascii="Times New Roman" w:hAnsi="Times New Roman" w:eastAsia="宋体" w:cs="Times New Roman"/>
          <w:sz w:val="32"/>
          <w:szCs w:val="32"/>
          <w:highlight w:val="none"/>
          <w:u w:val="none"/>
          <w:lang w:val="en-US" w:eastAsia="zh-CN"/>
        </w:rPr>
      </w:pPr>
      <w:r>
        <w:rPr>
          <w:rFonts w:hint="eastAsia" w:ascii="宋体" w:hAnsi="宋体"/>
          <w:b/>
          <w:bCs/>
          <w:sz w:val="48"/>
          <w:szCs w:val="48"/>
          <w:highlight w:val="none"/>
          <w:u w:val="none"/>
        </w:rPr>
        <w:t>采购项目</w:t>
      </w:r>
    </w:p>
    <w:p>
      <w:pPr>
        <w:spacing w:line="540" w:lineRule="exact"/>
        <w:ind w:firstLine="420"/>
        <w:rPr>
          <w:rFonts w:ascii="Times New Roman" w:hAnsi="Times New Roman" w:cs="Times New Roman"/>
          <w:szCs w:val="21"/>
          <w:highlight w:val="none"/>
        </w:rPr>
      </w:pPr>
    </w:p>
    <w:p>
      <w:pPr>
        <w:pStyle w:val="7"/>
        <w:rPr>
          <w:rFonts w:ascii="Times New Roman" w:hAnsi="Times New Roman" w:cs="Times New Roman"/>
          <w:szCs w:val="21"/>
          <w:highlight w:val="none"/>
        </w:rPr>
      </w:pPr>
    </w:p>
    <w:p>
      <w:pPr>
        <w:pStyle w:val="7"/>
        <w:rPr>
          <w:rFonts w:ascii="Times New Roman" w:hAnsi="Times New Roman" w:cs="Times New Roman"/>
          <w:szCs w:val="21"/>
          <w:highlight w:val="none"/>
        </w:rPr>
      </w:pPr>
    </w:p>
    <w:p>
      <w:pPr>
        <w:pStyle w:val="7"/>
        <w:rPr>
          <w:rFonts w:ascii="Times New Roman" w:hAnsi="Times New Roman" w:cs="Times New Roman"/>
          <w:szCs w:val="21"/>
          <w:highlight w:val="none"/>
        </w:rPr>
      </w:pPr>
    </w:p>
    <w:p>
      <w:pPr>
        <w:pStyle w:val="13"/>
        <w:rPr>
          <w:rFonts w:ascii="Times New Roman" w:hAnsi="Times New Roman" w:cs="Times New Roman"/>
          <w:szCs w:val="21"/>
          <w:highlight w:val="none"/>
        </w:rPr>
      </w:pPr>
    </w:p>
    <w:p>
      <w:pPr>
        <w:jc w:val="center"/>
        <w:rPr>
          <w:rFonts w:hint="eastAsia" w:ascii="Times New Roman" w:hAnsi="Times New Roman" w:eastAsia="黑体" w:cs="Times New Roman"/>
          <w:sz w:val="72"/>
          <w:szCs w:val="72"/>
          <w:highlight w:val="none"/>
          <w:lang w:eastAsia="zh-CN"/>
        </w:rPr>
      </w:pPr>
      <w:r>
        <w:rPr>
          <w:rFonts w:ascii="Times New Roman" w:hAnsi="Times New Roman" w:eastAsia="黑体" w:cs="Times New Roman"/>
          <w:sz w:val="72"/>
          <w:szCs w:val="72"/>
          <w:highlight w:val="none"/>
        </w:rPr>
        <w:t>询  比  文  件</w:t>
      </w: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640"/>
        <w:rPr>
          <w:rFonts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highlight w:val="none"/>
          <w:u w:val="single"/>
        </w:rPr>
      </w:pPr>
      <w:r>
        <w:rPr>
          <w:rFonts w:ascii="Times New Roman" w:hAnsi="Times New Roman" w:eastAsia="黑体" w:cs="Times New Roman"/>
          <w:sz w:val="32"/>
          <w:szCs w:val="32"/>
          <w:highlight w:val="none"/>
        </w:rPr>
        <w:t>采</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购</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人：</w:t>
      </w:r>
      <w:r>
        <w:rPr>
          <w:rFonts w:ascii="Times New Roman" w:hAnsi="Times New Roman" w:eastAsia="黑体" w:cs="Times New Roman"/>
          <w:sz w:val="32"/>
          <w:szCs w:val="32"/>
          <w:highlight w:val="none"/>
          <w:u w:val="single"/>
        </w:rPr>
        <w:t xml:space="preserve"> 安徽</w:t>
      </w:r>
      <w:r>
        <w:rPr>
          <w:rFonts w:hint="eastAsia" w:ascii="Times New Roman" w:hAnsi="Times New Roman" w:eastAsia="黑体" w:cs="Times New Roman"/>
          <w:sz w:val="32"/>
          <w:szCs w:val="32"/>
          <w:highlight w:val="none"/>
          <w:u w:val="single"/>
          <w:lang w:val="en-US" w:eastAsia="zh-CN"/>
        </w:rPr>
        <w:t>省经工物资</w:t>
      </w:r>
      <w:r>
        <w:rPr>
          <w:rFonts w:ascii="Times New Roman" w:hAnsi="Times New Roman" w:eastAsia="黑体" w:cs="Times New Roman"/>
          <w:sz w:val="32"/>
          <w:szCs w:val="32"/>
          <w:highlight w:val="none"/>
          <w:u w:val="single"/>
        </w:rPr>
        <w:t>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highlight w:val="none"/>
          <w:lang w:val="en-US" w:eastAsia="zh-CN"/>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2024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7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highlight w:val="none"/>
        </w:rPr>
      </w:pPr>
    </w:p>
    <w:p>
      <w:pPr>
        <w:snapToGrid w:val="0"/>
        <w:ind w:firstLine="1920" w:firstLineChars="600"/>
        <w:rPr>
          <w:rFonts w:ascii="Times New Roman" w:hAnsi="Times New Roman" w:cs="Times New Roman"/>
          <w:sz w:val="32"/>
          <w:szCs w:val="32"/>
          <w:highlight w:val="none"/>
        </w:rPr>
      </w:pPr>
    </w:p>
    <w:p>
      <w:pPr>
        <w:ind w:left="1896" w:leftChars="903"/>
        <w:rPr>
          <w:rFonts w:ascii="Times New Roman" w:hAnsi="Times New Roman" w:eastAsia="宋体" w:cs="Times New Roman"/>
          <w:sz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highlight w:val="none"/>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5"/>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TOC \o "1-1" \h \u </w:instrText>
          </w:r>
          <w:r>
            <w:rPr>
              <w:rFonts w:ascii="宋体" w:hAnsi="宋体" w:eastAsia="宋体"/>
              <w:highlight w:val="none"/>
            </w:rPr>
            <w:fldChar w:fldCharType="separate"/>
          </w:r>
          <w:r>
            <w:rPr>
              <w:rFonts w:ascii="宋体" w:hAnsi="宋体" w:eastAsia="宋体"/>
              <w:highlight w:val="none"/>
            </w:rPr>
            <w:fldChar w:fldCharType="begin"/>
          </w:r>
          <w:r>
            <w:rPr>
              <w:rFonts w:ascii="宋体" w:hAnsi="宋体" w:eastAsia="宋体"/>
              <w:highlight w:val="none"/>
            </w:rPr>
            <w:instrText xml:space="preserve"> HYPERLINK \l _Toc22704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第一章 </w:t>
          </w:r>
          <w:r>
            <w:rPr>
              <w:rFonts w:ascii="Times New Roman" w:hAnsi="Times New Roman" w:eastAsia="宋体" w:cs="Times New Roman"/>
              <w:highlight w:val="none"/>
            </w:rPr>
            <w:t>采购公告</w:t>
          </w:r>
          <w:r>
            <w:rPr>
              <w:highlight w:val="none"/>
            </w:rPr>
            <w:tab/>
          </w:r>
          <w:r>
            <w:rPr>
              <w:highlight w:val="none"/>
            </w:rPr>
            <w:fldChar w:fldCharType="begin"/>
          </w:r>
          <w:r>
            <w:rPr>
              <w:highlight w:val="none"/>
            </w:rPr>
            <w:instrText xml:space="preserve"> PAGEREF _Toc22704 \h </w:instrText>
          </w:r>
          <w:r>
            <w:rPr>
              <w:highlight w:val="none"/>
            </w:rPr>
            <w:fldChar w:fldCharType="separate"/>
          </w:r>
          <w:r>
            <w:rPr>
              <w:highlight w:val="none"/>
            </w:rPr>
            <w:t>3</w:t>
          </w:r>
          <w:r>
            <w:rPr>
              <w:highlight w:val="none"/>
            </w:rPr>
            <w:fldChar w:fldCharType="end"/>
          </w:r>
          <w:r>
            <w:rPr>
              <w:rFonts w:ascii="宋体" w:hAnsi="宋体" w:eastAsia="宋体"/>
              <w:highlight w:val="none"/>
            </w:rPr>
            <w:fldChar w:fldCharType="end"/>
          </w:r>
        </w:p>
        <w:p>
          <w:pPr>
            <w:pStyle w:val="15"/>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_Toc10242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第二章 </w:t>
          </w:r>
          <w:r>
            <w:rPr>
              <w:rFonts w:ascii="Times New Roman" w:hAnsi="Times New Roman" w:eastAsia="宋体" w:cs="Times New Roman"/>
              <w:highlight w:val="none"/>
            </w:rPr>
            <w:t>供应商须知</w:t>
          </w:r>
          <w:r>
            <w:rPr>
              <w:highlight w:val="none"/>
            </w:rPr>
            <w:tab/>
          </w:r>
          <w:r>
            <w:rPr>
              <w:highlight w:val="none"/>
            </w:rPr>
            <w:fldChar w:fldCharType="begin"/>
          </w:r>
          <w:r>
            <w:rPr>
              <w:highlight w:val="none"/>
            </w:rPr>
            <w:instrText xml:space="preserve"> PAGEREF _Toc10242 \h </w:instrText>
          </w:r>
          <w:r>
            <w:rPr>
              <w:highlight w:val="none"/>
            </w:rPr>
            <w:fldChar w:fldCharType="separate"/>
          </w:r>
          <w:r>
            <w:rPr>
              <w:highlight w:val="none"/>
            </w:rPr>
            <w:t>6</w:t>
          </w:r>
          <w:r>
            <w:rPr>
              <w:highlight w:val="none"/>
            </w:rPr>
            <w:fldChar w:fldCharType="end"/>
          </w:r>
          <w:r>
            <w:rPr>
              <w:rFonts w:ascii="宋体" w:hAnsi="宋体" w:eastAsia="宋体"/>
              <w:highlight w:val="none"/>
            </w:rPr>
            <w:fldChar w:fldCharType="end"/>
          </w:r>
        </w:p>
        <w:p>
          <w:pPr>
            <w:pStyle w:val="15"/>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_Toc17292 </w:instrText>
          </w:r>
          <w:r>
            <w:rPr>
              <w:rFonts w:ascii="宋体" w:hAnsi="宋体" w:eastAsia="宋体"/>
              <w:highlight w:val="none"/>
            </w:rPr>
            <w:fldChar w:fldCharType="separate"/>
          </w:r>
          <w:r>
            <w:rPr>
              <w:rFonts w:hint="eastAsia" w:ascii="宋体" w:hAnsi="宋体" w:eastAsia="宋体" w:cs="宋体"/>
              <w:szCs w:val="44"/>
              <w:highlight w:val="none"/>
            </w:rPr>
            <w:t>第三章 采购需求及清单</w:t>
          </w:r>
          <w:r>
            <w:rPr>
              <w:highlight w:val="none"/>
            </w:rPr>
            <w:tab/>
          </w:r>
          <w:r>
            <w:rPr>
              <w:highlight w:val="none"/>
            </w:rPr>
            <w:fldChar w:fldCharType="begin"/>
          </w:r>
          <w:r>
            <w:rPr>
              <w:highlight w:val="none"/>
            </w:rPr>
            <w:instrText xml:space="preserve"> PAGEREF _Toc17292 \h </w:instrText>
          </w:r>
          <w:r>
            <w:rPr>
              <w:highlight w:val="none"/>
            </w:rPr>
            <w:fldChar w:fldCharType="separate"/>
          </w:r>
          <w:r>
            <w:rPr>
              <w:highlight w:val="none"/>
            </w:rPr>
            <w:t>15</w:t>
          </w:r>
          <w:r>
            <w:rPr>
              <w:highlight w:val="none"/>
            </w:rPr>
            <w:fldChar w:fldCharType="end"/>
          </w:r>
          <w:r>
            <w:rPr>
              <w:rFonts w:ascii="宋体" w:hAnsi="宋体" w:eastAsia="宋体"/>
              <w:highlight w:val="none"/>
            </w:rPr>
            <w:fldChar w:fldCharType="end"/>
          </w:r>
        </w:p>
        <w:p>
          <w:pPr>
            <w:pStyle w:val="15"/>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_Toc29603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评审办法</w:t>
          </w:r>
          <w:r>
            <w:rPr>
              <w:highlight w:val="none"/>
            </w:rPr>
            <w:tab/>
          </w:r>
          <w:r>
            <w:rPr>
              <w:highlight w:val="none"/>
            </w:rPr>
            <w:fldChar w:fldCharType="begin"/>
          </w:r>
          <w:r>
            <w:rPr>
              <w:highlight w:val="none"/>
            </w:rPr>
            <w:instrText xml:space="preserve"> PAGEREF _Toc29603 \h </w:instrText>
          </w:r>
          <w:r>
            <w:rPr>
              <w:highlight w:val="none"/>
            </w:rPr>
            <w:fldChar w:fldCharType="separate"/>
          </w:r>
          <w:r>
            <w:rPr>
              <w:highlight w:val="none"/>
            </w:rPr>
            <w:t>31</w:t>
          </w:r>
          <w:r>
            <w:rPr>
              <w:highlight w:val="none"/>
            </w:rPr>
            <w:fldChar w:fldCharType="end"/>
          </w:r>
          <w:r>
            <w:rPr>
              <w:rFonts w:ascii="宋体" w:hAnsi="宋体" w:eastAsia="宋体"/>
              <w:highlight w:val="none"/>
            </w:rPr>
            <w:fldChar w:fldCharType="end"/>
          </w:r>
        </w:p>
        <w:p>
          <w:pPr>
            <w:pStyle w:val="15"/>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_Toc15787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第五章 </w:t>
          </w:r>
          <w:r>
            <w:rPr>
              <w:rFonts w:ascii="Times New Roman" w:hAnsi="Times New Roman" w:eastAsia="宋体" w:cs="Times New Roman"/>
              <w:highlight w:val="none"/>
            </w:rPr>
            <w:t>合同内容</w:t>
          </w:r>
          <w:r>
            <w:rPr>
              <w:highlight w:val="none"/>
            </w:rPr>
            <w:tab/>
          </w:r>
          <w:r>
            <w:rPr>
              <w:highlight w:val="none"/>
            </w:rPr>
            <w:fldChar w:fldCharType="begin"/>
          </w:r>
          <w:r>
            <w:rPr>
              <w:highlight w:val="none"/>
            </w:rPr>
            <w:instrText xml:space="preserve"> PAGEREF _Toc15787 \h </w:instrText>
          </w:r>
          <w:r>
            <w:rPr>
              <w:highlight w:val="none"/>
            </w:rPr>
            <w:fldChar w:fldCharType="separate"/>
          </w:r>
          <w:r>
            <w:rPr>
              <w:highlight w:val="none"/>
            </w:rPr>
            <w:t>9</w:t>
          </w:r>
          <w:r>
            <w:rPr>
              <w:highlight w:val="none"/>
            </w:rPr>
            <w:fldChar w:fldCharType="end"/>
          </w:r>
          <w:r>
            <w:rPr>
              <w:rFonts w:ascii="宋体" w:hAnsi="宋体" w:eastAsia="宋体"/>
              <w:highlight w:val="none"/>
            </w:rPr>
            <w:fldChar w:fldCharType="end"/>
          </w:r>
        </w:p>
        <w:p>
          <w:pPr>
            <w:pStyle w:val="15"/>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_Toc26968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rPr>
              <w:highlight w:val="none"/>
            </w:rPr>
            <w:tab/>
          </w:r>
          <w:r>
            <w:rPr>
              <w:highlight w:val="none"/>
            </w:rPr>
            <w:fldChar w:fldCharType="begin"/>
          </w:r>
          <w:r>
            <w:rPr>
              <w:highlight w:val="none"/>
            </w:rPr>
            <w:instrText xml:space="preserve"> PAGEREF _Toc26968 \h </w:instrText>
          </w:r>
          <w:r>
            <w:rPr>
              <w:highlight w:val="none"/>
            </w:rPr>
            <w:fldChar w:fldCharType="separate"/>
          </w:r>
          <w:r>
            <w:rPr>
              <w:highlight w:val="none"/>
            </w:rPr>
            <w:t>22</w:t>
          </w:r>
          <w:r>
            <w:rPr>
              <w:highlight w:val="none"/>
            </w:rPr>
            <w:fldChar w:fldCharType="end"/>
          </w:r>
          <w:r>
            <w:rPr>
              <w:rFonts w:ascii="宋体" w:hAnsi="宋体" w:eastAsia="宋体"/>
              <w:highlight w:val="none"/>
            </w:rPr>
            <w:fldChar w:fldCharType="end"/>
          </w:r>
        </w:p>
        <w:p>
          <w:pPr>
            <w:jc w:val="center"/>
            <w:rPr>
              <w:rFonts w:ascii="宋体" w:hAnsi="宋体" w:eastAsia="宋体"/>
              <w:highlight w:val="none"/>
            </w:rPr>
          </w:pPr>
          <w:r>
            <w:rPr>
              <w:rFonts w:ascii="宋体" w:hAnsi="宋体" w:eastAsia="宋体"/>
              <w:highlight w:val="none"/>
            </w:rPr>
            <w:fldChar w:fldCharType="end"/>
          </w:r>
        </w:p>
      </w:sdtContent>
    </w:sdt>
    <w:p>
      <w:pPr>
        <w:jc w:val="center"/>
        <w:rPr>
          <w:rFonts w:ascii="宋体" w:hAnsi="宋体" w:eastAsia="宋体"/>
          <w:highlight w:val="none"/>
        </w:rPr>
      </w:pPr>
    </w:p>
    <w:p>
      <w:pPr>
        <w:jc w:val="center"/>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r>
        <w:rPr>
          <w:rFonts w:hint="eastAsia" w:ascii="宋体" w:hAnsi="宋体" w:eastAsia="宋体"/>
          <w:highlight w:val="none"/>
          <w:lang w:val="en-US" w:eastAsia="zh-CN"/>
        </w:rPr>
        <w:t xml:space="preserve">     </w:t>
      </w:r>
    </w:p>
    <w:p>
      <w:pPr>
        <w:pStyle w:val="2"/>
        <w:numPr>
          <w:ilvl w:val="0"/>
          <w:numId w:val="0"/>
        </w:numPr>
        <w:spacing w:before="312" w:after="312"/>
        <w:ind w:leftChars="0"/>
        <w:jc w:val="center"/>
        <w:rPr>
          <w:rFonts w:ascii="Times New Roman" w:hAnsi="Times New Roman" w:eastAsia="宋体" w:cs="Times New Roman"/>
          <w:highlight w:val="none"/>
        </w:rPr>
      </w:pPr>
      <w:bookmarkStart w:id="0" w:name="_Toc22704"/>
      <w:r>
        <w:rPr>
          <w:rFonts w:hint="eastAsia" w:ascii="Times New Roman" w:hAnsi="Times New Roman" w:eastAsia="宋体" w:cs="Times New Roman"/>
          <w:highlight w:val="none"/>
          <w:lang w:val="en-US" w:eastAsia="zh-CN"/>
        </w:rPr>
        <w:t xml:space="preserve">第一章 </w:t>
      </w:r>
      <w:r>
        <w:rPr>
          <w:rFonts w:ascii="Times New Roman" w:hAnsi="Times New Roman" w:eastAsia="宋体" w:cs="Times New Roman"/>
          <w:highlight w:val="none"/>
        </w:rPr>
        <w:t>采购公告</w:t>
      </w:r>
      <w:bookmarkEnd w:id="0"/>
    </w:p>
    <w:p>
      <w:pPr>
        <w:pStyle w:val="3"/>
        <w:snapToGrid w:val="0"/>
        <w:spacing w:before="120" w:after="120" w:line="240" w:lineRule="auto"/>
        <w:ind w:firstLine="403"/>
        <w:rPr>
          <w:rFonts w:ascii="Times New Roman" w:hAnsi="Times New Roman" w:eastAsia="黑体" w:cs="Times New Roman"/>
          <w:b w:val="0"/>
          <w:sz w:val="22"/>
          <w:szCs w:val="15"/>
          <w:highlight w:val="none"/>
        </w:rPr>
      </w:pPr>
      <w:bookmarkStart w:id="1" w:name="_Toc12765"/>
      <w:bookmarkStart w:id="2" w:name="_Toc24354_WPSOffice_Level2"/>
      <w:bookmarkStart w:id="3" w:name="_Toc4489_WPSOffice_Level2"/>
      <w:bookmarkStart w:id="4" w:name="_Toc13871"/>
      <w:bookmarkStart w:id="5" w:name="_Toc6496_WPSOffice_Level2"/>
      <w:bookmarkStart w:id="6" w:name="_Toc525632585"/>
      <w:bookmarkStart w:id="7" w:name="_Toc10395_WPSOffice_Level2"/>
      <w:r>
        <w:rPr>
          <w:rFonts w:ascii="Times New Roman" w:hAnsi="Times New Roman" w:eastAsia="黑体" w:cs="Times New Roman"/>
          <w:b w:val="0"/>
          <w:sz w:val="22"/>
          <w:szCs w:val="15"/>
          <w:highlight w:val="none"/>
        </w:rPr>
        <w:t>项目简介</w:t>
      </w:r>
      <w:bookmarkEnd w:id="1"/>
      <w:bookmarkEnd w:id="2"/>
      <w:bookmarkEnd w:id="3"/>
      <w:bookmarkEnd w:id="4"/>
      <w:bookmarkEnd w:id="5"/>
      <w:bookmarkEnd w:id="6"/>
      <w:bookmarkEnd w:id="7"/>
    </w:p>
    <w:p>
      <w:pPr>
        <w:widowControl/>
        <w:ind w:firstLine="420" w:firstLineChars="200"/>
        <w:jc w:val="both"/>
        <w:rPr>
          <w:rFonts w:hint="eastAsia" w:ascii="Times New Roman" w:hAnsi="Times New Roman" w:eastAsia="宋体" w:cs="Times New Roman"/>
          <w:sz w:val="32"/>
          <w:szCs w:val="32"/>
          <w:highlight w:val="none"/>
          <w:u w:val="none"/>
          <w:lang w:val="en-US" w:eastAsia="zh-CN"/>
        </w:rPr>
      </w:pPr>
      <w:r>
        <w:rPr>
          <w:rFonts w:hint="eastAsia" w:ascii="宋体" w:hAnsi="宋体" w:eastAsia="宋体" w:cs="宋体"/>
          <w:szCs w:val="21"/>
          <w:highlight w:val="none"/>
          <w:lang w:val="en-US" w:eastAsia="zh-CN"/>
        </w:rPr>
        <w:t>1.1项目名称：</w:t>
      </w:r>
      <w:r>
        <w:rPr>
          <w:rFonts w:hint="eastAsia" w:ascii="宋体" w:hAnsi="宋体" w:eastAsia="宋体" w:cs="宋体"/>
          <w:sz w:val="21"/>
          <w:szCs w:val="21"/>
          <w:highlight w:val="none"/>
          <w:u w:val="single"/>
          <w:lang w:val="en-US" w:eastAsia="zh-CN"/>
        </w:rPr>
        <w:t>安徽省阜淮高速公桥服务区充电桩采购项目</w:t>
      </w:r>
    </w:p>
    <w:p>
      <w:pPr>
        <w:snapToGrid w:val="0"/>
        <w:spacing w:line="440" w:lineRule="exact"/>
        <w:ind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1.2 采 购 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本项目采购主体为安徽交控建设工程集团有限公司，合同主体为：安徽省经工物资有限公司</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 xml:space="preserve"> </w:t>
      </w:r>
    </w:p>
    <w:p>
      <w:pPr>
        <w:adjustRightInd w:val="0"/>
        <w:snapToGrid w:val="0"/>
        <w:spacing w:line="440" w:lineRule="exact"/>
        <w:ind w:firstLine="420" w:firstLineChars="200"/>
        <w:rPr>
          <w:rFonts w:hint="eastAsia" w:ascii="仿宋_GB2312" w:hAnsi="仿宋" w:eastAsia="仿宋_GB2312"/>
          <w:szCs w:val="21"/>
          <w:highlight w:val="none"/>
          <w:lang w:eastAsia="zh-CN"/>
        </w:rPr>
      </w:pPr>
      <w:r>
        <w:rPr>
          <w:rFonts w:hint="eastAsia" w:ascii="宋体" w:hAnsi="宋体" w:eastAsia="宋体" w:cs="宋体"/>
          <w:sz w:val="21"/>
          <w:szCs w:val="21"/>
          <w:highlight w:val="none"/>
        </w:rPr>
        <w:t>1.3 项目概况：</w:t>
      </w:r>
      <w:r>
        <w:rPr>
          <w:rFonts w:hint="eastAsia" w:ascii="宋体" w:hAnsi="宋体" w:eastAsia="宋体" w:cs="宋体"/>
          <w:sz w:val="21"/>
          <w:szCs w:val="21"/>
          <w:highlight w:val="none"/>
          <w:u w:val="single"/>
        </w:rPr>
        <w:t>在阜淮高速公路公桥服务区每侧服务区</w:t>
      </w:r>
      <w:r>
        <w:rPr>
          <w:rFonts w:hint="eastAsia" w:ascii="宋体" w:hAnsi="宋体" w:eastAsia="宋体" w:cs="宋体"/>
          <w:sz w:val="21"/>
          <w:szCs w:val="21"/>
          <w:highlight w:val="none"/>
          <w:u w:val="single"/>
          <w:lang w:val="en-US" w:eastAsia="zh-CN"/>
        </w:rPr>
        <w:t>分别</w:t>
      </w:r>
      <w:r>
        <w:rPr>
          <w:rFonts w:hint="eastAsia" w:ascii="宋体" w:hAnsi="宋体" w:eastAsia="宋体" w:cs="宋体"/>
          <w:sz w:val="21"/>
          <w:szCs w:val="21"/>
          <w:highlight w:val="none"/>
          <w:u w:val="single"/>
        </w:rPr>
        <w:t>建设6个120kW直流充电</w:t>
      </w:r>
      <w:r>
        <w:rPr>
          <w:rFonts w:hint="eastAsia" w:ascii="宋体" w:hAnsi="宋体" w:eastAsia="宋体" w:cs="宋体"/>
          <w:sz w:val="21"/>
          <w:szCs w:val="21"/>
          <w:highlight w:val="none"/>
          <w:u w:val="single"/>
          <w:lang w:eastAsia="zh-CN"/>
        </w:rPr>
        <w:t>桩</w:t>
      </w:r>
      <w:r>
        <w:rPr>
          <w:rFonts w:hint="eastAsia" w:ascii="宋体" w:hAnsi="宋体" w:eastAsia="宋体" w:cs="宋体"/>
          <w:sz w:val="21"/>
          <w:szCs w:val="21"/>
          <w:highlight w:val="none"/>
          <w:u w:val="none"/>
          <w:lang w:eastAsia="zh-CN"/>
        </w:rPr>
        <w:t>。</w:t>
      </w:r>
    </w:p>
    <w:p>
      <w:pPr>
        <w:pStyle w:val="3"/>
        <w:snapToGrid w:val="0"/>
        <w:spacing w:before="120" w:after="120" w:line="240" w:lineRule="auto"/>
        <w:ind w:firstLine="403"/>
        <w:rPr>
          <w:rFonts w:ascii="Times New Roman" w:hAnsi="Times New Roman" w:eastAsia="黑体" w:cs="Times New Roman"/>
          <w:b w:val="0"/>
          <w:sz w:val="22"/>
          <w:szCs w:val="15"/>
          <w:highlight w:val="none"/>
        </w:rPr>
      </w:pPr>
      <w:bookmarkStart w:id="8" w:name="_Toc18367_WPSOffice_Level2"/>
      <w:bookmarkStart w:id="9" w:name="_Toc10274"/>
      <w:bookmarkStart w:id="10" w:name="_Toc23266_WPSOffice_Level2"/>
      <w:bookmarkStart w:id="11" w:name="_Toc18453"/>
      <w:bookmarkStart w:id="12" w:name="_Toc525632586"/>
      <w:bookmarkStart w:id="13" w:name="_Toc17858_WPSOffice_Level2"/>
      <w:bookmarkStart w:id="14" w:name="_Toc8128_WPSOffice_Level2"/>
      <w:r>
        <w:rPr>
          <w:rFonts w:ascii="Times New Roman" w:hAnsi="Times New Roman" w:eastAsia="黑体" w:cs="Times New Roman"/>
          <w:b w:val="0"/>
          <w:sz w:val="22"/>
          <w:szCs w:val="15"/>
          <w:highlight w:val="none"/>
        </w:rPr>
        <w:t>采购说明</w:t>
      </w:r>
      <w:bookmarkEnd w:id="8"/>
      <w:bookmarkEnd w:id="9"/>
      <w:bookmarkEnd w:id="10"/>
      <w:bookmarkEnd w:id="11"/>
      <w:bookmarkEnd w:id="12"/>
      <w:bookmarkEnd w:id="13"/>
      <w:bookmarkEnd w:id="14"/>
    </w:p>
    <w:p>
      <w:pPr>
        <w:snapToGrid w:val="0"/>
        <w:spacing w:line="440" w:lineRule="exact"/>
        <w:ind w:firstLine="420" w:firstLineChars="200"/>
        <w:rPr>
          <w:rFonts w:hint="default" w:ascii="宋体" w:hAnsi="宋体" w:eastAsia="宋体" w:cs="宋体"/>
          <w:szCs w:val="21"/>
          <w:highlight w:val="none"/>
          <w:u w:val="single"/>
          <w:lang w:val="en-US" w:eastAsia="zh-CN"/>
        </w:rPr>
      </w:pPr>
      <w:bookmarkStart w:id="15" w:name="_Toc4489_WPSOffice_Level3"/>
      <w:r>
        <w:rPr>
          <w:rFonts w:hint="eastAsia" w:ascii="宋体" w:hAnsi="宋体" w:eastAsia="宋体" w:cs="宋体"/>
          <w:szCs w:val="21"/>
          <w:highlight w:val="none"/>
        </w:rPr>
        <w:t>2.1 采购方式：</w:t>
      </w:r>
      <w:bookmarkEnd w:id="15"/>
      <w:r>
        <w:rPr>
          <w:rFonts w:hint="eastAsia" w:ascii="宋体" w:hAnsi="宋体" w:eastAsia="宋体" w:cs="宋体"/>
          <w:szCs w:val="21"/>
          <w:highlight w:val="none"/>
          <w:u w:val="single"/>
          <w:lang w:val="en-US" w:eastAsia="zh-CN"/>
        </w:rPr>
        <w:t xml:space="preserve">  询比采购   </w:t>
      </w:r>
    </w:p>
    <w:p>
      <w:pPr>
        <w:snapToGrid w:val="0"/>
        <w:spacing w:line="440" w:lineRule="exact"/>
        <w:ind w:firstLine="420" w:firstLineChars="200"/>
        <w:rPr>
          <w:rFonts w:hint="eastAsia" w:ascii="宋体" w:hAnsi="宋体" w:eastAsia="宋体" w:cs="宋体"/>
          <w:szCs w:val="21"/>
          <w:highlight w:val="none"/>
        </w:rPr>
      </w:pPr>
      <w:bookmarkStart w:id="16" w:name="_Toc23266_WPSOffice_Level3"/>
      <w:r>
        <w:rPr>
          <w:rFonts w:hint="eastAsia" w:ascii="宋体" w:hAnsi="宋体" w:eastAsia="宋体" w:cs="宋体"/>
          <w:szCs w:val="21"/>
          <w:highlight w:val="none"/>
        </w:rPr>
        <w:t>2.2 资金来源及比例：</w:t>
      </w:r>
      <w:bookmarkEnd w:id="16"/>
      <w:bookmarkStart w:id="17" w:name="_Toc22379_WPSOffice_Level3"/>
      <w:r>
        <w:rPr>
          <w:rFonts w:hint="eastAsia" w:ascii="宋体" w:hAnsi="宋体" w:eastAsia="宋体" w:cs="宋体"/>
          <w:szCs w:val="21"/>
          <w:highlight w:val="none"/>
          <w:u w:val="single"/>
        </w:rPr>
        <w:t>100%来自企业自筹</w:t>
      </w:r>
    </w:p>
    <w:p>
      <w:pPr>
        <w:snapToGrid w:val="0"/>
        <w:spacing w:line="44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 采购范围：</w:t>
      </w:r>
      <w:r>
        <w:rPr>
          <w:rFonts w:hint="eastAsia" w:ascii="宋体" w:hAnsi="宋体" w:eastAsia="宋体" w:cs="宋体"/>
          <w:szCs w:val="21"/>
          <w:highlight w:val="none"/>
          <w:u w:val="single"/>
          <w:lang w:val="en-US" w:eastAsia="zh-CN"/>
        </w:rPr>
        <w:t xml:space="preserve">  12个120kW直流充电桩。                                          </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 品牌范围：</w:t>
      </w:r>
      <w:r>
        <w:rPr>
          <w:rFonts w:hint="eastAsia" w:ascii="宋体" w:hAnsi="宋体" w:eastAsia="宋体" w:cs="宋体"/>
          <w:szCs w:val="21"/>
          <w:highlight w:val="none"/>
          <w:u w:val="single"/>
          <w:lang w:val="en-US" w:eastAsia="zh-CN"/>
        </w:rPr>
        <w:t xml:space="preserve">    无。产品参数详见工程量清单。                              </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1个包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最高限价：</w:t>
      </w:r>
      <w:bookmarkEnd w:id="17"/>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52.8万元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接到甲方相应批次交货通知之日起</w:t>
      </w:r>
      <w:r>
        <w:rPr>
          <w:rFonts w:hint="eastAsia" w:ascii="宋体" w:hAnsi="宋体" w:eastAsia="宋体" w:cs="宋体"/>
          <w:kern w:val="0"/>
          <w:sz w:val="21"/>
          <w:szCs w:val="21"/>
          <w:highlight w:val="none"/>
          <w:u w:val="single"/>
          <w:lang w:val="en-US" w:eastAsia="zh-CN"/>
        </w:rPr>
        <w:t>20</w:t>
      </w:r>
      <w:r>
        <w:rPr>
          <w:rFonts w:hint="eastAsia" w:ascii="宋体" w:hAnsi="宋体" w:eastAsia="宋体" w:cs="宋体"/>
          <w:kern w:val="0"/>
          <w:sz w:val="21"/>
          <w:szCs w:val="21"/>
          <w:highlight w:val="none"/>
          <w:u w:val="single"/>
        </w:rPr>
        <w:t>个日历天内交货并安装调试</w:t>
      </w:r>
      <w:r>
        <w:rPr>
          <w:rFonts w:hint="eastAsia" w:ascii="宋体" w:hAnsi="宋体" w:eastAsia="宋体" w:cs="宋体"/>
          <w:kern w:val="0"/>
          <w:sz w:val="21"/>
          <w:szCs w:val="21"/>
          <w:highlight w:val="none"/>
          <w:u w:val="single"/>
          <w:lang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pStyle w:val="3"/>
        <w:snapToGrid w:val="0"/>
        <w:spacing w:before="120" w:after="120" w:line="240" w:lineRule="auto"/>
        <w:ind w:firstLine="403"/>
        <w:rPr>
          <w:rFonts w:ascii="Times New Roman" w:hAnsi="Times New Roman" w:eastAsia="黑体" w:cs="Times New Roman"/>
          <w:b w:val="0"/>
          <w:sz w:val="22"/>
          <w:szCs w:val="15"/>
          <w:highlight w:val="none"/>
        </w:rPr>
      </w:pPr>
      <w:bookmarkStart w:id="18" w:name="_Toc22379_WPSOffice_Level2"/>
      <w:bookmarkStart w:id="19" w:name="_Toc6388"/>
      <w:bookmarkStart w:id="20" w:name="_Toc29516_WPSOffice_Level2"/>
      <w:bookmarkStart w:id="21" w:name="_Toc31673_WPSOffice_Level2"/>
      <w:bookmarkStart w:id="22" w:name="_Toc1622_WPSOffice_Level2"/>
      <w:bookmarkStart w:id="23" w:name="_Toc525632587"/>
      <w:bookmarkStart w:id="24" w:name="_Toc3714"/>
      <w:r>
        <w:rPr>
          <w:rFonts w:ascii="Times New Roman" w:hAnsi="Times New Roman" w:eastAsia="黑体" w:cs="Times New Roman"/>
          <w:b w:val="0"/>
          <w:sz w:val="22"/>
          <w:szCs w:val="15"/>
          <w:highlight w:val="none"/>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sz w:val="22"/>
          <w:szCs w:val="15"/>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2"/>
          <w:highlight w:val="none"/>
        </w:rPr>
      </w:pPr>
      <w:r>
        <w:rPr>
          <w:rFonts w:hint="eastAsia" w:ascii="Times New Roman" w:hAnsi="Times New Roman" w:cs="Times New Roman"/>
          <w:szCs w:val="22"/>
          <w:highlight w:val="none"/>
          <w:lang w:val="en-US" w:eastAsia="zh-CN"/>
        </w:rPr>
        <w:t>（1）</w:t>
      </w:r>
      <w:r>
        <w:rPr>
          <w:rFonts w:hint="eastAsia" w:ascii="宋体" w:hAnsi="宋体" w:eastAsia="宋体" w:cs="宋体"/>
          <w:szCs w:val="22"/>
          <w:highlight w:val="none"/>
        </w:rPr>
        <w:t>资质最低要求：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Cs w:val="22"/>
          <w:highlight w:val="none"/>
          <w:lang w:val="en-US" w:eastAsia="zh-CN"/>
        </w:rPr>
      </w:pPr>
      <w:r>
        <w:rPr>
          <w:rFonts w:hint="eastAsia" w:ascii="宋体" w:hAnsi="宋体" w:eastAsia="宋体" w:cs="宋体"/>
          <w:b/>
          <w:bCs/>
          <w:szCs w:val="22"/>
          <w:highlight w:val="none"/>
        </w:rPr>
        <w:t>具备独立法人资格，持有有效的营业执照</w:t>
      </w:r>
      <w:r>
        <w:rPr>
          <w:rFonts w:hint="eastAsia" w:ascii="宋体" w:hAnsi="宋体" w:eastAsia="宋体" w:cs="宋体"/>
          <w:b/>
          <w:bCs/>
          <w:szCs w:val="22"/>
          <w:highlight w:val="none"/>
          <w:lang w:eastAsia="zh-CN"/>
        </w:rPr>
        <w:t>；</w:t>
      </w:r>
      <w:r>
        <w:rPr>
          <w:rFonts w:hint="eastAsia" w:ascii="宋体" w:hAnsi="宋体" w:eastAsia="宋体" w:cs="宋体"/>
          <w:b/>
          <w:bCs/>
          <w:szCs w:val="22"/>
          <w:highlight w:val="none"/>
        </w:rPr>
        <w:t>具有独立完成本项目的相关能力的生产厂家或制造商</w:t>
      </w:r>
      <w:r>
        <w:rPr>
          <w:rFonts w:hint="eastAsia" w:ascii="宋体" w:hAnsi="宋体" w:eastAsia="宋体" w:cs="宋体"/>
          <w:b/>
          <w:bCs/>
          <w:szCs w:val="22"/>
          <w:highlight w:val="none"/>
          <w:lang w:eastAsia="zh-CN"/>
        </w:rPr>
        <w:t>。</w:t>
      </w:r>
      <w:r>
        <w:rPr>
          <w:rFonts w:hint="eastAsia" w:ascii="宋体" w:hAnsi="宋体" w:eastAsia="宋体" w:cs="宋体"/>
          <w:szCs w:val="22"/>
          <w:highlight w:val="none"/>
          <w:lang w:val="en-US" w:eastAsia="zh-CN"/>
        </w:rPr>
        <w:t xml:space="preserve">  </w:t>
      </w:r>
    </w:p>
    <w:p>
      <w:pPr>
        <w:numPr>
          <w:ilvl w:val="0"/>
          <w:numId w:val="0"/>
        </w:numPr>
        <w:snapToGrid w:val="0"/>
        <w:spacing w:line="440" w:lineRule="exact"/>
        <w:ind w:firstLine="420" w:firstLineChars="200"/>
        <w:rPr>
          <w:rFonts w:hint="eastAsia" w:ascii="Times New Roman" w:hAnsi="Times New Roman" w:cs="Times New Roman"/>
          <w:szCs w:val="22"/>
          <w:highlight w:val="none"/>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2</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业绩最低要求：</w:t>
      </w:r>
    </w:p>
    <w:p>
      <w:pPr>
        <w:pStyle w:val="7"/>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至少提供1个自2021年1月1日以来，单项合同额不低于100万元的</w:t>
      </w:r>
      <w:r>
        <w:rPr>
          <w:rFonts w:hint="eastAsia" w:ascii="Times New Roman" w:hAnsi="Times New Roman" w:cs="Times New Roman"/>
          <w:b/>
          <w:bCs/>
          <w:color w:val="auto"/>
          <w:szCs w:val="21"/>
          <w:highlight w:val="none"/>
          <w:u w:val="single"/>
          <w:lang w:val="en-US" w:eastAsia="zh-CN"/>
        </w:rPr>
        <w:t>充电桩销售合同业绩</w:t>
      </w:r>
      <w:r>
        <w:rPr>
          <w:rFonts w:hint="eastAsia" w:ascii="宋体" w:hAnsi="宋体" w:eastAsia="宋体" w:cs="宋体"/>
          <w:b/>
          <w:bCs/>
          <w:highlight w:val="none"/>
          <w:u w:val="single"/>
          <w:lang w:val="en-US" w:eastAsia="zh-CN"/>
        </w:rPr>
        <w:t xml:space="preserve"> </w:t>
      </w:r>
    </w:p>
    <w:p>
      <w:pPr>
        <w:numPr>
          <w:ilvl w:val="255"/>
          <w:numId w:val="0"/>
        </w:numPr>
        <w:snapToGrid w:val="0"/>
        <w:spacing w:line="440" w:lineRule="exact"/>
        <w:ind w:firstLine="420" w:firstLineChars="200"/>
        <w:rPr>
          <w:rFonts w:hint="eastAsia" w:ascii="Times New Roman" w:hAnsi="Times New Roman" w:cs="Times New Roman" w:eastAsiaTheme="minorEastAsia"/>
          <w:szCs w:val="22"/>
          <w:highlight w:val="none"/>
          <w:lang w:eastAsia="zh-CN"/>
        </w:rPr>
      </w:pPr>
      <w:r>
        <w:rPr>
          <w:rFonts w:hint="eastAsia" w:asciiTheme="minorEastAsia" w:hAnsiTheme="minorEastAsia" w:eastAsiaTheme="minorEastAsia" w:cstheme="minorEastAsia"/>
          <w:szCs w:val="22"/>
          <w:highlight w:val="none"/>
        </w:rPr>
        <w:t>（</w:t>
      </w:r>
      <w:r>
        <w:rPr>
          <w:rFonts w:hint="eastAsia" w:asciiTheme="minorEastAsia" w:hAnsiTheme="minorEastAsia" w:cstheme="minorEastAsia"/>
          <w:szCs w:val="22"/>
          <w:highlight w:val="none"/>
          <w:lang w:val="en-US" w:eastAsia="zh-CN"/>
        </w:rPr>
        <w:t>3</w:t>
      </w:r>
      <w:r>
        <w:rPr>
          <w:rFonts w:hint="eastAsia" w:asciiTheme="minorEastAsia" w:hAnsiTheme="minorEastAsia" w:eastAsiaTheme="minorEastAsia" w:cstheme="minorEastAsia"/>
          <w:szCs w:val="22"/>
          <w:highlight w:val="none"/>
        </w:rPr>
        <w:t>）</w:t>
      </w:r>
      <w:r>
        <w:rPr>
          <w:rFonts w:ascii="Times New Roman" w:hAnsi="Times New Roman" w:cs="Times New Roman"/>
          <w:szCs w:val="22"/>
          <w:highlight w:val="none"/>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①</w:t>
      </w:r>
      <w:r>
        <w:rPr>
          <w:rFonts w:hint="eastAsia" w:ascii="Times New Roman" w:hAnsi="Times New Roman" w:cs="Times New Roman"/>
          <w:szCs w:val="22"/>
          <w:highlight w:val="none"/>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highlight w:val="none"/>
        </w:rPr>
      </w:pPr>
      <w:r>
        <w:rPr>
          <w:rFonts w:hint="eastAsia" w:ascii="Times New Roman" w:hAnsi="Times New Roman" w:cs="Times New Roman"/>
          <w:szCs w:val="22"/>
          <w:highlight w:val="none"/>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③</w:t>
      </w:r>
      <w:r>
        <w:rPr>
          <w:rFonts w:ascii="Times New Roman" w:hAnsi="Times New Roman" w:cs="Times New Roman"/>
          <w:szCs w:val="22"/>
          <w:highlight w:val="none"/>
        </w:rPr>
        <w:t>在国家企业信用信息公示系统（http://www.gsxt.gov.cn）中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④</w:t>
      </w:r>
      <w:r>
        <w:rPr>
          <w:rFonts w:ascii="Times New Roman" w:hAnsi="Times New Roman" w:cs="Times New Roman"/>
          <w:szCs w:val="22"/>
          <w:highlight w:val="none"/>
        </w:rPr>
        <w:t>在“信用中国”网站（http://www.creditchina.gov.cn）中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⑤</w:t>
      </w:r>
      <w:r>
        <w:rPr>
          <w:rFonts w:ascii="Times New Roman" w:hAnsi="Times New Roman" w:cs="Times New Roman"/>
          <w:szCs w:val="22"/>
          <w:highlight w:val="none"/>
        </w:rPr>
        <w:t>在近三年内（自</w:t>
      </w:r>
      <w:r>
        <w:rPr>
          <w:rFonts w:hint="eastAsia" w:ascii="Times New Roman" w:hAnsi="Times New Roman" w:cs="Times New Roman"/>
          <w:szCs w:val="22"/>
          <w:highlight w:val="none"/>
        </w:rPr>
        <w:t>响应文件递交截止之日</w:t>
      </w:r>
      <w:r>
        <w:rPr>
          <w:rFonts w:ascii="Times New Roman" w:hAnsi="Times New Roman" w:cs="Times New Roman"/>
          <w:szCs w:val="22"/>
          <w:highlight w:val="none"/>
        </w:rPr>
        <w:t>向前追溯3年）供应商或其法定代表人、拟委任的项目经理</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如有</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未</w:t>
      </w:r>
      <w:r>
        <w:rPr>
          <w:rFonts w:ascii="Times New Roman" w:hAnsi="Times New Roman" w:cs="Times New Roman"/>
          <w:szCs w:val="22"/>
          <w:highlight w:val="none"/>
        </w:rPr>
        <w:t>有行贿犯罪行为。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highlight w:val="none"/>
        </w:rPr>
      </w:pPr>
      <w:r>
        <w:rPr>
          <w:rFonts w:hint="eastAsia" w:ascii="Times New Roman" w:hAnsi="Times New Roman"/>
          <w:highlight w:val="none"/>
        </w:rPr>
        <w:t>⑥其他要求：</w:t>
      </w:r>
      <w:r>
        <w:rPr>
          <w:rFonts w:hint="eastAsia" w:ascii="Times New Roman" w:hAnsi="Times New Roman"/>
          <w:highlight w:val="none"/>
          <w:u w:val="single"/>
          <w:lang w:val="en-US" w:eastAsia="zh-CN"/>
        </w:rPr>
        <w:t xml:space="preserve">        /        </w:t>
      </w:r>
      <w:r>
        <w:rPr>
          <w:rFonts w:hint="eastAsia" w:ascii="Times New Roman" w:hAnsi="Times New Roman"/>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3.2 联合体：本次采购</w:t>
      </w:r>
      <w:r>
        <w:rPr>
          <w:rFonts w:hint="eastAsia" w:ascii="Times New Roman" w:hAnsi="Times New Roman" w:cs="Times New Roman"/>
          <w:szCs w:val="22"/>
          <w:highlight w:val="none"/>
        </w:rPr>
        <w:t>不接受</w:t>
      </w:r>
      <w:r>
        <w:rPr>
          <w:rFonts w:ascii="Times New Roman" w:hAnsi="Times New Roman" w:cs="Times New Roman"/>
          <w:szCs w:val="22"/>
          <w:highlight w:val="none"/>
        </w:rPr>
        <w:t>联合体报价。</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3.3 单位负责人为同一人或者存在控股、管理关系的不同单位，不得同时参加同一合同包报价，否则相关响应文件均无效。</w:t>
      </w:r>
    </w:p>
    <w:p>
      <w:pPr>
        <w:pStyle w:val="3"/>
        <w:snapToGrid w:val="0"/>
        <w:spacing w:before="120" w:after="120" w:line="240" w:lineRule="auto"/>
        <w:ind w:firstLine="403"/>
        <w:rPr>
          <w:rFonts w:ascii="Times New Roman" w:hAnsi="Times New Roman" w:eastAsia="黑体" w:cs="Times New Roman"/>
          <w:b w:val="0"/>
          <w:sz w:val="22"/>
          <w:szCs w:val="15"/>
          <w:highlight w:val="none"/>
        </w:rPr>
      </w:pPr>
      <w:bookmarkStart w:id="25" w:name="_Toc525632588"/>
      <w:bookmarkStart w:id="26" w:name="_Toc2996_WPSOffice_Level2"/>
      <w:bookmarkStart w:id="27" w:name="_Toc1994"/>
      <w:bookmarkStart w:id="28" w:name="_Toc25666_WPSOffice_Level2"/>
      <w:bookmarkStart w:id="29" w:name="_Toc4109_WPSOffice_Level2"/>
      <w:bookmarkStart w:id="30" w:name="_Toc29452_WPSOffice_Level2"/>
      <w:bookmarkStart w:id="31" w:name="_Toc4751"/>
      <w:r>
        <w:rPr>
          <w:rFonts w:hint="eastAsia" w:ascii="Times New Roman" w:hAnsi="Times New Roman" w:eastAsia="黑体" w:cs="Times New Roman"/>
          <w:b w:val="0"/>
          <w:sz w:val="22"/>
          <w:szCs w:val="15"/>
          <w:highlight w:val="none"/>
        </w:rPr>
        <w:t>询比文件</w:t>
      </w:r>
      <w:r>
        <w:rPr>
          <w:rFonts w:ascii="Times New Roman" w:hAnsi="Times New Roman" w:eastAsia="黑体" w:cs="Times New Roman"/>
          <w:b w:val="0"/>
          <w:sz w:val="22"/>
          <w:szCs w:val="15"/>
          <w:highlight w:val="none"/>
        </w:rPr>
        <w:t>的获取</w:t>
      </w:r>
      <w:bookmarkEnd w:id="25"/>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2"/>
          <w:highlight w:val="none"/>
        </w:rPr>
      </w:pPr>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bookmarkStart w:id="501" w:name="_GoBack"/>
      <w:bookmarkEnd w:id="501"/>
    </w:p>
    <w:p>
      <w:pPr>
        <w:pStyle w:val="3"/>
        <w:snapToGrid w:val="0"/>
        <w:spacing w:before="120" w:after="120" w:line="240" w:lineRule="auto"/>
        <w:ind w:firstLine="403"/>
        <w:rPr>
          <w:rFonts w:hint="eastAsia" w:ascii="Times New Roman" w:hAnsi="Times New Roman" w:eastAsia="黑体" w:cs="Times New Roman"/>
          <w:b w:val="0"/>
          <w:sz w:val="22"/>
          <w:szCs w:val="15"/>
          <w:highlight w:val="none"/>
        </w:rPr>
      </w:pPr>
      <w:bookmarkStart w:id="32" w:name="_Toc525632589"/>
      <w:bookmarkStart w:id="33" w:name="_Toc726"/>
      <w:r>
        <w:rPr>
          <w:rFonts w:hint="eastAsia" w:ascii="Times New Roman" w:hAnsi="Times New Roman" w:eastAsia="黑体" w:cs="Times New Roman"/>
          <w:b w:val="0"/>
          <w:sz w:val="22"/>
          <w:szCs w:val="15"/>
          <w:highlight w:val="none"/>
        </w:rPr>
        <w:t>响应文件的递交</w:t>
      </w:r>
      <w:bookmarkEnd w:id="32"/>
      <w:bookmarkEnd w:id="33"/>
    </w:p>
    <w:p>
      <w:pPr>
        <w:pStyle w:val="17"/>
        <w:keepNext w:val="0"/>
        <w:keepLines w:val="0"/>
        <w:pageBreakBefore w:val="0"/>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imes New Roman" w:hAnsi="Times New Roman" w:cs="Times New Roman" w:eastAsiaTheme="minorEastAsia"/>
          <w:kern w:val="2"/>
          <w:sz w:val="21"/>
          <w:szCs w:val="22"/>
          <w:highlight w:val="none"/>
          <w:u w:val="none"/>
          <w:lang w:val="en-US" w:eastAsia="zh-CN"/>
        </w:rPr>
      </w:pPr>
      <w:bookmarkStart w:id="34" w:name="_Toc22719"/>
      <w:bookmarkStart w:id="35" w:name="_Toc525632591"/>
      <w:r>
        <w:rPr>
          <w:rFonts w:hint="eastAsia" w:asciiTheme="minorEastAsia" w:hAnsiTheme="minorEastAsia" w:eastAsiaTheme="minorEastAsia" w:cstheme="minorEastAsia"/>
          <w:sz w:val="21"/>
          <w:szCs w:val="21"/>
          <w:highlight w:val="none"/>
        </w:rPr>
        <w:t>响应文件递交的截止时间</w:t>
      </w:r>
      <w:r>
        <w:rPr>
          <w:rFonts w:hint="eastAsia" w:asciiTheme="minorEastAsia" w:hAnsiTheme="minorEastAsia" w:eastAsiaTheme="minorEastAsia" w:cstheme="minorEastAsia"/>
          <w:sz w:val="21"/>
          <w:szCs w:val="21"/>
          <w:highlight w:val="none"/>
          <w:lang w:val="en-US" w:eastAsia="zh-CN"/>
        </w:rPr>
        <w:t>为</w:t>
      </w:r>
      <w:r>
        <w:rPr>
          <w:rFonts w:hint="eastAsia" w:asciiTheme="minorEastAsia" w:hAnsiTheme="minorEastAsia" w:eastAsiaTheme="minorEastAsia" w:cstheme="minorEastAsia"/>
          <w:b/>
          <w:bCs/>
          <w:sz w:val="21"/>
          <w:szCs w:val="21"/>
          <w:highlight w:val="none"/>
          <w:u w:val="single"/>
          <w:lang w:val="en-US" w:eastAsia="zh-CN"/>
        </w:rPr>
        <w:t xml:space="preserve"> 2024 </w:t>
      </w:r>
      <w:r>
        <w:rPr>
          <w:rFonts w:hint="eastAsia" w:asciiTheme="minorEastAsia" w:hAnsiTheme="minorEastAsia" w:eastAsiaTheme="minorEastAsia" w:cstheme="minorEastAsia"/>
          <w:b/>
          <w:bCs/>
          <w:sz w:val="21"/>
          <w:szCs w:val="21"/>
          <w:highlight w:val="none"/>
          <w:lang w:val="en-US" w:eastAsia="zh-CN"/>
        </w:rPr>
        <w:t>年</w:t>
      </w:r>
      <w:r>
        <w:rPr>
          <w:rFonts w:hint="eastAsia" w:asciiTheme="minorEastAsia" w:hAnsiTheme="minorEastAsia" w:eastAsiaTheme="minorEastAsia" w:cstheme="minorEastAsia"/>
          <w:b/>
          <w:bCs/>
          <w:sz w:val="21"/>
          <w:szCs w:val="21"/>
          <w:highlight w:val="none"/>
          <w:u w:val="single"/>
          <w:lang w:val="en-US" w:eastAsia="zh-CN"/>
        </w:rPr>
        <w:t xml:space="preserve"> 7 </w:t>
      </w:r>
      <w:r>
        <w:rPr>
          <w:rFonts w:hint="eastAsia" w:asciiTheme="minorEastAsia" w:hAnsiTheme="minorEastAsia" w:eastAsiaTheme="minorEastAsia" w:cstheme="minorEastAsia"/>
          <w:b/>
          <w:bCs/>
          <w:sz w:val="21"/>
          <w:szCs w:val="21"/>
          <w:highlight w:val="none"/>
          <w:lang w:val="en-US" w:eastAsia="zh-CN"/>
        </w:rPr>
        <w:t>月</w:t>
      </w:r>
      <w:r>
        <w:rPr>
          <w:rFonts w:hint="eastAsia" w:asciiTheme="minorEastAsia" w:hAnsiTheme="minorEastAsia" w:eastAsiaTheme="minorEastAsia" w:cstheme="minorEastAsia"/>
          <w:b/>
          <w:bCs/>
          <w:sz w:val="21"/>
          <w:szCs w:val="21"/>
          <w:highlight w:val="none"/>
          <w:u w:val="single"/>
          <w:lang w:val="en-US" w:eastAsia="zh-CN"/>
        </w:rPr>
        <w:t xml:space="preserve"> 8</w:t>
      </w:r>
      <w:r>
        <w:rPr>
          <w:rFonts w:hint="eastAsia" w:asciiTheme="minorEastAsia" w:hAnsiTheme="minorEastAsia" w:eastAsiaTheme="minorEastAsia" w:cstheme="minorEastAsia"/>
          <w:b/>
          <w:bCs/>
          <w:sz w:val="21"/>
          <w:szCs w:val="21"/>
          <w:highlight w:val="none"/>
          <w:lang w:val="en-US" w:eastAsia="zh-CN"/>
        </w:rPr>
        <w:t>日</w:t>
      </w:r>
      <w:r>
        <w:rPr>
          <w:rFonts w:hint="eastAsia" w:asciiTheme="minorEastAsia" w:hAnsiTheme="minorEastAsia" w:eastAsiaTheme="minorEastAsia" w:cstheme="minorEastAsia"/>
          <w:b/>
          <w:bCs/>
          <w:sz w:val="21"/>
          <w:szCs w:val="21"/>
          <w:highlight w:val="none"/>
          <w:u w:val="single"/>
          <w:lang w:val="en-US" w:eastAsia="zh-CN"/>
        </w:rPr>
        <w:t xml:space="preserve"> 14</w:t>
      </w:r>
      <w:r>
        <w:rPr>
          <w:rFonts w:hint="eastAsia" w:asciiTheme="minorEastAsia" w:hAnsiTheme="minorEastAsia" w:eastAsiaTheme="minorEastAsia" w:cstheme="minorEastAsia"/>
          <w:b/>
          <w:bCs/>
          <w:sz w:val="21"/>
          <w:szCs w:val="21"/>
          <w:highlight w:val="none"/>
          <w:lang w:val="en-US" w:eastAsia="zh-CN"/>
        </w:rPr>
        <w:t>时</w:t>
      </w:r>
      <w:r>
        <w:rPr>
          <w:rFonts w:hint="eastAsia" w:asciiTheme="minorEastAsia" w:hAnsiTheme="minorEastAsia" w:eastAsiaTheme="minorEastAsia" w:cstheme="minorEastAsia"/>
          <w:b/>
          <w:bCs/>
          <w:sz w:val="21"/>
          <w:szCs w:val="21"/>
          <w:highlight w:val="none"/>
          <w:u w:val="single"/>
          <w:lang w:val="en-US" w:eastAsia="zh-CN"/>
        </w:rPr>
        <w:t xml:space="preserve"> 30 </w:t>
      </w:r>
      <w:r>
        <w:rPr>
          <w:rFonts w:hint="eastAsia" w:asciiTheme="minorEastAsia" w:hAnsiTheme="minorEastAsia" w:eastAsiaTheme="minorEastAsia" w:cstheme="minorEastAsia"/>
          <w:b/>
          <w:bCs/>
          <w:sz w:val="21"/>
          <w:szCs w:val="21"/>
          <w:highlight w:val="none"/>
          <w:lang w:val="en-US" w:eastAsia="zh-CN"/>
        </w:rPr>
        <w:t>分</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供应商的法定代表人或其授权代理人应在文件递交截止时间前</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将响应文件递交</w:t>
      </w:r>
      <w:r>
        <w:rPr>
          <w:rFonts w:hint="eastAsia" w:asciiTheme="minorEastAsia" w:hAnsiTheme="minorEastAsia" w:eastAsiaTheme="minorEastAsia" w:cstheme="minorEastAsia"/>
          <w:sz w:val="21"/>
          <w:szCs w:val="21"/>
          <w:highlight w:val="none"/>
          <w:u w:val="none"/>
          <w:lang w:val="en-US" w:eastAsia="zh-CN"/>
        </w:rPr>
        <w:t>至</w:t>
      </w:r>
      <w:r>
        <w:rPr>
          <w:rFonts w:hint="eastAsia" w:asciiTheme="minorEastAsia" w:hAnsiTheme="minorEastAsia" w:eastAsiaTheme="minorEastAsia" w:cstheme="minorEastAsia"/>
          <w:kern w:val="2"/>
          <w:sz w:val="21"/>
          <w:szCs w:val="21"/>
          <w:highlight w:val="none"/>
          <w:u w:val="none"/>
        </w:rPr>
        <w:t>安徽省合肥市包河区西藏路1</w:t>
      </w:r>
      <w:r>
        <w:rPr>
          <w:rFonts w:hint="eastAsia" w:asciiTheme="minorEastAsia" w:hAnsiTheme="minorEastAsia" w:eastAsiaTheme="minorEastAsia" w:cstheme="minorEastAsia"/>
          <w:kern w:val="2"/>
          <w:sz w:val="21"/>
          <w:szCs w:val="21"/>
          <w:highlight w:val="none"/>
          <w:u w:val="none"/>
          <w:lang w:val="en-US" w:eastAsia="zh-CN"/>
        </w:rPr>
        <w:t>588</w:t>
      </w:r>
      <w:r>
        <w:rPr>
          <w:rFonts w:hint="eastAsia" w:asciiTheme="minorEastAsia" w:hAnsiTheme="minorEastAsia" w:eastAsiaTheme="minorEastAsia" w:cstheme="minorEastAsia"/>
          <w:kern w:val="2"/>
          <w:sz w:val="21"/>
          <w:szCs w:val="21"/>
          <w:highlight w:val="none"/>
          <w:u w:val="none"/>
        </w:rPr>
        <w:t>号高速时代广场C1栋</w:t>
      </w:r>
      <w:r>
        <w:rPr>
          <w:rFonts w:hint="eastAsia" w:asciiTheme="minorEastAsia" w:hAnsiTheme="minorEastAsia" w:eastAsiaTheme="minorEastAsia" w:cstheme="minorEastAsia"/>
          <w:kern w:val="2"/>
          <w:sz w:val="21"/>
          <w:szCs w:val="21"/>
          <w:highlight w:val="none"/>
          <w:u w:val="none"/>
          <w:lang w:val="en-US" w:eastAsia="zh-CN"/>
        </w:rPr>
        <w:t>1008</w:t>
      </w:r>
      <w:r>
        <w:rPr>
          <w:rFonts w:hint="eastAsia" w:asciiTheme="minorEastAsia" w:hAnsiTheme="minorEastAsia" w:eastAsiaTheme="minorEastAsia" w:cstheme="minorEastAsia"/>
          <w:kern w:val="2"/>
          <w:sz w:val="21"/>
          <w:szCs w:val="21"/>
          <w:highlight w:val="none"/>
          <w:u w:val="none"/>
        </w:rPr>
        <w:t>安徽</w:t>
      </w:r>
      <w:r>
        <w:rPr>
          <w:rFonts w:hint="eastAsia" w:asciiTheme="minorEastAsia" w:hAnsiTheme="minorEastAsia" w:eastAsiaTheme="minorEastAsia" w:cstheme="minorEastAsia"/>
          <w:kern w:val="2"/>
          <w:sz w:val="21"/>
          <w:szCs w:val="21"/>
          <w:highlight w:val="none"/>
          <w:u w:val="none"/>
          <w:lang w:val="en-US" w:eastAsia="zh-CN"/>
        </w:rPr>
        <w:t>省经工物资有限公司</w:t>
      </w:r>
      <w:r>
        <w:rPr>
          <w:rFonts w:hint="eastAsia" w:asciiTheme="minorEastAsia" w:hAnsiTheme="minorEastAsia" w:eastAsiaTheme="minorEastAsia" w:cstheme="minorEastAsia"/>
          <w:kern w:val="2"/>
          <w:sz w:val="21"/>
          <w:szCs w:val="21"/>
          <w:highlight w:val="none"/>
          <w:lang w:eastAsia="zh-CN"/>
        </w:rPr>
        <w:t>。</w:t>
      </w:r>
    </w:p>
    <w:p>
      <w:pPr>
        <w:pStyle w:val="3"/>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响应文件启封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
          <w:bCs/>
          <w:szCs w:val="22"/>
          <w:highlight w:val="none"/>
          <w:lang w:val="en-US" w:eastAsia="zh-CN"/>
        </w:rPr>
      </w:pPr>
      <w:r>
        <w:rPr>
          <w:rFonts w:ascii="Times New Roman" w:hAnsi="Times New Roman" w:cs="Times New Roman"/>
          <w:szCs w:val="22"/>
          <w:highlight w:val="none"/>
        </w:rPr>
        <w:t>响应文件的递交截止时间到后，采购人将于</w:t>
      </w:r>
      <w:r>
        <w:rPr>
          <w:rFonts w:hint="eastAsia" w:ascii="Times New Roman" w:hAnsi="Times New Roman" w:cs="Times New Roman"/>
          <w:szCs w:val="22"/>
          <w:highlight w:val="none"/>
          <w:u w:val="single"/>
        </w:rPr>
        <w:t>安徽省合肥市包河区西藏路1</w:t>
      </w:r>
      <w:r>
        <w:rPr>
          <w:rFonts w:hint="eastAsia" w:ascii="Times New Roman" w:hAnsi="Times New Roman" w:cs="Times New Roman"/>
          <w:szCs w:val="22"/>
          <w:highlight w:val="none"/>
          <w:u w:val="single"/>
          <w:lang w:val="en-US" w:eastAsia="zh-CN"/>
        </w:rPr>
        <w:t>588</w:t>
      </w:r>
      <w:r>
        <w:rPr>
          <w:rFonts w:hint="eastAsia" w:ascii="Times New Roman" w:hAnsi="Times New Roman" w:cs="Times New Roman"/>
          <w:szCs w:val="22"/>
          <w:highlight w:val="none"/>
          <w:u w:val="single"/>
        </w:rPr>
        <w:t>号高速时代广场C1栋</w:t>
      </w:r>
      <w:r>
        <w:rPr>
          <w:rFonts w:hint="eastAsia" w:ascii="Times New Roman" w:hAnsi="Times New Roman" w:cs="Times New Roman"/>
          <w:szCs w:val="22"/>
          <w:highlight w:val="none"/>
          <w:u w:val="single"/>
          <w:lang w:val="en-US" w:eastAsia="zh-CN"/>
        </w:rPr>
        <w:t>1008</w:t>
      </w:r>
      <w:r>
        <w:rPr>
          <w:rFonts w:hint="eastAsia" w:ascii="Times New Roman" w:hAnsi="Times New Roman" w:cs="Times New Roman" w:eastAsiaTheme="minorEastAsia"/>
          <w:kern w:val="2"/>
          <w:sz w:val="21"/>
          <w:szCs w:val="22"/>
          <w:highlight w:val="none"/>
          <w:u w:val="single"/>
        </w:rPr>
        <w:t>安徽</w:t>
      </w:r>
      <w:r>
        <w:rPr>
          <w:rFonts w:hint="eastAsia" w:ascii="Times New Roman" w:hAnsi="Times New Roman" w:cs="Times New Roman" w:eastAsiaTheme="minorEastAsia"/>
          <w:kern w:val="2"/>
          <w:sz w:val="21"/>
          <w:szCs w:val="22"/>
          <w:highlight w:val="none"/>
          <w:u w:val="single"/>
          <w:lang w:val="en-US" w:eastAsia="zh-CN"/>
        </w:rPr>
        <w:t>省经工物资有限公司</w:t>
      </w:r>
      <w:r>
        <w:rPr>
          <w:rFonts w:ascii="Times New Roman" w:hAnsi="Times New Roman" w:cs="Times New Roman"/>
          <w:szCs w:val="22"/>
          <w:highlight w:val="none"/>
        </w:rPr>
        <w:t>（地点）</w:t>
      </w:r>
      <w:r>
        <w:rPr>
          <w:rFonts w:hint="eastAsia" w:ascii="Times New Roman" w:hAnsi="Times New Roman" w:cs="Times New Roman"/>
          <w:szCs w:val="22"/>
          <w:highlight w:val="none"/>
        </w:rPr>
        <w:t>现场</w:t>
      </w:r>
      <w:r>
        <w:rPr>
          <w:rFonts w:ascii="Times New Roman" w:hAnsi="Times New Roman" w:cs="Times New Roman"/>
          <w:szCs w:val="22"/>
          <w:highlight w:val="none"/>
        </w:rPr>
        <w:t>组织进行响应文件的启</w:t>
      </w:r>
      <w:r>
        <w:rPr>
          <w:rFonts w:hint="eastAsia" w:ascii="Times New Roman" w:hAnsi="Times New Roman" w:cs="Times New Roman"/>
          <w:szCs w:val="22"/>
          <w:highlight w:val="none"/>
        </w:rPr>
        <w:t>封。</w:t>
      </w:r>
    </w:p>
    <w:p>
      <w:pPr>
        <w:pStyle w:val="3"/>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响应保证金</w:t>
      </w:r>
    </w:p>
    <w:p>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pPr>
        <w:pStyle w:val="17"/>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本项目响应保证金：</w:t>
      </w:r>
      <w:r>
        <w:rPr>
          <w:rFonts w:hint="eastAsia" w:ascii="宋体" w:hAnsi="宋体" w:eastAsia="宋体" w:cs="宋体"/>
          <w:b/>
          <w:bCs/>
          <w:kern w:val="2"/>
          <w:sz w:val="21"/>
          <w:szCs w:val="21"/>
          <w:highlight w:val="none"/>
          <w:u w:val="single"/>
          <w:lang w:val="en-US" w:eastAsia="zh-CN"/>
        </w:rPr>
        <w:t xml:space="preserve"> </w:t>
      </w:r>
      <w:r>
        <w:rPr>
          <w:rFonts w:hint="eastAsia" w:cs="宋体"/>
          <w:b/>
          <w:bCs/>
          <w:kern w:val="2"/>
          <w:sz w:val="21"/>
          <w:szCs w:val="21"/>
          <w:highlight w:val="none"/>
          <w:u w:val="single"/>
          <w:lang w:val="en-US" w:eastAsia="zh-CN"/>
        </w:rPr>
        <w:t>10000</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eastAsia="宋体" w:cs="宋体"/>
          <w:b/>
          <w:bCs/>
          <w:kern w:val="2"/>
          <w:sz w:val="21"/>
          <w:szCs w:val="21"/>
          <w:highlight w:val="none"/>
        </w:rPr>
        <w:t>元（大写：</w:t>
      </w:r>
      <w:r>
        <w:rPr>
          <w:rFonts w:hint="eastAsia" w:cs="宋体"/>
          <w:b/>
          <w:bCs/>
          <w:kern w:val="2"/>
          <w:sz w:val="21"/>
          <w:szCs w:val="21"/>
          <w:highlight w:val="none"/>
          <w:u w:val="single"/>
          <w:lang w:val="en-US" w:eastAsia="zh-CN"/>
        </w:rPr>
        <w:t xml:space="preserve"> 壹万元整</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eastAsia="宋体" w:cs="宋体"/>
          <w:b/>
          <w:bCs/>
          <w:kern w:val="2"/>
          <w:sz w:val="21"/>
          <w:szCs w:val="21"/>
          <w:highlight w:val="none"/>
          <w:lang w:val="en-US" w:eastAsia="zh-CN"/>
        </w:rPr>
        <w:t xml:space="preserve"> </w:t>
      </w:r>
      <w:r>
        <w:rPr>
          <w:rFonts w:hint="eastAsia" w:ascii="宋体" w:hAnsi="宋体" w:eastAsia="宋体" w:cs="宋体"/>
          <w:b/>
          <w:bCs/>
          <w:kern w:val="2"/>
          <w:sz w:val="21"/>
          <w:szCs w:val="21"/>
          <w:highlight w:val="none"/>
        </w:rPr>
        <w:t>）。</w:t>
      </w:r>
    </w:p>
    <w:p>
      <w:pPr>
        <w:pStyle w:val="17"/>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sz w:val="21"/>
          <w:szCs w:val="21"/>
          <w:highlight w:val="none"/>
        </w:rPr>
      </w:pPr>
      <w:r>
        <w:rPr>
          <w:rFonts w:hint="eastAsia" w:ascii="宋体" w:hAnsi="宋体" w:eastAsia="宋体" w:cs="宋体"/>
          <w:kern w:val="2"/>
          <w:sz w:val="21"/>
          <w:szCs w:val="21"/>
          <w:highlight w:val="none"/>
        </w:rPr>
        <w:t>报价方应向询价方以下账户递交询价响应保证金，以转账方式从报价方账户转出</w:t>
      </w:r>
      <w:r>
        <w:rPr>
          <w:rFonts w:hint="eastAsia" w:ascii="宋体" w:hAnsi="宋体" w:eastAsia="宋体" w:cs="宋体"/>
          <w:b w:val="0"/>
          <w:bCs w:val="0"/>
          <w:kern w:val="2"/>
          <w:sz w:val="21"/>
          <w:szCs w:val="21"/>
          <w:highlight w:val="none"/>
        </w:rPr>
        <w:t>，</w:t>
      </w:r>
      <w:r>
        <w:rPr>
          <w:rFonts w:hint="eastAsia" w:ascii="宋体" w:hAnsi="宋体" w:eastAsia="宋体" w:cs="宋体"/>
          <w:b/>
          <w:bCs/>
          <w:kern w:val="2"/>
          <w:sz w:val="21"/>
          <w:szCs w:val="21"/>
          <w:highlight w:val="none"/>
        </w:rPr>
        <w:t>并将银行的电子回执单作为其响应文件的组成部分。</w:t>
      </w:r>
    </w:p>
    <w:p>
      <w:pPr>
        <w:pStyle w:val="17"/>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rPr>
        <w:t>户名：安徽</w:t>
      </w:r>
      <w:r>
        <w:rPr>
          <w:rFonts w:hint="eastAsia" w:ascii="宋体" w:hAnsi="宋体" w:eastAsia="宋体" w:cs="宋体"/>
          <w:b/>
          <w:bCs/>
          <w:kern w:val="2"/>
          <w:sz w:val="21"/>
          <w:szCs w:val="21"/>
          <w:highlight w:val="none"/>
          <w:lang w:val="en-US" w:eastAsia="zh-CN"/>
        </w:rPr>
        <w:t>省经工物</w:t>
      </w:r>
      <w:r>
        <w:rPr>
          <w:rFonts w:hint="eastAsia" w:cs="宋体"/>
          <w:b/>
          <w:bCs/>
          <w:kern w:val="2"/>
          <w:sz w:val="21"/>
          <w:szCs w:val="21"/>
          <w:highlight w:val="none"/>
          <w:lang w:val="en-US" w:eastAsia="zh-CN"/>
        </w:rPr>
        <w:t>资</w:t>
      </w:r>
      <w:r>
        <w:rPr>
          <w:rFonts w:hint="eastAsia" w:ascii="宋体" w:hAnsi="宋体" w:eastAsia="宋体" w:cs="宋体"/>
          <w:b/>
          <w:bCs/>
          <w:kern w:val="2"/>
          <w:sz w:val="21"/>
          <w:szCs w:val="21"/>
          <w:highlight w:val="none"/>
          <w:lang w:val="en-US" w:eastAsia="zh-CN"/>
        </w:rPr>
        <w:t>有限公司</w:t>
      </w:r>
    </w:p>
    <w:p>
      <w:pPr>
        <w:pStyle w:val="17"/>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lang w:val="en-US" w:eastAsia="zh-CN"/>
        </w:rPr>
        <w:t>开户银行</w:t>
      </w:r>
      <w:r>
        <w:rPr>
          <w:rFonts w:hint="eastAsia" w:ascii="宋体" w:hAnsi="宋体" w:eastAsia="宋体" w:cs="宋体"/>
          <w:b/>
          <w:bCs/>
          <w:kern w:val="2"/>
          <w:sz w:val="21"/>
          <w:szCs w:val="21"/>
          <w:highlight w:val="none"/>
        </w:rPr>
        <w:t>：</w:t>
      </w:r>
      <w:r>
        <w:rPr>
          <w:rFonts w:hint="eastAsia" w:ascii="宋体" w:hAnsi="宋体" w:eastAsia="宋体" w:cs="宋体"/>
          <w:b/>
          <w:bCs/>
          <w:kern w:val="2"/>
          <w:sz w:val="21"/>
          <w:szCs w:val="21"/>
          <w:highlight w:val="none"/>
          <w:lang w:val="en-US" w:eastAsia="zh-CN"/>
        </w:rPr>
        <w:t>工行合肥</w:t>
      </w:r>
      <w:r>
        <w:rPr>
          <w:rFonts w:hint="eastAsia" w:cs="宋体"/>
          <w:b/>
          <w:bCs/>
          <w:kern w:val="2"/>
          <w:sz w:val="21"/>
          <w:szCs w:val="21"/>
          <w:highlight w:val="none"/>
          <w:lang w:val="en-US" w:eastAsia="zh-CN"/>
        </w:rPr>
        <w:t>蜀山</w:t>
      </w:r>
      <w:r>
        <w:rPr>
          <w:rFonts w:hint="eastAsia" w:ascii="宋体" w:hAnsi="宋体" w:eastAsia="宋体" w:cs="宋体"/>
          <w:b/>
          <w:bCs/>
          <w:kern w:val="2"/>
          <w:sz w:val="21"/>
          <w:szCs w:val="21"/>
          <w:highlight w:val="none"/>
          <w:lang w:val="en-US" w:eastAsia="zh-CN"/>
        </w:rPr>
        <w:t>支行</w:t>
      </w:r>
    </w:p>
    <w:p>
      <w:pPr>
        <w:pStyle w:val="17"/>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rPr>
        <w:t>账号：</w:t>
      </w:r>
      <w:r>
        <w:rPr>
          <w:rFonts w:hint="eastAsia" w:ascii="宋体" w:hAnsi="宋体" w:eastAsia="宋体" w:cs="宋体"/>
          <w:b/>
          <w:bCs/>
          <w:kern w:val="2"/>
          <w:sz w:val="21"/>
          <w:szCs w:val="21"/>
          <w:highlight w:val="none"/>
          <w:lang w:val="en-US" w:eastAsia="zh-CN"/>
        </w:rPr>
        <w:t xml:space="preserve">1302 </w:t>
      </w:r>
      <w:r>
        <w:rPr>
          <w:rFonts w:hint="eastAsia" w:cs="宋体"/>
          <w:b/>
          <w:bCs/>
          <w:kern w:val="2"/>
          <w:sz w:val="21"/>
          <w:szCs w:val="21"/>
          <w:highlight w:val="none"/>
          <w:lang w:val="en-US" w:eastAsia="zh-CN"/>
        </w:rPr>
        <w:t>0121</w:t>
      </w:r>
      <w:r>
        <w:rPr>
          <w:rFonts w:hint="eastAsia" w:ascii="宋体" w:hAnsi="宋体" w:eastAsia="宋体" w:cs="宋体"/>
          <w:b/>
          <w:bCs/>
          <w:kern w:val="2"/>
          <w:sz w:val="21"/>
          <w:szCs w:val="21"/>
          <w:highlight w:val="none"/>
          <w:lang w:val="en-US" w:eastAsia="zh-CN"/>
        </w:rPr>
        <w:t xml:space="preserve"> 1</w:t>
      </w:r>
      <w:r>
        <w:rPr>
          <w:rFonts w:hint="eastAsia" w:cs="宋体"/>
          <w:b/>
          <w:bCs/>
          <w:kern w:val="2"/>
          <w:sz w:val="21"/>
          <w:szCs w:val="21"/>
          <w:highlight w:val="none"/>
          <w:lang w:val="en-US" w:eastAsia="zh-CN"/>
        </w:rPr>
        <w:t>920</w:t>
      </w:r>
      <w:r>
        <w:rPr>
          <w:rFonts w:hint="eastAsia" w:ascii="宋体" w:hAnsi="宋体" w:eastAsia="宋体" w:cs="宋体"/>
          <w:b/>
          <w:bCs/>
          <w:kern w:val="2"/>
          <w:sz w:val="21"/>
          <w:szCs w:val="21"/>
          <w:highlight w:val="none"/>
          <w:lang w:val="en-US" w:eastAsia="zh-CN"/>
        </w:rPr>
        <w:t xml:space="preserve"> 00</w:t>
      </w:r>
      <w:r>
        <w:rPr>
          <w:rFonts w:hint="eastAsia" w:cs="宋体"/>
          <w:b/>
          <w:bCs/>
          <w:kern w:val="2"/>
          <w:sz w:val="21"/>
          <w:szCs w:val="21"/>
          <w:highlight w:val="none"/>
          <w:lang w:val="en-US" w:eastAsia="zh-CN"/>
        </w:rPr>
        <w:t>34</w:t>
      </w:r>
      <w:r>
        <w:rPr>
          <w:rFonts w:hint="eastAsia" w:ascii="宋体" w:hAnsi="宋体" w:eastAsia="宋体" w:cs="宋体"/>
          <w:b/>
          <w:bCs/>
          <w:kern w:val="2"/>
          <w:sz w:val="21"/>
          <w:szCs w:val="21"/>
          <w:highlight w:val="none"/>
          <w:lang w:val="en-US" w:eastAsia="zh-CN"/>
        </w:rPr>
        <w:t xml:space="preserve"> 038</w:t>
      </w:r>
    </w:p>
    <w:p>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汇款或转账时，报价方必须在付款凭证备注栏中注明</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公桥服务区充电桩采购项目</w:t>
      </w:r>
      <w:r>
        <w:rPr>
          <w:rFonts w:hint="eastAsia" w:ascii="宋体" w:hAnsi="宋体" w:eastAsia="宋体" w:cs="宋体"/>
          <w:b/>
          <w:bCs/>
          <w:sz w:val="21"/>
          <w:szCs w:val="21"/>
          <w:highlight w:val="none"/>
          <w:u w:val="single"/>
        </w:rPr>
        <w:t>”</w:t>
      </w:r>
      <w:r>
        <w:rPr>
          <w:rFonts w:hint="eastAsia" w:ascii="宋体" w:hAnsi="宋体" w:eastAsia="宋体" w:cs="宋体"/>
          <w:sz w:val="21"/>
          <w:szCs w:val="21"/>
          <w:highlight w:val="none"/>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sz w:val="21"/>
          <w:szCs w:val="21"/>
          <w:highlight w:val="none"/>
          <w:u w:val="single"/>
        </w:rPr>
        <w:t>投标截止时间前一个小时到账，否则无效</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p>
    <w:p>
      <w:pPr>
        <w:pStyle w:val="3"/>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发布公告的媒介</w:t>
      </w:r>
      <w:bookmarkEnd w:id="34"/>
      <w:bookmarkEnd w:id="35"/>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本次采购公告在</w:t>
      </w:r>
      <w:r>
        <w:rPr>
          <w:rFonts w:hint="eastAsia" w:ascii="宋体" w:hAnsi="宋体" w:eastAsia="宋体" w:cs="宋体"/>
          <w:b/>
          <w:bCs/>
          <w:sz w:val="21"/>
          <w:szCs w:val="21"/>
          <w:highlight w:val="none"/>
          <w:u w:val="single"/>
        </w:rPr>
        <w:t>安徽交控建设工程集团有限公司</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https://www.ahjggroup.com/）“</w:t>
      </w:r>
      <w:r>
        <w:rPr>
          <w:rFonts w:hint="eastAsia" w:ascii="宋体" w:hAnsi="宋体" w:eastAsia="宋体" w:cs="宋体"/>
          <w:b/>
          <w:bCs/>
          <w:sz w:val="21"/>
          <w:szCs w:val="21"/>
          <w:highlight w:val="none"/>
          <w:u w:val="single"/>
          <w:lang w:val="en-US" w:eastAsia="zh-CN"/>
        </w:rPr>
        <w:t>招标信息</w:t>
      </w:r>
      <w:r>
        <w:rPr>
          <w:rFonts w:hint="eastAsia" w:ascii="宋体" w:hAnsi="宋体" w:eastAsia="宋体" w:cs="宋体"/>
          <w:b/>
          <w:bCs/>
          <w:sz w:val="21"/>
          <w:szCs w:val="21"/>
          <w:highlight w:val="none"/>
          <w:u w:val="single"/>
        </w:rPr>
        <w:t>”</w:t>
      </w:r>
      <w:r>
        <w:rPr>
          <w:rFonts w:hint="eastAsia" w:ascii="宋体" w:hAnsi="宋体" w:eastAsia="宋体" w:cs="宋体"/>
          <w:b w:val="0"/>
          <w:bCs w:val="0"/>
          <w:sz w:val="21"/>
          <w:szCs w:val="21"/>
          <w:highlight w:val="none"/>
          <w:u w:val="none"/>
        </w:rPr>
        <w:t>栏</w:t>
      </w:r>
      <w:r>
        <w:rPr>
          <w:rFonts w:hint="eastAsia" w:ascii="宋体" w:hAnsi="宋体" w:eastAsia="宋体" w:cs="宋体"/>
          <w:sz w:val="21"/>
          <w:szCs w:val="21"/>
          <w:highlight w:val="none"/>
        </w:rPr>
        <w:t>上发布。</w:t>
      </w:r>
    </w:p>
    <w:p>
      <w:pPr>
        <w:pStyle w:val="3"/>
        <w:snapToGrid w:val="0"/>
        <w:spacing w:before="120" w:after="120" w:line="240" w:lineRule="auto"/>
        <w:ind w:firstLine="403"/>
        <w:rPr>
          <w:rFonts w:hint="eastAsia" w:ascii="宋体" w:hAnsi="宋体" w:eastAsia="宋体" w:cs="宋体"/>
          <w:b w:val="0"/>
          <w:sz w:val="21"/>
          <w:szCs w:val="21"/>
          <w:highlight w:val="none"/>
        </w:rPr>
      </w:pPr>
      <w:bookmarkStart w:id="36" w:name="_Toc20572_WPSOffice_Level2"/>
      <w:bookmarkStart w:id="37" w:name="_Toc28571_WPSOffice_Level2"/>
      <w:bookmarkStart w:id="38" w:name="_Toc525632592"/>
      <w:bookmarkStart w:id="39" w:name="_Toc321_WPSOffice_Level2"/>
      <w:bookmarkStart w:id="40" w:name="_Toc26829"/>
      <w:bookmarkStart w:id="41" w:name="_Toc8501"/>
      <w:bookmarkStart w:id="42" w:name="_Toc14943_WPSOffice_Level2"/>
      <w:r>
        <w:rPr>
          <w:rFonts w:hint="eastAsia" w:ascii="Times New Roman" w:hAnsi="Times New Roman" w:eastAsia="黑体" w:cs="Times New Roman"/>
          <w:b w:val="0"/>
          <w:sz w:val="22"/>
          <w:szCs w:val="15"/>
          <w:highlight w:val="none"/>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sz w:val="22"/>
          <w:szCs w:val="15"/>
          <w:highlight w:val="none"/>
          <w:lang w:val="en-US" w:eastAsia="zh-CN"/>
        </w:rPr>
        <w:t xml:space="preserve">     </w:t>
      </w:r>
      <w:r>
        <w:rPr>
          <w:rFonts w:hint="eastAsia" w:ascii="宋体" w:hAnsi="宋体" w:eastAsia="宋体" w:cs="宋体"/>
          <w:b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 购 人：</w:t>
      </w:r>
      <w:r>
        <w:rPr>
          <w:rFonts w:hint="eastAsia" w:ascii="宋体" w:hAnsi="宋体" w:eastAsia="宋体" w:cs="宋体"/>
          <w:kern w:val="2"/>
          <w:sz w:val="21"/>
          <w:szCs w:val="21"/>
          <w:highlight w:val="none"/>
        </w:rPr>
        <w:t>安徽</w:t>
      </w:r>
      <w:r>
        <w:rPr>
          <w:rFonts w:hint="eastAsia" w:ascii="宋体" w:hAnsi="宋体" w:eastAsia="宋体" w:cs="宋体"/>
          <w:kern w:val="2"/>
          <w:sz w:val="21"/>
          <w:szCs w:val="21"/>
          <w:highlight w:val="none"/>
          <w:lang w:val="en-US" w:eastAsia="zh-CN"/>
        </w:rPr>
        <w:t>省经工物资有限公司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    址：</w:t>
      </w:r>
      <w:r>
        <w:rPr>
          <w:rFonts w:hint="eastAsia" w:ascii="宋体" w:hAnsi="宋体" w:eastAsia="宋体" w:cs="宋体"/>
          <w:kern w:val="2"/>
          <w:sz w:val="21"/>
          <w:szCs w:val="21"/>
          <w:highlight w:val="none"/>
        </w:rPr>
        <w:t>安徽省合肥市包河区西藏路1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号高速时代广场C1栋</w:t>
      </w:r>
      <w:r>
        <w:rPr>
          <w:rFonts w:hint="eastAsia" w:ascii="宋体" w:hAnsi="宋体" w:eastAsia="宋体" w:cs="宋体"/>
          <w:kern w:val="2"/>
          <w:sz w:val="21"/>
          <w:szCs w:val="21"/>
          <w:highlight w:val="none"/>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lang w:val="en-US" w:eastAsia="zh-CN"/>
        </w:rPr>
        <w:t xml:space="preserve">     高工、方工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lang w:val="en-US" w:eastAsia="zh-CN"/>
        </w:rPr>
        <w:t xml:space="preserve">   13135521559、15256002215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pPr>
        <w:pStyle w:val="2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27"/>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2024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7 </w:t>
      </w:r>
      <w:r>
        <w:rPr>
          <w:rFonts w:hint="eastAsia" w:ascii="宋体" w:hAnsi="宋体" w:eastAsia="宋体" w:cs="宋体"/>
          <w:color w:val="auto"/>
          <w:sz w:val="21"/>
          <w:szCs w:val="21"/>
          <w:highlight w:val="none"/>
        </w:rPr>
        <w:t xml:space="preserve">月 </w:t>
      </w:r>
    </w:p>
    <w:p>
      <w:pPr>
        <w:rPr>
          <w:rFonts w:ascii="Times New Roman" w:hAnsi="Times New Roman" w:cs="Times New Roman"/>
          <w:sz w:val="24"/>
          <w:szCs w:val="28"/>
          <w:highlight w:val="none"/>
        </w:rPr>
      </w:pPr>
    </w:p>
    <w:p>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pPr>
        <w:pStyle w:val="2"/>
        <w:numPr>
          <w:ilvl w:val="0"/>
          <w:numId w:val="0"/>
        </w:numPr>
        <w:spacing w:before="312" w:after="312"/>
        <w:ind w:leftChars="0"/>
        <w:jc w:val="center"/>
        <w:rPr>
          <w:rFonts w:ascii="Times New Roman" w:hAnsi="Times New Roman" w:eastAsia="宋体" w:cs="Times New Roman"/>
          <w:highlight w:val="none"/>
        </w:rPr>
      </w:pPr>
      <w:bookmarkStart w:id="43" w:name="_Toc10242"/>
      <w:r>
        <w:rPr>
          <w:rFonts w:hint="eastAsia" w:ascii="Times New Roman" w:hAnsi="Times New Roman" w:eastAsia="宋体" w:cs="Times New Roman"/>
          <w:highlight w:val="none"/>
          <w:lang w:val="en-US" w:eastAsia="zh-CN"/>
        </w:rPr>
        <w:t xml:space="preserve">第二章 </w:t>
      </w:r>
      <w:r>
        <w:rPr>
          <w:rFonts w:ascii="Times New Roman" w:hAnsi="Times New Roman" w:eastAsia="宋体" w:cs="Times New Roman"/>
          <w:highlight w:val="none"/>
        </w:rPr>
        <w:t>供应商须知</w:t>
      </w:r>
      <w:bookmarkEnd w:id="43"/>
    </w:p>
    <w:p>
      <w:pPr>
        <w:spacing w:line="440" w:lineRule="exact"/>
        <w:jc w:val="center"/>
        <w:outlineLvl w:val="1"/>
        <w:rPr>
          <w:rFonts w:ascii="Times New Roman" w:hAnsi="Times New Roman" w:eastAsia="黑体" w:cs="Times New Roman"/>
          <w:sz w:val="28"/>
          <w:szCs w:val="28"/>
          <w:highlight w:val="none"/>
        </w:rPr>
      </w:pPr>
      <w:bookmarkStart w:id="44" w:name="_Toc26656928"/>
      <w:bookmarkStart w:id="45" w:name="_Toc55466811"/>
      <w:bookmarkStart w:id="46" w:name="_Toc16069"/>
      <w:bookmarkStart w:id="47" w:name="_Toc29381_WPSOffice_Level2"/>
      <w:bookmarkStart w:id="48" w:name="_Toc19501"/>
      <w:r>
        <w:rPr>
          <w:rFonts w:ascii="Times New Roman" w:hAnsi="Times New Roman" w:eastAsia="黑体" w:cs="Times New Roman"/>
          <w:sz w:val="28"/>
          <w:szCs w:val="28"/>
          <w:highlight w:val="none"/>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w:t>
            </w:r>
            <w:r>
              <w:rPr>
                <w:rFonts w:hint="eastAsia" w:ascii="Times New Roman" w:hAnsi="Times New Roman" w:eastAsia="宋体" w:cs="Times New Roman"/>
                <w:szCs w:val="21"/>
                <w:highlight w:val="none"/>
              </w:rPr>
              <w:t>1</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kern w:val="0"/>
                <w:szCs w:val="21"/>
                <w:highlight w:val="none"/>
                <w:lang w:val="en-US"/>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 xml:space="preserve">和采购人要求。  </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1.2.2</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见第一章 采购公告/采购邀请书第3.1款要求。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1.2.3</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05" w:leftChars="50" w:right="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供应商</w:t>
            </w:r>
            <w:r>
              <w:rPr>
                <w:rFonts w:hint="eastAsia" w:ascii="Times New Roman" w:hAnsi="Times New Roman" w:eastAsia="宋体" w:cs="Times New Roman"/>
                <w:szCs w:val="21"/>
                <w:highlight w:val="none"/>
              </w:rPr>
              <w:t>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keepNext w:val="0"/>
              <w:keepLines w:val="0"/>
              <w:widowControl/>
              <w:suppressLineNumbers w:val="0"/>
              <w:spacing w:before="0" w:beforeAutospacing="0" w:after="0" w:afterAutospacing="0" w:line="480" w:lineRule="exact"/>
              <w:ind w:left="0" w:right="0"/>
              <w:jc w:val="left"/>
              <w:rPr>
                <w:rFonts w:hint="eastAsia" w:ascii="Times New Roman" w:hAnsi="Times New Roman" w:eastAsia="宋体" w:cs="Times New Roman"/>
                <w:kern w:val="0"/>
                <w:szCs w:val="21"/>
                <w:highlight w:val="none"/>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1.2.4</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42" w:leftChars="20" w:right="42" w:rightChars="20"/>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3.1</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80" w:lineRule="exact"/>
              <w:ind w:left="0" w:right="0"/>
              <w:jc w:val="left"/>
              <w:rPr>
                <w:rFonts w:hint="default"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w:t>
            </w:r>
            <w:r>
              <w:rPr>
                <w:rFonts w:hint="eastAsia" w:ascii="Times New Roman" w:hAnsi="Times New Roman" w:eastAsia="宋体" w:cs="Times New Roman"/>
                <w:szCs w:val="21"/>
                <w:highlight w:val="none"/>
              </w:rPr>
              <w:t>4</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highlight w:val="none"/>
              </w:rPr>
            </w:pPr>
            <w:r>
              <w:rPr>
                <w:rFonts w:hint="eastAsia"/>
                <w:highlight w:val="none"/>
                <w:lang w:eastAsia="zh-CN"/>
              </w:rPr>
              <w:t>☑</w:t>
            </w:r>
            <w:r>
              <w:rPr>
                <w:rFonts w:hint="eastAsia" w:ascii="Times New Roman" w:hAnsi="Times New Roman" w:eastAsia="宋体" w:cs="Times New Roman"/>
                <w:szCs w:val="21"/>
                <w:highlight w:val="none"/>
              </w:rPr>
              <w:t>固定</w:t>
            </w:r>
            <w:r>
              <w:rPr>
                <w:rFonts w:hint="default" w:ascii="Times New Roman" w:hAnsi="Times New Roman" w:eastAsia="宋体" w:cs="Times New Roman"/>
                <w:szCs w:val="21"/>
                <w:highlight w:val="none"/>
              </w:rPr>
              <w:t>单价</w:t>
            </w:r>
          </w:p>
          <w:p>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highlight w:val="none"/>
              </w:rPr>
            </w:pPr>
            <w:r>
              <w:rPr>
                <w:rFonts w:hint="eastAsia"/>
                <w:highlight w:val="none"/>
                <w:lang w:eastAsia="zh-CN"/>
              </w:rPr>
              <w:t>□</w:t>
            </w:r>
            <w:r>
              <w:rPr>
                <w:rFonts w:hint="eastAsia" w:ascii="Times New Roman" w:hAnsi="Times New Roman" w:eastAsia="宋体" w:cs="Times New Roman"/>
                <w:szCs w:val="21"/>
                <w:highlight w:val="none"/>
              </w:rPr>
              <w:t>固定</w:t>
            </w:r>
            <w:r>
              <w:rPr>
                <w:rFonts w:hint="default" w:ascii="Times New Roman" w:hAnsi="Times New Roman" w:eastAsia="宋体" w:cs="Times New Roman"/>
                <w:szCs w:val="21"/>
                <w:highlight w:val="none"/>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3.2.</w:t>
            </w:r>
            <w:r>
              <w:rPr>
                <w:rFonts w:hint="eastAsia" w:ascii="Times New Roman" w:hAnsi="Times New Roman" w:eastAsia="宋体" w:cs="Times New Roman"/>
                <w:szCs w:val="21"/>
                <w:highlight w:val="none"/>
              </w:rPr>
              <w:t>5</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3.4.4</w:t>
            </w:r>
            <w:r>
              <w:rPr>
                <w:rFonts w:hint="eastAsia" w:ascii="Times New Roman" w:hAnsi="Times New Roman" w:eastAsia="宋体" w:cs="Times New Roman"/>
                <w:szCs w:val="21"/>
                <w:highlight w:val="none"/>
              </w:rPr>
              <w:t>（3）</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cs="Times New Roman"/>
                <w:highlight w:val="none"/>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2"/>
                <w:szCs w:val="22"/>
                <w:highlight w:val="none"/>
              </w:rPr>
              <w:t>报</w:t>
            </w:r>
            <w:r>
              <w:rPr>
                <w:rFonts w:hint="eastAsia" w:ascii="宋体" w:hAnsi="宋体" w:eastAsia="宋体" w:cs="宋体"/>
                <w:sz w:val="21"/>
                <w:szCs w:val="21"/>
                <w:highlight w:val="none"/>
              </w:rPr>
              <w:t>价方出现以下情形的，其询价响应保证金将不予退还：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eastAsia="zh-CN"/>
              </w:rPr>
              <w:t>）</w:t>
            </w:r>
            <w:r>
              <w:rPr>
                <w:rFonts w:hint="eastAsia" w:ascii="宋体" w:hAnsi="宋体" w:eastAsia="宋体" w:cs="宋体"/>
                <w:sz w:val="21"/>
                <w:szCs w:val="21"/>
                <w:highlight w:val="none"/>
              </w:rPr>
              <w:t>报价方在规定的响应有效期内撤销其响应文件</w:t>
            </w:r>
            <w:r>
              <w:rPr>
                <w:rFonts w:hint="eastAsia" w:ascii="宋体" w:hAnsi="宋体" w:eastAsia="宋体" w:cs="宋体"/>
                <w:sz w:val="21"/>
                <w:szCs w:val="21"/>
                <w:highlight w:val="none"/>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eastAsia="zh-CN"/>
              </w:rPr>
              <w:t>）</w:t>
            </w:r>
            <w:r>
              <w:rPr>
                <w:rFonts w:hint="eastAsia" w:ascii="宋体" w:hAnsi="宋体" w:eastAsia="宋体" w:cs="宋体"/>
                <w:sz w:val="21"/>
                <w:szCs w:val="21"/>
                <w:highlight w:val="none"/>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eastAsia="zh-CN"/>
              </w:rPr>
              <w:t>）</w:t>
            </w:r>
            <w:r>
              <w:rPr>
                <w:rFonts w:hint="eastAsia" w:ascii="宋体" w:hAnsi="宋体" w:eastAsia="宋体" w:cs="宋体"/>
                <w:sz w:val="21"/>
                <w:szCs w:val="21"/>
                <w:highlight w:val="none"/>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3.6.3（2）</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cs="Times New Roman"/>
                <w:highlight w:val="none"/>
              </w:rPr>
            </w:pPr>
            <w:r>
              <w:rPr>
                <w:rFonts w:hint="eastAsia" w:ascii="Times New Roman" w:hAnsi="Times New Roman" w:cs="Times New Roman"/>
                <w:highlight w:val="none"/>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highlight w:val="none"/>
                <w:u w:val="single"/>
                <w:lang w:val="en-US"/>
              </w:rPr>
            </w:pPr>
            <w:r>
              <w:rPr>
                <w:rFonts w:hint="eastAsia" w:ascii="Times New Roman" w:hAnsi="Times New Roman" w:cs="Times New Roman"/>
                <w:highlight w:val="none"/>
              </w:rPr>
              <w:t>响应文件应</w:t>
            </w:r>
            <w:r>
              <w:rPr>
                <w:rFonts w:hint="eastAsia" w:ascii="Times New Roman" w:hAnsi="Times New Roman" w:cs="Times New Roman"/>
                <w:b w:val="0"/>
                <w:bCs w:val="0"/>
                <w:highlight w:val="none"/>
              </w:rPr>
              <w:t>胶装成册</w:t>
            </w:r>
            <w:r>
              <w:rPr>
                <w:rFonts w:hint="eastAsia" w:ascii="Times New Roman" w:hAnsi="Times New Roman" w:cs="Times New Roman"/>
                <w:b/>
                <w:bCs/>
                <w:highlight w:val="none"/>
              </w:rPr>
              <w:t>，</w:t>
            </w:r>
            <w:r>
              <w:rPr>
                <w:rFonts w:hint="default" w:ascii="Times New Roman" w:hAnsi="Times New Roman" w:cs="Times New Roman"/>
                <w:highlight w:val="none"/>
              </w:rPr>
              <w:t>正</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副本各</w:t>
            </w:r>
            <w:r>
              <w:rPr>
                <w:rFonts w:hint="default" w:ascii="Times New Roman" w:hAnsi="Times New Roman" w:cs="Times New Roman"/>
                <w:highlight w:val="none"/>
              </w:rPr>
              <w:t>一份。</w:t>
            </w:r>
            <w:r>
              <w:rPr>
                <w:rFonts w:hint="eastAsia" w:ascii="Times New Roman" w:hAnsi="Times New Roman" w:cs="Times New Roman"/>
                <w:highlight w:val="none"/>
                <w:lang w:val="en-US" w:eastAsia="zh-CN"/>
              </w:rPr>
              <w:t xml:space="preserve">正副本内容不一致时，以正本为准。 </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eastAsia" w:ascii="Times New Roman" w:hAnsi="Times New Roman" w:eastAsia="宋体" w:cs="Times New Roman"/>
                <w:szCs w:val="21"/>
                <w:highlight w:val="none"/>
              </w:rPr>
            </w:pPr>
            <w:r>
              <w:rPr>
                <w:rFonts w:hint="eastAsia" w:ascii="Times New Roman" w:hAnsi="Times New Roman" w:cs="Times New Roman"/>
                <w:highlight w:val="none"/>
                <w:lang w:val="en-US" w:eastAsia="zh-CN"/>
              </w:rPr>
              <w:t>4.1</w:t>
            </w:r>
          </w:p>
        </w:tc>
        <w:tc>
          <w:tcPr>
            <w:tcW w:w="25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eastAsia" w:ascii="Times New Roman" w:hAnsi="Times New Roman" w:cs="Times New Roman"/>
                <w:highlight w:val="none"/>
              </w:rPr>
            </w:pPr>
            <w:r>
              <w:rPr>
                <w:rFonts w:hint="eastAsia" w:ascii="Times New Roman" w:hAnsi="Times New Roman" w:cs="Times New Roman"/>
                <w:b/>
                <w:bCs/>
                <w:highlight w:val="none"/>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hint="eastAsia" w:ascii="Times New Roman" w:hAnsi="Times New Roman" w:cs="Times New Roman"/>
                <w:highlight w:val="none"/>
              </w:rPr>
            </w:pPr>
            <w:r>
              <w:rPr>
                <w:rFonts w:hint="default" w:ascii="Times New Roman" w:hAnsi="Times New Roman" w:cs="Times New Roman"/>
                <w:highlight w:val="none"/>
              </w:rPr>
              <w:t>响应文件</w:t>
            </w:r>
            <w:r>
              <w:rPr>
                <w:rFonts w:hint="eastAsia" w:ascii="Times New Roman" w:hAnsi="Times New Roman" w:cs="Times New Roman"/>
                <w:highlight w:val="none"/>
              </w:rPr>
              <w:t>正、副本</w:t>
            </w:r>
            <w:r>
              <w:rPr>
                <w:rFonts w:hint="default" w:ascii="Times New Roman" w:hAnsi="Times New Roman" w:cs="Times New Roman"/>
                <w:highlight w:val="none"/>
              </w:rPr>
              <w:t>应密封包装</w:t>
            </w:r>
            <w:r>
              <w:rPr>
                <w:rFonts w:hint="eastAsia" w:ascii="Times New Roman" w:hAnsi="Times New Roman" w:cs="Times New Roman"/>
                <w:highlight w:val="none"/>
              </w:rPr>
              <w:t>在一个封套内，</w:t>
            </w:r>
            <w:r>
              <w:rPr>
                <w:rFonts w:hint="eastAsia" w:ascii="Times New Roman" w:hAnsi="Times New Roman" w:cs="Times New Roman"/>
                <w:highlight w:val="none"/>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eastAsia" w:ascii="Times New Roman" w:hAnsi="Times New Roman" w:eastAsia="宋体" w:cs="Times New Roman"/>
                <w:szCs w:val="21"/>
                <w:highlight w:val="none"/>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eastAsia" w:ascii="Times New Roman" w:hAnsi="Times New Roman" w:cs="Times New Roman"/>
                <w:highlight w:val="none"/>
              </w:rPr>
            </w:pP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响应文件第一信封（商务技术文件）</w:t>
            </w:r>
            <w:r>
              <w:rPr>
                <w:rFonts w:hint="eastAsia" w:ascii="Times New Roman" w:hAnsi="Times New Roman" w:cs="Times New Roman"/>
                <w:highlight w:val="none"/>
              </w:rPr>
              <w:t>封套上注明：</w:t>
            </w:r>
          </w:p>
          <w:p>
            <w:pPr>
              <w:keepNext w:val="0"/>
              <w:keepLines w:val="0"/>
              <w:suppressLineNumbers w:val="0"/>
              <w:spacing w:before="0" w:beforeAutospacing="0" w:after="0" w:afterAutospacing="0" w:line="440" w:lineRule="exact"/>
              <w:ind w:left="0" w:right="0" w:firstLine="420"/>
              <w:rPr>
                <w:rFonts w:hint="default"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keepNext w:val="0"/>
              <w:keepLines w:val="0"/>
              <w:suppressLineNumbers w:val="0"/>
              <w:spacing w:before="0" w:beforeAutospacing="0" w:after="0" w:afterAutospacing="0" w:line="440" w:lineRule="exact"/>
              <w:ind w:left="0" w:right="0" w:firstLine="420"/>
              <w:rPr>
                <w:rFonts w:hint="default"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none"/>
                <w:lang w:val="en-US" w:eastAsia="zh-CN"/>
              </w:rPr>
              <w:t>第一信封（商务技术文件）</w:t>
            </w:r>
            <w:r>
              <w:rPr>
                <w:rFonts w:hint="eastAsia" w:ascii="Times New Roman" w:hAnsi="Times New Roman" w:eastAsia="黑体" w:cs="黑体"/>
                <w:bCs/>
                <w:snapToGrid w:val="0"/>
                <w:kern w:val="0"/>
                <w:szCs w:val="21"/>
                <w:highlight w:val="none"/>
              </w:rPr>
              <w:t>响应文件</w:t>
            </w:r>
          </w:p>
          <w:p>
            <w:pPr>
              <w:keepNext w:val="0"/>
              <w:keepLines w:val="0"/>
              <w:suppressLineNumbers w:val="0"/>
              <w:spacing w:before="0" w:beforeAutospacing="0" w:after="0" w:afterAutospacing="0" w:line="440" w:lineRule="exact"/>
              <w:ind w:left="0" w:right="0" w:firstLine="420"/>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在</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年</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月</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日</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时</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分（递交响应文件的截止时间）前不得开启</w:t>
            </w:r>
          </w:p>
          <w:p>
            <w:pPr>
              <w:keepNext w:val="0"/>
              <w:keepLines w:val="0"/>
              <w:suppressLineNumbers w:val="0"/>
              <w:spacing w:before="0" w:beforeAutospacing="0" w:after="0" w:afterAutospacing="0" w:line="480" w:lineRule="exact"/>
              <w:ind w:left="0" w:right="0"/>
              <w:rPr>
                <w:rFonts w:hint="eastAsia" w:ascii="Times New Roman" w:hAnsi="Times New Roman" w:cs="Times New Roman"/>
                <w:highlight w:val="none"/>
              </w:rPr>
            </w:pP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eastAsia" w:ascii="Times New Roman" w:hAnsi="Times New Roman" w:eastAsia="宋体" w:cs="Times New Roman"/>
                <w:szCs w:val="21"/>
                <w:highlight w:val="none"/>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eastAsia" w:ascii="Times New Roman" w:hAnsi="Times New Roman" w:cs="Times New Roman"/>
                <w:highlight w:val="none"/>
              </w:rPr>
            </w:pP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响应文件第二信封（报价文件）</w:t>
            </w:r>
            <w:r>
              <w:rPr>
                <w:rFonts w:hint="eastAsia" w:ascii="Times New Roman" w:hAnsi="Times New Roman" w:cs="Times New Roman"/>
                <w:highlight w:val="none"/>
              </w:rPr>
              <w:t>封套上注明：</w:t>
            </w:r>
          </w:p>
          <w:p>
            <w:pPr>
              <w:keepNext w:val="0"/>
              <w:keepLines w:val="0"/>
              <w:suppressLineNumbers w:val="0"/>
              <w:spacing w:before="0" w:beforeAutospacing="0" w:after="0" w:afterAutospacing="0" w:line="440" w:lineRule="exact"/>
              <w:ind w:left="0" w:right="0" w:firstLine="420"/>
              <w:rPr>
                <w:rFonts w:hint="default"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keepNext w:val="0"/>
              <w:keepLines w:val="0"/>
              <w:suppressLineNumbers w:val="0"/>
              <w:spacing w:before="0" w:beforeAutospacing="0" w:after="0" w:afterAutospacing="0" w:line="440" w:lineRule="exact"/>
              <w:ind w:left="0" w:right="0" w:firstLine="420"/>
              <w:rPr>
                <w:rFonts w:hint="default"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none"/>
                <w:lang w:val="en-US" w:eastAsia="zh-CN"/>
              </w:rPr>
              <w:t>第二信封（报价文件）</w:t>
            </w:r>
            <w:r>
              <w:rPr>
                <w:rFonts w:hint="eastAsia" w:ascii="Times New Roman" w:hAnsi="Times New Roman" w:eastAsia="黑体" w:cs="黑体"/>
                <w:bCs/>
                <w:snapToGrid w:val="0"/>
                <w:kern w:val="0"/>
                <w:szCs w:val="21"/>
                <w:highlight w:val="none"/>
              </w:rPr>
              <w:t>响应文件</w:t>
            </w:r>
          </w:p>
          <w:p>
            <w:pPr>
              <w:keepNext w:val="0"/>
              <w:keepLines w:val="0"/>
              <w:suppressLineNumbers w:val="0"/>
              <w:spacing w:before="0" w:beforeAutospacing="0" w:after="0" w:afterAutospacing="0" w:line="440" w:lineRule="exact"/>
              <w:ind w:left="0" w:right="0" w:firstLine="420" w:firstLineChars="200"/>
              <w:jc w:val="both"/>
              <w:rPr>
                <w:rFonts w:hint="eastAsia" w:ascii="Times New Roman" w:hAnsi="Times New Roman" w:cs="Times New Roman"/>
                <w:highlight w:val="none"/>
              </w:rPr>
            </w:pPr>
            <w:r>
              <w:rPr>
                <w:rFonts w:hint="eastAsia" w:ascii="Times New Roman" w:hAnsi="Times New Roman" w:eastAsia="黑体" w:cs="黑体"/>
                <w:bCs/>
                <w:snapToGrid w:val="0"/>
                <w:kern w:val="0"/>
                <w:szCs w:val="21"/>
                <w:highlight w:val="none"/>
                <w:lang w:val="en-US" w:eastAsia="zh-CN"/>
              </w:rPr>
              <w:t>在第一信封开启</w:t>
            </w:r>
            <w:r>
              <w:rPr>
                <w:rFonts w:hint="eastAsia" w:ascii="Times New Roman" w:hAnsi="Times New Roman" w:eastAsia="黑体" w:cs="黑体"/>
                <w:bCs/>
                <w:snapToGrid w:val="0"/>
                <w:kern w:val="0"/>
                <w:szCs w:val="21"/>
                <w:highlight w:val="none"/>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5.2.1（3）</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7.4.1</w:t>
            </w:r>
          </w:p>
        </w:tc>
        <w:tc>
          <w:tcPr>
            <w:tcW w:w="25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（1）中标后，响应保证金自动转为履约保证金。</w:t>
            </w:r>
          </w:p>
          <w:p>
            <w:pPr>
              <w:keepNext w:val="0"/>
              <w:keepLines w:val="0"/>
              <w:suppressLineNumbers w:val="0"/>
              <w:snapToGrid w:val="0"/>
              <w:spacing w:before="0" w:beforeAutospacing="0" w:after="0" w:afterAutospacing="0" w:line="480" w:lineRule="exact"/>
              <w:ind w:left="0" w:right="0"/>
              <w:rPr>
                <w:rFonts w:hint="default"/>
                <w:highlight w:val="none"/>
              </w:rPr>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80" w:lineRule="exact"/>
              <w:ind w:left="0" w:right="0"/>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r>
              <w:rPr>
                <w:rFonts w:hint="default" w:ascii="Times New Roman" w:hAnsi="Times New Roman" w:eastAsia="宋体" w:cs="Times New Roman"/>
                <w:szCs w:val="21"/>
                <w:highlight w:val="none"/>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80" w:lineRule="exact"/>
              <w:ind w:left="0" w:right="0" w:firstLine="420" w:firstLineChars="200"/>
              <w:rPr>
                <w:rFonts w:hint="eastAsia"/>
                <w:highlight w:val="none"/>
                <w:lang w:val="en-US" w:eastAsia="zh-CN"/>
              </w:rPr>
            </w:pPr>
            <w:r>
              <w:rPr>
                <w:rFonts w:hint="eastAsia"/>
                <w:highlight w:val="none"/>
                <w:lang w:val="en-US" w:eastAsia="zh-CN"/>
              </w:rPr>
              <w:t>投标人或其他利害关系人对评标结果有异议的，应以书面形式提出，异议材料应包括：</w:t>
            </w:r>
          </w:p>
          <w:p>
            <w:pPr>
              <w:keepNext w:val="0"/>
              <w:keepLines w:val="0"/>
              <w:suppressLineNumbers w:val="0"/>
              <w:snapToGrid w:val="0"/>
              <w:spacing w:before="0" w:beforeAutospacing="0" w:after="0" w:afterAutospacing="0" w:line="480" w:lineRule="exact"/>
              <w:ind w:left="0" w:right="0"/>
              <w:rPr>
                <w:rFonts w:hint="eastAsia"/>
                <w:highlight w:val="none"/>
                <w:lang w:val="en-US" w:eastAsia="zh-CN"/>
              </w:rPr>
            </w:pPr>
            <w:r>
              <w:rPr>
                <w:rFonts w:hint="eastAsia"/>
                <w:highlight w:val="none"/>
                <w:lang w:val="en-US" w:eastAsia="zh-CN"/>
              </w:rPr>
              <w:t>（1）异议人的名称、地址及有效联系方式；</w:t>
            </w:r>
          </w:p>
          <w:p>
            <w:pPr>
              <w:keepNext w:val="0"/>
              <w:keepLines w:val="0"/>
              <w:suppressLineNumbers w:val="0"/>
              <w:snapToGrid w:val="0"/>
              <w:spacing w:before="0" w:beforeAutospacing="0" w:after="0" w:afterAutospacing="0" w:line="480" w:lineRule="exact"/>
              <w:ind w:left="0" w:right="0"/>
              <w:rPr>
                <w:rFonts w:hint="eastAsia"/>
                <w:highlight w:val="none"/>
                <w:lang w:val="en-US" w:eastAsia="zh-CN"/>
              </w:rPr>
            </w:pPr>
            <w:r>
              <w:rPr>
                <w:rFonts w:hint="eastAsia"/>
                <w:highlight w:val="none"/>
                <w:lang w:val="en-US" w:eastAsia="zh-CN"/>
              </w:rPr>
              <w:t>（2）异议事项的基本事实；</w:t>
            </w:r>
          </w:p>
          <w:p>
            <w:pPr>
              <w:keepNext w:val="0"/>
              <w:keepLines w:val="0"/>
              <w:suppressLineNumbers w:val="0"/>
              <w:snapToGrid w:val="0"/>
              <w:spacing w:before="0" w:beforeAutospacing="0" w:after="0" w:afterAutospacing="0" w:line="480" w:lineRule="exact"/>
              <w:ind w:left="0" w:right="0"/>
              <w:rPr>
                <w:rFonts w:hint="eastAsia"/>
                <w:highlight w:val="none"/>
                <w:lang w:val="en-US" w:eastAsia="zh-CN"/>
              </w:rPr>
            </w:pPr>
            <w:r>
              <w:rPr>
                <w:rFonts w:hint="eastAsia"/>
                <w:highlight w:val="none"/>
                <w:lang w:val="en-US" w:eastAsia="zh-CN"/>
              </w:rPr>
              <w:t>（3）有效线索和相关证明材料。</w:t>
            </w:r>
          </w:p>
          <w:p>
            <w:pPr>
              <w:keepNext w:val="0"/>
              <w:keepLines w:val="0"/>
              <w:suppressLineNumbers w:val="0"/>
              <w:snapToGrid w:val="0"/>
              <w:spacing w:before="0" w:beforeAutospacing="0" w:after="0" w:afterAutospacing="0" w:line="480" w:lineRule="exact"/>
              <w:ind w:left="0" w:right="0" w:firstLine="420" w:firstLineChars="200"/>
              <w:rPr>
                <w:rFonts w:hint="eastAsia" w:ascii="Times New Roman" w:hAnsi="Times New Roman" w:eastAsia="宋体" w:cs="Times New Roman"/>
                <w:szCs w:val="21"/>
                <w:highlight w:val="none"/>
                <w:lang w:val="en-US" w:eastAsia="zh-CN"/>
              </w:rPr>
            </w:pPr>
            <w:r>
              <w:rPr>
                <w:rFonts w:hint="eastAsia"/>
                <w:highlight w:val="none"/>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80" w:lineRule="exact"/>
              <w:ind w:left="0" w:right="0"/>
              <w:rPr>
                <w:rFonts w:hint="eastAsia"/>
                <w:highlight w:val="none"/>
                <w:lang w:val="en-US" w:eastAsia="zh-CN"/>
              </w:rPr>
            </w:pPr>
            <w:r>
              <w:rPr>
                <w:rFonts w:hint="eastAsia"/>
                <w:b/>
                <w:bCs/>
                <w:highlight w:val="none"/>
                <w:lang w:val="en-US" w:eastAsia="zh-CN"/>
              </w:rPr>
              <w:t>一、如在约定的供货期限内达不到招标人要求的供货数量：</w:t>
            </w:r>
          </w:p>
          <w:p>
            <w:pPr>
              <w:keepNext w:val="0"/>
              <w:keepLines w:val="0"/>
              <w:suppressLineNumbers w:val="0"/>
              <w:snapToGrid w:val="0"/>
              <w:spacing w:before="0" w:beforeAutospacing="0" w:after="0" w:afterAutospacing="0" w:line="480" w:lineRule="exact"/>
              <w:ind w:left="0" w:right="0"/>
              <w:rPr>
                <w:rFonts w:hint="eastAsia"/>
                <w:highlight w:val="none"/>
                <w:lang w:val="en-US" w:eastAsia="zh-CN"/>
              </w:rPr>
            </w:pPr>
            <w:r>
              <w:rPr>
                <w:rFonts w:hint="eastAsia"/>
                <w:highlight w:val="none"/>
                <w:lang w:val="en-US" w:eastAsia="zh-CN"/>
              </w:rPr>
              <w:t>1.招标人有权终止合同，并依据合同规定追究法律责任。</w:t>
            </w:r>
          </w:p>
          <w:p>
            <w:pPr>
              <w:keepNext w:val="0"/>
              <w:keepLines w:val="0"/>
              <w:suppressLineNumbers w:val="0"/>
              <w:snapToGrid w:val="0"/>
              <w:spacing w:before="0" w:beforeAutospacing="0" w:after="0" w:afterAutospacing="0" w:line="480" w:lineRule="exact"/>
              <w:ind w:left="0" w:right="0"/>
              <w:rPr>
                <w:rFonts w:hint="eastAsia"/>
                <w:highlight w:val="none"/>
                <w:lang w:val="en-US" w:eastAsia="zh-CN"/>
              </w:rPr>
            </w:pPr>
            <w:r>
              <w:rPr>
                <w:rFonts w:hint="eastAsia"/>
                <w:highlight w:val="none"/>
                <w:lang w:val="en-US" w:eastAsia="zh-CN"/>
              </w:rPr>
              <w:t>2.采购人有权将违约行为有权按照约定进行处罚。</w:t>
            </w:r>
          </w:p>
          <w:p>
            <w:pPr>
              <w:keepNext w:val="0"/>
              <w:keepLines w:val="0"/>
              <w:suppressLineNumbers w:val="0"/>
              <w:snapToGrid w:val="0"/>
              <w:spacing w:before="0" w:beforeAutospacing="0" w:after="0" w:afterAutospacing="0" w:line="480" w:lineRule="exact"/>
              <w:ind w:left="0" w:right="0"/>
              <w:rPr>
                <w:rFonts w:hint="eastAsia"/>
                <w:highlight w:val="none"/>
                <w:lang w:val="en-US" w:eastAsia="zh-CN"/>
              </w:rPr>
            </w:pPr>
            <w:r>
              <w:rPr>
                <w:rFonts w:hint="eastAsia"/>
                <w:b/>
                <w:bCs/>
                <w:highlight w:val="none"/>
                <w:lang w:val="en-US" w:eastAsia="zh-CN"/>
              </w:rPr>
              <w:t>二、异常低价，采购人有权做废标处理。</w:t>
            </w:r>
          </w:p>
        </w:tc>
      </w:tr>
    </w:tbl>
    <w:p>
      <w:pPr>
        <w:rPr>
          <w:highlight w:val="none"/>
        </w:rPr>
      </w:pPr>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pPr>
        <w:rPr>
          <w:rFonts w:ascii="Times New Roman" w:hAnsi="Times New Roman" w:eastAsia="黑体" w:cs="Times New Roman"/>
          <w:bCs/>
          <w:sz w:val="24"/>
          <w:szCs w:val="32"/>
          <w:highlight w:val="none"/>
        </w:rPr>
      </w:pPr>
      <w:bookmarkStart w:id="49" w:name="_Toc9067720"/>
      <w:bookmarkStart w:id="50" w:name="_Toc14201207"/>
      <w:bookmarkStart w:id="51" w:name="_Toc26656938"/>
      <w:r>
        <w:rPr>
          <w:rFonts w:ascii="Times New Roman" w:hAnsi="Times New Roman" w:eastAsia="黑体" w:cs="Times New Roman"/>
          <w:bCs/>
          <w:sz w:val="24"/>
          <w:szCs w:val="32"/>
          <w:highlight w:val="none"/>
        </w:rPr>
        <w:br w:type="page"/>
      </w:r>
    </w:p>
    <w:p>
      <w:pPr>
        <w:jc w:val="center"/>
        <w:rPr>
          <w:highlight w:val="none"/>
        </w:rPr>
      </w:pPr>
      <w:r>
        <w:rPr>
          <w:rFonts w:hint="eastAsia" w:ascii="黑体" w:eastAsia="黑体"/>
          <w:sz w:val="24"/>
          <w:szCs w:val="24"/>
          <w:highlight w:val="none"/>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9072" w:type="dxa"/>
            <w:noWrap w:val="0"/>
            <w:vAlign w:val="center"/>
          </w:tcPr>
          <w:p>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keepNext w:val="0"/>
              <w:keepLines w:val="0"/>
              <w:suppressLineNumbers w:val="0"/>
              <w:snapToGrid w:val="0"/>
              <w:spacing w:before="0" w:beforeAutospacing="0" w:after="0" w:afterAutospacing="0"/>
              <w:ind w:left="0" w:right="0"/>
              <w:jc w:val="center"/>
              <w:rPr>
                <w:rFonts w:hint="default"/>
                <w:sz w:val="21"/>
                <w:szCs w:val="21"/>
                <w:highlight w:val="none"/>
                <w:lang w:val="en-US" w:eastAsia="zh-CN"/>
              </w:rPr>
            </w:pPr>
            <w:r>
              <w:rPr>
                <w:rFonts w:hint="eastAsia"/>
                <w:sz w:val="21"/>
                <w:szCs w:val="21"/>
                <w:highlight w:val="none"/>
                <w:lang w:val="en-US" w:eastAsia="zh-CN"/>
              </w:rPr>
              <w:t xml:space="preserve">具备独立法人资格，持有有效的营业执照；具有独立完成本项目的相关能力的生产厂家或制造商。  </w:t>
            </w:r>
          </w:p>
          <w:p>
            <w:pPr>
              <w:keepNext w:val="0"/>
              <w:keepLines w:val="0"/>
              <w:suppressLineNumbers w:val="0"/>
              <w:spacing w:before="0" w:beforeAutospacing="0" w:after="0" w:afterAutospacing="0"/>
              <w:ind w:left="0" w:right="0"/>
              <w:jc w:val="center"/>
              <w:rPr>
                <w:rFonts w:hint="eastAsia"/>
                <w:sz w:val="22"/>
                <w:szCs w:val="22"/>
                <w:highlight w:val="none"/>
              </w:rPr>
            </w:pP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7"/>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sz w:val="21"/>
                <w:szCs w:val="21"/>
                <w:highlight w:val="none"/>
                <w:lang w:val="en-US" w:eastAsia="zh-CN"/>
              </w:rPr>
              <w:t>至少提供1个自2021年1月1日以来，单项合同额不低于100万元的充电桩销售合同业绩。</w:t>
            </w:r>
          </w:p>
        </w:tc>
      </w:tr>
    </w:tbl>
    <w:p>
      <w:pPr>
        <w:bidi w:val="0"/>
        <w:rPr>
          <w:rFonts w:hint="eastAsia"/>
          <w:highlight w:val="none"/>
          <w:lang w:val="en-US" w:eastAsia="zh-CN"/>
        </w:rPr>
      </w:pPr>
      <w:r>
        <w:rPr>
          <w:rFonts w:hint="eastAsia"/>
          <w:highlight w:val="none"/>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②若合同协议书中不能明确反映出招标文件所要求内容的（如合同金额、合同签订时间、供货内容等），则须提供业主单位（甲方）出具加盖公章的证明材料扫描件。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highlight w:val="none"/>
          <w:lang w:val="en-US" w:eastAsia="zh-CN"/>
        </w:rPr>
        <w:t>④</w:t>
      </w:r>
      <w:r>
        <w:rPr>
          <w:rFonts w:hint="eastAsia"/>
          <w:highlight w:val="none"/>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7"/>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keepNext w:val="0"/>
              <w:keepLines w:val="0"/>
              <w:suppressLineNumbers w:val="0"/>
              <w:spacing w:before="0" w:beforeAutospacing="0" w:after="0" w:afterAutospacing="0" w:line="276" w:lineRule="auto"/>
              <w:ind w:left="0" w:right="0" w:firstLine="210" w:firstLineChars="100"/>
              <w:jc w:val="left"/>
              <w:rPr>
                <w:rFonts w:hint="eastAsia"/>
                <w:highlight w:val="none"/>
              </w:rPr>
            </w:pPr>
            <w:r>
              <w:rPr>
                <w:rFonts w:hint="eastAsia"/>
                <w:highlight w:val="none"/>
              </w:rPr>
              <w:t>1.投标人、法定代表人近三年内无行贿犯罪行为。</w:t>
            </w:r>
          </w:p>
          <w:p>
            <w:pPr>
              <w:keepNext w:val="0"/>
              <w:keepLines w:val="0"/>
              <w:suppressLineNumbers w:val="0"/>
              <w:spacing w:before="0" w:beforeAutospacing="0" w:after="0" w:afterAutospacing="0" w:line="276" w:lineRule="auto"/>
              <w:ind w:left="0" w:right="0" w:firstLine="210" w:firstLineChars="100"/>
              <w:jc w:val="left"/>
              <w:rPr>
                <w:rFonts w:hint="eastAsia"/>
                <w:highlight w:val="none"/>
              </w:rPr>
            </w:pPr>
            <w:r>
              <w:rPr>
                <w:rFonts w:hint="eastAsia"/>
                <w:highlight w:val="none"/>
              </w:rPr>
              <w:t>2.投标人未被人民法院列入失信被执行人（以“信用中国”官网http://www.creditchina.gov.cn查询为准）。</w:t>
            </w:r>
          </w:p>
          <w:p>
            <w:pPr>
              <w:keepNext w:val="0"/>
              <w:keepLines w:val="0"/>
              <w:suppressLineNumbers w:val="0"/>
              <w:spacing w:before="0" w:beforeAutospacing="0" w:after="0" w:afterAutospacing="0" w:line="276" w:lineRule="auto"/>
              <w:ind w:left="0" w:right="0" w:firstLine="210" w:firstLineChars="100"/>
              <w:jc w:val="left"/>
              <w:rPr>
                <w:rFonts w:hint="eastAsia"/>
                <w:highlight w:val="none"/>
              </w:rPr>
            </w:pPr>
            <w:r>
              <w:rPr>
                <w:rFonts w:hint="eastAsia"/>
                <w:highlight w:val="none"/>
              </w:rPr>
              <w:t>3投标人没有正受到责令停业，暂扣或吊销执照，或吊销资质证书。</w:t>
            </w:r>
          </w:p>
          <w:p>
            <w:pPr>
              <w:keepNext w:val="0"/>
              <w:keepLines w:val="0"/>
              <w:suppressLineNumbers w:val="0"/>
              <w:spacing w:before="0" w:beforeAutospacing="0" w:after="0" w:afterAutospacing="0" w:line="276" w:lineRule="auto"/>
              <w:ind w:left="0" w:right="0" w:firstLine="210" w:firstLineChars="100"/>
              <w:jc w:val="left"/>
              <w:rPr>
                <w:rFonts w:hint="eastAsia"/>
                <w:highlight w:val="none"/>
              </w:rPr>
            </w:pPr>
            <w:r>
              <w:rPr>
                <w:rFonts w:hint="eastAsia"/>
                <w:highlight w:val="none"/>
                <w:lang w:val="en-US" w:eastAsia="zh-CN"/>
              </w:rPr>
              <w:t>4</w:t>
            </w:r>
            <w:r>
              <w:rPr>
                <w:rFonts w:hint="eastAsia"/>
                <w:highlight w:val="none"/>
              </w:rPr>
              <w:t>.没有进入清算程序，或被宣告破产，或其他丧失履约能力的情形。</w:t>
            </w:r>
          </w:p>
          <w:p>
            <w:pPr>
              <w:keepNext w:val="0"/>
              <w:keepLines w:val="0"/>
              <w:suppressLineNumbers w:val="0"/>
              <w:spacing w:before="0" w:beforeAutospacing="0" w:after="0" w:afterAutospacing="0" w:line="276" w:lineRule="auto"/>
              <w:ind w:left="0" w:right="0" w:firstLine="210" w:firstLineChars="100"/>
              <w:jc w:val="left"/>
              <w:rPr>
                <w:rFonts w:hint="eastAsia"/>
                <w:highlight w:val="none"/>
              </w:rPr>
            </w:pPr>
            <w:r>
              <w:rPr>
                <w:rFonts w:hint="eastAsia"/>
                <w:highlight w:val="none"/>
                <w:lang w:val="en-US" w:eastAsia="zh-CN"/>
              </w:rPr>
              <w:t>5</w:t>
            </w:r>
            <w:r>
              <w:rPr>
                <w:rFonts w:hint="eastAsia"/>
                <w:highlight w:val="none"/>
              </w:rPr>
              <w:t>.没有在国家企业信用信息公示系统（http://www.gsxt.gov.cn）中被列入严重违法失信企业名单。</w:t>
            </w:r>
          </w:p>
          <w:p>
            <w:pPr>
              <w:keepNext w:val="0"/>
              <w:keepLines w:val="0"/>
              <w:suppressLineNumbers w:val="0"/>
              <w:spacing w:before="0" w:beforeAutospacing="0" w:after="0" w:afterAutospacing="0" w:line="276" w:lineRule="auto"/>
              <w:ind w:left="0" w:right="0" w:firstLine="210" w:firstLineChars="100"/>
              <w:jc w:val="left"/>
              <w:rPr>
                <w:rFonts w:hint="eastAsia"/>
                <w:highlight w:val="none"/>
              </w:rPr>
            </w:pPr>
            <w:r>
              <w:rPr>
                <w:rFonts w:hint="eastAsia"/>
                <w:highlight w:val="none"/>
                <w:lang w:val="en-US" w:eastAsia="zh-CN"/>
              </w:rPr>
              <w:t>6</w:t>
            </w:r>
            <w:r>
              <w:rPr>
                <w:rFonts w:hint="eastAsia"/>
                <w:highlight w:val="none"/>
              </w:rPr>
              <w:t>.没有法律法规规定的其他情形。</w:t>
            </w:r>
          </w:p>
          <w:p>
            <w:pPr>
              <w:pStyle w:val="27"/>
              <w:keepNext w:val="0"/>
              <w:keepLines w:val="0"/>
              <w:suppressLineNumbers w:val="0"/>
              <w:spacing w:before="0" w:beforeAutospacing="0" w:after="0" w:afterAutospacing="0"/>
              <w:ind w:left="0" w:right="0"/>
              <w:rPr>
                <w:rFonts w:hint="eastAsia"/>
                <w:szCs w:val="20"/>
                <w:highlight w:val="none"/>
              </w:rPr>
            </w:pPr>
          </w:p>
        </w:tc>
      </w:tr>
    </w:tbl>
    <w:p>
      <w:pPr>
        <w:pStyle w:val="27"/>
        <w:rPr>
          <w:rFonts w:ascii="Times New Roman" w:hAnsi="Times New Roman" w:eastAsia="黑体" w:cs="Times New Roman"/>
          <w:bCs/>
          <w:sz w:val="24"/>
          <w:szCs w:val="32"/>
          <w:highlight w:val="none"/>
        </w:rPr>
      </w:pPr>
    </w:p>
    <w:p>
      <w:pPr>
        <w:keepNext/>
        <w:keepLines/>
        <w:spacing w:before="156" w:beforeLines="50" w:after="156" w:afterLines="50" w:line="360" w:lineRule="auto"/>
        <w:outlineLvl w:val="1"/>
        <w:rPr>
          <w:rFonts w:hint="eastAsia" w:ascii="黑体" w:hAnsi="黑体" w:eastAsia="黑体" w:cs="黑体"/>
          <w:b w:val="0"/>
          <w:bCs/>
          <w:sz w:val="24"/>
          <w:szCs w:val="32"/>
          <w:highlight w:val="none"/>
        </w:rPr>
      </w:pPr>
      <w:r>
        <w:rPr>
          <w:rFonts w:hint="eastAsia" w:ascii="黑体" w:hAnsi="黑体" w:eastAsia="黑体" w:cs="黑体"/>
          <w:b w:val="0"/>
          <w:bCs/>
          <w:sz w:val="24"/>
          <w:szCs w:val="32"/>
          <w:highlight w:val="none"/>
        </w:rPr>
        <w:t>1</w:t>
      </w:r>
      <w:r>
        <w:rPr>
          <w:rFonts w:hint="eastAsia" w:ascii="黑体" w:hAnsi="黑体" w:eastAsia="黑体" w:cs="黑体"/>
          <w:b w:val="0"/>
          <w:bCs/>
          <w:sz w:val="24"/>
          <w:szCs w:val="32"/>
          <w:highlight w:val="none"/>
          <w:lang w:eastAsia="zh-CN"/>
        </w:rPr>
        <w:t>.</w:t>
      </w:r>
      <w:r>
        <w:rPr>
          <w:rFonts w:hint="eastAsia" w:ascii="黑体" w:hAnsi="黑体" w:eastAsia="黑体" w:cs="黑体"/>
          <w:b w:val="0"/>
          <w:bCs/>
          <w:sz w:val="24"/>
          <w:szCs w:val="32"/>
          <w:highlight w:val="none"/>
        </w:rPr>
        <w:t>总则</w:t>
      </w:r>
    </w:p>
    <w:p>
      <w:pPr>
        <w:pStyle w:val="7"/>
        <w:ind w:firstLine="420" w:firstLineChars="200"/>
        <w:rPr>
          <w:rFonts w:hint="eastAsia"/>
          <w:b w:val="0"/>
          <w:bCs/>
          <w:color w:val="auto"/>
          <w:highlight w:val="none"/>
          <w:lang w:val="en-US" w:eastAsia="zh-CN"/>
        </w:rPr>
      </w:pPr>
      <w:r>
        <w:rPr>
          <w:rFonts w:hint="eastAsia"/>
          <w:b w:val="0"/>
          <w:bCs/>
          <w:color w:val="auto"/>
          <w:highlight w:val="none"/>
          <w:lang w:val="en-US" w:eastAsia="zh-CN"/>
        </w:rPr>
        <w:t>投标人提供</w:t>
      </w:r>
      <w:r>
        <w:rPr>
          <w:rFonts w:hint="eastAsia"/>
          <w:b w:val="0"/>
          <w:bCs/>
          <w:color w:val="auto"/>
          <w:highlight w:val="none"/>
        </w:rPr>
        <w:t>的充电基础设施产品均应取得由具备检验检测机构资质认定(CMA)和中国合格评定国家认可委员会(CNAS)实验室认可资质的检测机构出具的型式试验报告</w:t>
      </w:r>
      <w:r>
        <w:rPr>
          <w:rFonts w:hint="eastAsia"/>
          <w:b w:val="0"/>
          <w:bCs/>
          <w:color w:val="auto"/>
          <w:highlight w:val="none"/>
          <w:lang w:eastAsia="zh-CN"/>
        </w:rPr>
        <w:t>，</w:t>
      </w:r>
      <w:r>
        <w:rPr>
          <w:rFonts w:hint="eastAsia"/>
          <w:b w:val="0"/>
          <w:bCs/>
          <w:color w:val="auto"/>
          <w:highlight w:val="none"/>
          <w:lang w:val="en-US" w:eastAsia="zh-CN"/>
        </w:rPr>
        <w:t>同时报告内相关技术标准及参数符合第三章采购需求中技术参数相关要求。</w:t>
      </w:r>
    </w:p>
    <w:p>
      <w:pPr>
        <w:keepNext/>
        <w:keepLines/>
        <w:spacing w:before="120" w:beforeLines="0" w:after="120" w:afterLines="0"/>
        <w:outlineLvl w:val="2"/>
        <w:rPr>
          <w:rFonts w:hint="eastAsia" w:ascii="Times New Roman" w:hAnsi="Times New Roman" w:eastAsia="黑体"/>
          <w:color w:val="auto"/>
          <w:sz w:val="24"/>
          <w:szCs w:val="32"/>
          <w:highlight w:val="none"/>
          <w:lang w:val="en-US" w:eastAsia="zh-CN"/>
        </w:rPr>
      </w:pPr>
      <w:r>
        <w:rPr>
          <w:rFonts w:hint="eastAsia" w:ascii="Times New Roman" w:hAnsi="Times New Roman" w:eastAsia="Times New Roman"/>
          <w:color w:val="auto"/>
          <w:sz w:val="24"/>
          <w:szCs w:val="32"/>
          <w:highlight w:val="none"/>
        </w:rPr>
        <w:t xml:space="preserve">1.1 </w:t>
      </w:r>
      <w:r>
        <w:rPr>
          <w:rFonts w:hint="eastAsia" w:ascii="Times New Roman" w:hAnsi="Times New Roman" w:eastAsia="黑体"/>
          <w:color w:val="auto"/>
          <w:sz w:val="24"/>
          <w:szCs w:val="32"/>
          <w:highlight w:val="none"/>
        </w:rPr>
        <w:t>质量要求</w:t>
      </w:r>
      <w:r>
        <w:rPr>
          <w:rFonts w:hint="eastAsia" w:ascii="Times New Roman" w:hAnsi="Times New Roman" w:eastAsia="黑体"/>
          <w:color w:val="auto"/>
          <w:sz w:val="24"/>
          <w:szCs w:val="32"/>
          <w:highlight w:val="none"/>
          <w:lang w:val="en-US" w:eastAsia="zh-CN"/>
        </w:rPr>
        <w:t xml:space="preserve"> </w:t>
      </w:r>
    </w:p>
    <w:p>
      <w:pPr>
        <w:pStyle w:val="7"/>
        <w:spacing w:beforeLines="0" w:afterLines="0"/>
        <w:rPr>
          <w:rFonts w:hint="eastAsia"/>
          <w:color w:val="auto"/>
          <w:sz w:val="21"/>
          <w:szCs w:val="24"/>
          <w:highlight w:val="none"/>
        </w:rPr>
      </w:pPr>
      <w:r>
        <w:rPr>
          <w:rFonts w:hint="eastAsia"/>
          <w:color w:val="auto"/>
          <w:sz w:val="21"/>
          <w:szCs w:val="24"/>
          <w:highlight w:val="none"/>
        </w:rPr>
        <w:t>1.1.1技术标准</w:t>
      </w:r>
    </w:p>
    <w:p>
      <w:pPr>
        <w:pStyle w:val="7"/>
        <w:spacing w:beforeLines="0" w:afterLines="0"/>
        <w:ind w:firstLine="420" w:firstLineChars="200"/>
        <w:rPr>
          <w:rFonts w:hint="eastAsia"/>
          <w:color w:val="auto"/>
          <w:sz w:val="21"/>
          <w:szCs w:val="24"/>
          <w:highlight w:val="none"/>
        </w:rPr>
      </w:pPr>
      <w:r>
        <w:rPr>
          <w:rFonts w:hint="eastAsia"/>
          <w:color w:val="auto"/>
          <w:sz w:val="21"/>
          <w:szCs w:val="24"/>
          <w:highlight w:val="none"/>
        </w:rPr>
        <w:t>按有关标准、规范或准则规定的合同设备，包含投标人向其他厂家购买的所有附件和设备，都应符合</w:t>
      </w:r>
      <w:r>
        <w:rPr>
          <w:rFonts w:hint="eastAsia"/>
          <w:color w:val="auto"/>
          <w:sz w:val="21"/>
          <w:szCs w:val="24"/>
          <w:highlight w:val="none"/>
          <w:lang w:val="en-US" w:eastAsia="zh-CN"/>
        </w:rPr>
        <w:t>采购人要求</w:t>
      </w:r>
      <w:r>
        <w:rPr>
          <w:rFonts w:hint="eastAsia"/>
          <w:color w:val="auto"/>
          <w:sz w:val="21"/>
          <w:szCs w:val="24"/>
          <w:highlight w:val="none"/>
        </w:rPr>
        <w:t>。</w:t>
      </w:r>
    </w:p>
    <w:bookmarkEnd w:id="49"/>
    <w:bookmarkEnd w:id="50"/>
    <w:bookmarkEnd w:id="51"/>
    <w:p>
      <w:pPr>
        <w:keepNext/>
        <w:keepLines/>
        <w:spacing w:before="120" w:after="120"/>
        <w:outlineLvl w:val="2"/>
        <w:rPr>
          <w:rFonts w:hint="eastAsia" w:ascii="黑体" w:hAnsi="黑体" w:eastAsia="黑体" w:cs="黑体"/>
          <w:b w:val="0"/>
          <w:bCs/>
          <w:color w:val="auto"/>
          <w:sz w:val="24"/>
          <w:szCs w:val="32"/>
          <w:highlight w:val="none"/>
          <w:lang w:val="en-US" w:eastAsia="zh-CN"/>
        </w:rPr>
      </w:pPr>
      <w:r>
        <w:rPr>
          <w:rFonts w:hint="eastAsia" w:ascii="黑体" w:hAnsi="黑体" w:eastAsia="黑体" w:cs="黑体"/>
          <w:b w:val="0"/>
          <w:bCs/>
          <w:color w:val="auto"/>
          <w:sz w:val="24"/>
          <w:szCs w:val="32"/>
          <w:highlight w:val="none"/>
          <w:lang w:val="en-US" w:eastAsia="zh-CN"/>
        </w:rPr>
        <w:t>1.2 供应商资格要求</w:t>
      </w:r>
    </w:p>
    <w:p>
      <w:pPr>
        <w:spacing w:beforeLines="0" w:afterLines="0" w:line="440" w:lineRule="exact"/>
        <w:ind w:firstLine="420"/>
        <w:rPr>
          <w:rFonts w:hint="eastAsia" w:ascii="Times New Roman" w:hAnsi="Times New Roman" w:eastAsia="Times New Roman"/>
          <w:sz w:val="21"/>
          <w:szCs w:val="21"/>
          <w:highlight w:val="none"/>
        </w:rPr>
      </w:pPr>
      <w:r>
        <w:rPr>
          <w:rFonts w:hint="eastAsia" w:ascii="Times New Roman" w:hAnsi="Times New Roman" w:eastAsia="Times New Roman"/>
          <w:sz w:val="21"/>
          <w:szCs w:val="21"/>
          <w:highlight w:val="none"/>
        </w:rPr>
        <w:t>1.</w:t>
      </w:r>
      <w:r>
        <w:rPr>
          <w:rFonts w:hint="eastAsia" w:ascii="Times New Roman" w:hAnsi="Times New Roman"/>
          <w:sz w:val="21"/>
          <w:szCs w:val="21"/>
          <w:highlight w:val="none"/>
        </w:rPr>
        <w:t>2</w:t>
      </w:r>
      <w:r>
        <w:rPr>
          <w:rFonts w:hint="eastAsia" w:ascii="Times New Roman" w:hAnsi="Times New Roman" w:eastAsia="Times New Roman"/>
          <w:sz w:val="21"/>
          <w:szCs w:val="21"/>
          <w:highlight w:val="none"/>
        </w:rPr>
        <w:t>.1</w:t>
      </w:r>
      <w:r>
        <w:rPr>
          <w:rFonts w:hint="eastAsia" w:ascii="Times New Roman" w:hAnsi="Times New Roman"/>
          <w:sz w:val="21"/>
          <w:szCs w:val="21"/>
          <w:highlight w:val="none"/>
        </w:rPr>
        <w:t xml:space="preserve"> 供应商应具备承担本合同包供货的资质条件、能力和信誉：见第一章 采购公告</w:t>
      </w:r>
      <w:r>
        <w:rPr>
          <w:rFonts w:hint="eastAsia" w:ascii="Times New Roman" w:hAnsi="Times New Roman" w:eastAsia="Times New Roman"/>
          <w:sz w:val="21"/>
          <w:szCs w:val="21"/>
          <w:highlight w:val="none"/>
        </w:rPr>
        <w:t>/</w:t>
      </w:r>
      <w:r>
        <w:rPr>
          <w:rFonts w:hint="eastAsia" w:ascii="Times New Roman" w:hAnsi="Times New Roman"/>
          <w:sz w:val="21"/>
          <w:szCs w:val="21"/>
          <w:highlight w:val="none"/>
        </w:rPr>
        <w:t>采购邀请书第3.1款要求。</w:t>
      </w:r>
    </w:p>
    <w:p>
      <w:pPr>
        <w:spacing w:beforeLines="0" w:afterLines="0" w:line="440" w:lineRule="exact"/>
        <w:ind w:firstLine="420"/>
        <w:rPr>
          <w:rFonts w:hint="eastAsia" w:ascii="Times New Roman" w:hAnsi="Times New Roman" w:eastAsia="Times New Roman"/>
          <w:sz w:val="21"/>
          <w:szCs w:val="21"/>
          <w:highlight w:val="none"/>
        </w:rPr>
      </w:pPr>
      <w:r>
        <w:rPr>
          <w:rFonts w:hint="eastAsia" w:ascii="Times New Roman" w:hAnsi="Times New Roman" w:eastAsia="Times New Roman"/>
          <w:sz w:val="21"/>
          <w:szCs w:val="21"/>
          <w:highlight w:val="none"/>
        </w:rPr>
        <w:t>1.</w:t>
      </w:r>
      <w:r>
        <w:rPr>
          <w:rFonts w:hint="eastAsia" w:ascii="Times New Roman" w:hAnsi="Times New Roman"/>
          <w:sz w:val="21"/>
          <w:szCs w:val="21"/>
          <w:highlight w:val="none"/>
        </w:rPr>
        <w:t>2</w:t>
      </w:r>
      <w:r>
        <w:rPr>
          <w:rFonts w:hint="eastAsia" w:ascii="Times New Roman" w:hAnsi="Times New Roman" w:eastAsia="Times New Roman"/>
          <w:sz w:val="21"/>
          <w:szCs w:val="21"/>
          <w:highlight w:val="none"/>
        </w:rPr>
        <w:t>.</w:t>
      </w:r>
      <w:r>
        <w:rPr>
          <w:rFonts w:hint="eastAsia" w:ascii="Times New Roman" w:hAnsi="Times New Roman"/>
          <w:sz w:val="21"/>
          <w:szCs w:val="21"/>
          <w:highlight w:val="none"/>
        </w:rPr>
        <w:t>2</w:t>
      </w:r>
      <w:r>
        <w:rPr>
          <w:rFonts w:hint="eastAsia" w:ascii="Times New Roman" w:hAnsi="Times New Roman" w:eastAsia="Times New Roman"/>
          <w:sz w:val="21"/>
          <w:szCs w:val="21"/>
          <w:highlight w:val="none"/>
        </w:rPr>
        <w:t xml:space="preserve"> </w:t>
      </w:r>
      <w:r>
        <w:rPr>
          <w:rFonts w:hint="eastAsia" w:ascii="Times New Roman" w:hAnsi="Times New Roman"/>
          <w:sz w:val="21"/>
          <w:szCs w:val="21"/>
          <w:highlight w:val="none"/>
        </w:rPr>
        <w:t>其他要求：见供应商须知前附表。</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1.</w:t>
      </w:r>
      <w:r>
        <w:rPr>
          <w:rFonts w:hint="eastAsia" w:ascii="Times New Roman" w:hAnsi="Times New Roman" w:eastAsia="黑体"/>
          <w:sz w:val="24"/>
          <w:szCs w:val="32"/>
          <w:highlight w:val="none"/>
        </w:rPr>
        <w:t>3</w:t>
      </w:r>
      <w:r>
        <w:rPr>
          <w:rFonts w:hint="eastAsia" w:ascii="Times New Roman" w:hAnsi="Times New Roman" w:eastAsia="Times New Roman"/>
          <w:sz w:val="24"/>
          <w:szCs w:val="32"/>
          <w:highlight w:val="none"/>
        </w:rPr>
        <w:t xml:space="preserve"> </w:t>
      </w:r>
      <w:r>
        <w:rPr>
          <w:rFonts w:hint="eastAsia" w:ascii="Times New Roman" w:hAnsi="Times New Roman" w:eastAsia="黑体"/>
          <w:sz w:val="24"/>
          <w:szCs w:val="32"/>
          <w:highlight w:val="none"/>
        </w:rPr>
        <w:t>费用承担</w:t>
      </w:r>
    </w:p>
    <w:p>
      <w:pPr>
        <w:spacing w:beforeLines="0" w:afterLines="0" w:line="440" w:lineRule="exact"/>
        <w:ind w:firstLine="420"/>
        <w:rPr>
          <w:rFonts w:hint="eastAsia" w:ascii="Times New Roman" w:hAnsi="Times New Roman"/>
          <w:sz w:val="21"/>
          <w:szCs w:val="21"/>
          <w:highlight w:val="none"/>
        </w:rPr>
      </w:pPr>
      <w:r>
        <w:rPr>
          <w:rFonts w:hint="eastAsia" w:ascii="Times New Roman" w:hAnsi="Times New Roman"/>
          <w:sz w:val="21"/>
          <w:szCs w:val="21"/>
          <w:highlight w:val="none"/>
        </w:rPr>
        <w:t>供应商准备和参加询比活动发生的费用自理。</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1.</w:t>
      </w:r>
      <w:r>
        <w:rPr>
          <w:rFonts w:hint="eastAsia" w:ascii="Times New Roman" w:hAnsi="Times New Roman" w:eastAsia="黑体"/>
          <w:sz w:val="24"/>
          <w:szCs w:val="32"/>
          <w:highlight w:val="none"/>
        </w:rPr>
        <w:t>4</w:t>
      </w:r>
      <w:r>
        <w:rPr>
          <w:rFonts w:hint="eastAsia" w:ascii="Times New Roman" w:hAnsi="Times New Roman" w:eastAsia="Times New Roman"/>
          <w:sz w:val="24"/>
          <w:szCs w:val="32"/>
          <w:highlight w:val="none"/>
        </w:rPr>
        <w:t xml:space="preserve"> </w:t>
      </w:r>
      <w:r>
        <w:rPr>
          <w:rFonts w:hint="eastAsia" w:ascii="Times New Roman" w:hAnsi="Times New Roman" w:eastAsia="黑体"/>
          <w:sz w:val="24"/>
          <w:szCs w:val="32"/>
          <w:highlight w:val="none"/>
        </w:rPr>
        <w:t>保密</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参与询比活动的各方应对询比文件和响应文件中的商业和技术等秘密保密，否则应承担相应的法律责任。</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1.</w:t>
      </w:r>
      <w:r>
        <w:rPr>
          <w:rFonts w:hint="eastAsia" w:ascii="Times New Roman" w:hAnsi="Times New Roman" w:eastAsia="黑体"/>
          <w:sz w:val="24"/>
          <w:szCs w:val="32"/>
          <w:highlight w:val="none"/>
        </w:rPr>
        <w:t>5</w:t>
      </w:r>
      <w:r>
        <w:rPr>
          <w:rFonts w:hint="eastAsia" w:ascii="Times New Roman" w:hAnsi="Times New Roman" w:eastAsia="Times New Roman"/>
          <w:sz w:val="24"/>
          <w:szCs w:val="32"/>
          <w:highlight w:val="none"/>
        </w:rPr>
        <w:t xml:space="preserve"> </w:t>
      </w:r>
      <w:r>
        <w:rPr>
          <w:rFonts w:hint="eastAsia" w:ascii="Times New Roman" w:hAnsi="Times New Roman" w:eastAsia="黑体"/>
          <w:sz w:val="24"/>
          <w:szCs w:val="32"/>
          <w:highlight w:val="none"/>
        </w:rPr>
        <w:t>计量单位</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所有计量均采用中华人民共和国法定计量单位。</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1.</w:t>
      </w:r>
      <w:r>
        <w:rPr>
          <w:rFonts w:hint="eastAsia" w:ascii="Times New Roman" w:hAnsi="Times New Roman" w:eastAsia="黑体"/>
          <w:sz w:val="24"/>
          <w:szCs w:val="32"/>
          <w:highlight w:val="none"/>
        </w:rPr>
        <w:t>6</w:t>
      </w:r>
      <w:r>
        <w:rPr>
          <w:rFonts w:hint="eastAsia" w:ascii="Times New Roman" w:hAnsi="Times New Roman" w:eastAsia="Times New Roman"/>
          <w:sz w:val="24"/>
          <w:szCs w:val="32"/>
          <w:highlight w:val="none"/>
        </w:rPr>
        <w:t xml:space="preserve"> </w:t>
      </w:r>
      <w:r>
        <w:rPr>
          <w:rFonts w:hint="eastAsia" w:ascii="Times New Roman" w:hAnsi="Times New Roman" w:eastAsia="黑体"/>
          <w:sz w:val="24"/>
          <w:szCs w:val="32"/>
          <w:highlight w:val="none"/>
        </w:rPr>
        <w:t>踏勘现场</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供应商自行踏勘现场且费用自理。</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1.</w:t>
      </w:r>
      <w:r>
        <w:rPr>
          <w:rFonts w:hint="eastAsia" w:ascii="Times New Roman" w:hAnsi="Times New Roman" w:eastAsia="黑体"/>
          <w:sz w:val="24"/>
          <w:szCs w:val="32"/>
          <w:highlight w:val="none"/>
        </w:rPr>
        <w:t>7</w:t>
      </w:r>
      <w:r>
        <w:rPr>
          <w:rFonts w:hint="eastAsia" w:ascii="Times New Roman" w:hAnsi="Times New Roman" w:eastAsia="Times New Roman"/>
          <w:sz w:val="24"/>
          <w:szCs w:val="32"/>
          <w:highlight w:val="none"/>
        </w:rPr>
        <w:t xml:space="preserve"> </w:t>
      </w:r>
      <w:r>
        <w:rPr>
          <w:rFonts w:hint="eastAsia" w:ascii="Times New Roman" w:hAnsi="Times New Roman" w:eastAsia="黑体"/>
          <w:sz w:val="24"/>
          <w:szCs w:val="32"/>
          <w:highlight w:val="none"/>
        </w:rPr>
        <w:t>分包</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不允许分包。</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1.</w:t>
      </w:r>
      <w:r>
        <w:rPr>
          <w:rFonts w:hint="eastAsia" w:ascii="Times New Roman" w:hAnsi="Times New Roman" w:eastAsia="黑体"/>
          <w:sz w:val="24"/>
          <w:szCs w:val="32"/>
          <w:highlight w:val="none"/>
        </w:rPr>
        <w:t>8</w:t>
      </w:r>
      <w:r>
        <w:rPr>
          <w:rFonts w:hint="eastAsia" w:ascii="Times New Roman" w:hAnsi="Times New Roman" w:eastAsia="Times New Roman"/>
          <w:sz w:val="24"/>
          <w:szCs w:val="32"/>
          <w:highlight w:val="none"/>
        </w:rPr>
        <w:t xml:space="preserve"> </w:t>
      </w:r>
      <w:r>
        <w:rPr>
          <w:rFonts w:hint="eastAsia" w:ascii="Times New Roman" w:hAnsi="Times New Roman" w:eastAsia="黑体"/>
          <w:sz w:val="24"/>
          <w:szCs w:val="32"/>
          <w:highlight w:val="none"/>
        </w:rPr>
        <w:t>偏差</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1.</w:t>
      </w:r>
      <w:r>
        <w:rPr>
          <w:rFonts w:hint="eastAsia" w:ascii="Times New Roman" w:hAnsi="Times New Roman"/>
          <w:sz w:val="21"/>
          <w:szCs w:val="24"/>
          <w:highlight w:val="none"/>
        </w:rPr>
        <w:t>8</w:t>
      </w:r>
      <w:r>
        <w:rPr>
          <w:rFonts w:hint="eastAsia" w:ascii="Times New Roman" w:hAnsi="Times New Roman" w:eastAsia="Times New Roman"/>
          <w:sz w:val="21"/>
          <w:szCs w:val="24"/>
          <w:highlight w:val="none"/>
        </w:rPr>
        <w:t>.1</w:t>
      </w:r>
      <w:r>
        <w:rPr>
          <w:rFonts w:hint="eastAsia" w:ascii="Times New Roman" w:hAnsi="Times New Roman"/>
          <w:sz w:val="21"/>
          <w:szCs w:val="24"/>
          <w:highlight w:val="none"/>
        </w:rPr>
        <w:t xml:space="preserve"> 偏差包括重大偏差和细微偏差。</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1.</w:t>
      </w:r>
      <w:r>
        <w:rPr>
          <w:rFonts w:hint="eastAsia" w:ascii="Times New Roman" w:hAnsi="Times New Roman"/>
          <w:sz w:val="21"/>
          <w:szCs w:val="24"/>
          <w:highlight w:val="none"/>
        </w:rPr>
        <w:t>8</w:t>
      </w:r>
      <w:r>
        <w:rPr>
          <w:rFonts w:hint="eastAsia" w:ascii="Times New Roman" w:hAnsi="Times New Roman" w:eastAsia="Times New Roman"/>
          <w:sz w:val="21"/>
          <w:szCs w:val="24"/>
          <w:highlight w:val="none"/>
        </w:rPr>
        <w:t xml:space="preserve">.2 </w:t>
      </w:r>
      <w:r>
        <w:rPr>
          <w:rFonts w:hint="eastAsia" w:ascii="Times New Roman" w:hAnsi="Times New Roman"/>
          <w:sz w:val="21"/>
          <w:szCs w:val="24"/>
          <w:highlight w:val="none"/>
        </w:rPr>
        <w:t>响应文件存在第三章“评审办法”中所列任一否决响应文件情形的，均属于存在重大偏差，响应文件将被否决。</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2. </w:t>
      </w:r>
      <w:r>
        <w:rPr>
          <w:rFonts w:hint="eastAsia" w:ascii="Times New Roman" w:hAnsi="Times New Roman" w:eastAsia="黑体"/>
          <w:sz w:val="24"/>
          <w:szCs w:val="32"/>
          <w:highlight w:val="none"/>
        </w:rPr>
        <w:t>询比文件</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2.1 </w:t>
      </w:r>
      <w:r>
        <w:rPr>
          <w:rFonts w:hint="eastAsia" w:ascii="Times New Roman" w:hAnsi="Times New Roman" w:eastAsia="黑体"/>
          <w:sz w:val="24"/>
          <w:szCs w:val="32"/>
          <w:highlight w:val="none"/>
        </w:rPr>
        <w:t>询比文件的组成</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本询比文件包括：</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（1）采购公告</w:t>
      </w:r>
      <w:r>
        <w:rPr>
          <w:rFonts w:hint="eastAsia" w:ascii="Times New Roman" w:hAnsi="Times New Roman" w:eastAsia="Times New Roman"/>
          <w:sz w:val="21"/>
          <w:szCs w:val="24"/>
          <w:highlight w:val="none"/>
        </w:rPr>
        <w:t>/</w:t>
      </w:r>
      <w:r>
        <w:rPr>
          <w:rFonts w:hint="eastAsia" w:ascii="Times New Roman" w:hAnsi="Times New Roman"/>
          <w:sz w:val="21"/>
          <w:szCs w:val="24"/>
          <w:highlight w:val="none"/>
        </w:rPr>
        <w:t>采购邀请书；</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（2）供应商须知；</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（3）评审办法；</w:t>
      </w:r>
    </w:p>
    <w:p>
      <w:pPr>
        <w:spacing w:beforeLines="0" w:afterLines="0" w:line="440" w:lineRule="exact"/>
        <w:ind w:firstLine="420"/>
        <w:rPr>
          <w:rFonts w:hint="eastAsia" w:ascii="Times New Roman" w:hAnsi="Times New Roman"/>
          <w:sz w:val="21"/>
          <w:szCs w:val="24"/>
          <w:highlight w:val="none"/>
        </w:rPr>
      </w:pPr>
      <w:r>
        <w:rPr>
          <w:rFonts w:hint="eastAsia" w:ascii="Times New Roman" w:hAnsi="Times New Roman"/>
          <w:sz w:val="21"/>
          <w:szCs w:val="24"/>
          <w:highlight w:val="none"/>
        </w:rPr>
        <w:t>（4）合同内容；</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（5）供货要求；</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（6）采购需求及清单；</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（7）响应文件格式。</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根据本章第2.2款对询比文件所作的澄清、修改，构成询比文件的组成部分。</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当询比文件、询比文件的澄清或修改等在同一内容的表述上不一致时，以最后发出的书面文件为准。</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2.2 </w:t>
      </w:r>
      <w:r>
        <w:rPr>
          <w:rFonts w:hint="eastAsia" w:ascii="Times New Roman" w:hAnsi="Times New Roman" w:eastAsia="黑体"/>
          <w:sz w:val="24"/>
          <w:szCs w:val="32"/>
          <w:highlight w:val="none"/>
        </w:rPr>
        <w:t>询比文件的澄清与修改</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2.2.1</w:t>
      </w:r>
      <w:r>
        <w:rPr>
          <w:rFonts w:hint="eastAsia" w:ascii="Times New Roman" w:hAnsi="Times New Roman"/>
          <w:sz w:val="21"/>
          <w:szCs w:val="24"/>
          <w:highlight w:val="none"/>
        </w:rPr>
        <w:t xml:space="preserve"> 供应商如有疑问，应在递交响应文件的截止时间前3日前通过“安徽省经工建设集团有限公司”官网平台联系采购人对询比文件予以澄清或修改。</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2.2.</w:t>
      </w:r>
      <w:r>
        <w:rPr>
          <w:rFonts w:hint="eastAsia" w:ascii="Times New Roman" w:hAnsi="Times New Roman"/>
          <w:sz w:val="21"/>
          <w:szCs w:val="24"/>
          <w:highlight w:val="none"/>
        </w:rPr>
        <w:t>2</w:t>
      </w:r>
      <w:r>
        <w:rPr>
          <w:rFonts w:hint="eastAsia" w:ascii="Times New Roman" w:hAnsi="Times New Roman" w:eastAsia="Times New Roman"/>
          <w:sz w:val="21"/>
          <w:szCs w:val="24"/>
          <w:highlight w:val="none"/>
        </w:rPr>
        <w:t xml:space="preserve"> </w:t>
      </w:r>
      <w:r>
        <w:rPr>
          <w:rFonts w:hint="eastAsia" w:ascii="Times New Roman" w:hAnsi="Times New Roman"/>
          <w:sz w:val="21"/>
          <w:szCs w:val="24"/>
          <w:highlight w:val="none"/>
        </w:rPr>
        <w:t>除非采购人认为确有必要答复，否则，采购人有权拒绝回复供应商在本章第2.2.1项规定的时间后提出的任何澄清或修改要求。</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3. </w:t>
      </w:r>
      <w:r>
        <w:rPr>
          <w:rFonts w:hint="eastAsia" w:ascii="Times New Roman" w:hAnsi="Times New Roman" w:eastAsia="黑体"/>
          <w:sz w:val="24"/>
          <w:szCs w:val="32"/>
          <w:highlight w:val="none"/>
        </w:rPr>
        <w:t>响应文件</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3.1</w:t>
      </w:r>
      <w:r>
        <w:rPr>
          <w:rFonts w:hint="eastAsia" w:ascii="Times New Roman" w:hAnsi="Times New Roman" w:eastAsia="黑体"/>
          <w:sz w:val="24"/>
          <w:szCs w:val="32"/>
          <w:highlight w:val="none"/>
        </w:rPr>
        <w:t>响应文件的组成</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响应文件应包括下列内容：</w:t>
      </w:r>
    </w:p>
    <w:p>
      <w:pPr>
        <w:spacing w:beforeLines="0" w:afterLines="0" w:line="440" w:lineRule="exact"/>
        <w:ind w:firstLine="420"/>
        <w:rPr>
          <w:rFonts w:hint="eastAsia" w:ascii="宋体" w:hAnsi="宋体" w:cs="宋体"/>
          <w:b/>
          <w:sz w:val="21"/>
          <w:szCs w:val="24"/>
          <w:highlight w:val="none"/>
        </w:rPr>
      </w:pPr>
      <w:r>
        <w:rPr>
          <w:rFonts w:hint="eastAsia" w:ascii="宋体" w:hAnsi="宋体" w:cs="宋体"/>
          <w:b/>
          <w:sz w:val="21"/>
          <w:szCs w:val="24"/>
          <w:highlight w:val="none"/>
        </w:rPr>
        <w:t>商务技术文件应包括下列内容：</w:t>
      </w:r>
    </w:p>
    <w:p>
      <w:pPr>
        <w:numPr>
          <w:ilvl w:val="0"/>
          <w:numId w:val="3"/>
        </w:num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响应函；</w:t>
      </w:r>
    </w:p>
    <w:p>
      <w:pPr>
        <w:numPr>
          <w:ilvl w:val="0"/>
          <w:numId w:val="3"/>
        </w:num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法定代表人身份证明及授权委托书；</w:t>
      </w:r>
    </w:p>
    <w:p>
      <w:p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（3）供应商基本情况；</w:t>
      </w:r>
    </w:p>
    <w:p>
      <w:p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（4）近年类似业绩情况；</w:t>
      </w:r>
    </w:p>
    <w:p>
      <w:p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（5）信誉情况；</w:t>
      </w:r>
    </w:p>
    <w:p>
      <w:p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（6）供货方案；</w:t>
      </w:r>
    </w:p>
    <w:p>
      <w:pPr>
        <w:spacing w:beforeLines="0" w:afterLines="0" w:line="440" w:lineRule="exact"/>
        <w:ind w:firstLine="420" w:firstLineChars="200"/>
        <w:rPr>
          <w:rFonts w:hint="eastAsia" w:ascii="宋体" w:hAnsi="宋体" w:cs="宋体"/>
          <w:sz w:val="21"/>
          <w:szCs w:val="24"/>
          <w:highlight w:val="none"/>
        </w:rPr>
      </w:pPr>
      <w:r>
        <w:rPr>
          <w:rFonts w:hint="eastAsia" w:ascii="宋体" w:hAnsi="宋体" w:cs="宋体"/>
          <w:sz w:val="21"/>
          <w:szCs w:val="24"/>
          <w:highlight w:val="none"/>
        </w:rPr>
        <w:t>（7）其他材料。</w:t>
      </w:r>
    </w:p>
    <w:p>
      <w:pPr>
        <w:spacing w:beforeLines="0" w:afterLines="0" w:line="440" w:lineRule="exact"/>
        <w:ind w:firstLine="420"/>
        <w:rPr>
          <w:rFonts w:hint="eastAsia" w:ascii="宋体" w:hAnsi="宋体" w:cs="宋体"/>
          <w:b/>
          <w:sz w:val="21"/>
          <w:szCs w:val="24"/>
          <w:highlight w:val="none"/>
        </w:rPr>
      </w:pPr>
      <w:r>
        <w:rPr>
          <w:rFonts w:hint="eastAsia" w:ascii="宋体" w:hAnsi="宋体" w:cs="宋体"/>
          <w:b/>
          <w:sz w:val="21"/>
          <w:szCs w:val="24"/>
          <w:highlight w:val="none"/>
        </w:rPr>
        <w:t>报价文件包括以下内容：</w:t>
      </w:r>
    </w:p>
    <w:p>
      <w:p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（1）报价函；</w:t>
      </w:r>
    </w:p>
    <w:p>
      <w:pPr>
        <w:spacing w:beforeLines="0" w:afterLines="0" w:line="440" w:lineRule="exact"/>
        <w:ind w:firstLine="420"/>
        <w:rPr>
          <w:rFonts w:hint="eastAsia" w:ascii="宋体" w:hAnsi="宋体" w:cs="宋体"/>
          <w:sz w:val="21"/>
          <w:szCs w:val="24"/>
          <w:highlight w:val="none"/>
        </w:rPr>
      </w:pPr>
      <w:r>
        <w:rPr>
          <w:rFonts w:hint="eastAsia" w:ascii="宋体" w:hAnsi="宋体" w:cs="宋体"/>
          <w:sz w:val="21"/>
          <w:szCs w:val="24"/>
          <w:highlight w:val="none"/>
        </w:rPr>
        <w:t>（2）已标价的工程量清单；</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3.2 </w:t>
      </w:r>
      <w:r>
        <w:rPr>
          <w:rFonts w:hint="eastAsia" w:ascii="Times New Roman" w:hAnsi="Times New Roman" w:eastAsia="黑体"/>
          <w:sz w:val="24"/>
          <w:szCs w:val="32"/>
          <w:highlight w:val="none"/>
        </w:rPr>
        <w:t xml:space="preserve">报价要求 </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3.2.1 </w:t>
      </w:r>
      <w:r>
        <w:rPr>
          <w:rFonts w:hint="eastAsia" w:ascii="Times New Roman" w:hAnsi="Times New Roman"/>
          <w:sz w:val="21"/>
          <w:szCs w:val="24"/>
          <w:highlight w:val="none"/>
        </w:rPr>
        <w:t>报价应包括国家规定的增值税税金。</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3.2.2 供应商应按第六章“响应文件格式”的要求在报价函中进行报价并填写工程量清单相应表格。</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3.2.</w:t>
      </w:r>
      <w:r>
        <w:rPr>
          <w:rFonts w:hint="eastAsia" w:ascii="Times New Roman" w:hAnsi="Times New Roman"/>
          <w:sz w:val="21"/>
          <w:szCs w:val="24"/>
          <w:highlight w:val="none"/>
        </w:rPr>
        <w:t>3</w:t>
      </w:r>
      <w:r>
        <w:rPr>
          <w:rFonts w:hint="eastAsia" w:ascii="Times New Roman" w:hAnsi="Times New Roman" w:eastAsia="Times New Roman"/>
          <w:sz w:val="21"/>
          <w:szCs w:val="24"/>
          <w:highlight w:val="none"/>
        </w:rPr>
        <w:t xml:space="preserve"> </w:t>
      </w:r>
      <w:r>
        <w:rPr>
          <w:rFonts w:hint="eastAsia" w:ascii="Times New Roman" w:hAnsi="Times New Roman"/>
          <w:sz w:val="21"/>
          <w:szCs w:val="24"/>
          <w:highlight w:val="none"/>
        </w:rPr>
        <w:t>采购人设有最高限价的，供应商的报价不得超过最高限价，否则其报价将被否决，最高限价见第一章</w:t>
      </w:r>
      <w:r>
        <w:rPr>
          <w:rFonts w:hint="eastAsia" w:ascii="Times New Roman" w:hAnsi="Times New Roman" w:eastAsia="Times New Roman"/>
          <w:sz w:val="21"/>
          <w:szCs w:val="24"/>
          <w:highlight w:val="none"/>
        </w:rPr>
        <w:t>“</w:t>
      </w:r>
      <w:r>
        <w:rPr>
          <w:rFonts w:hint="eastAsia" w:ascii="Times New Roman" w:hAnsi="Times New Roman"/>
          <w:sz w:val="21"/>
          <w:szCs w:val="21"/>
          <w:highlight w:val="none"/>
        </w:rPr>
        <w:t>采购公告</w:t>
      </w:r>
      <w:r>
        <w:rPr>
          <w:rFonts w:hint="eastAsia" w:ascii="Times New Roman" w:hAnsi="Times New Roman" w:eastAsia="Times New Roman"/>
          <w:sz w:val="21"/>
          <w:szCs w:val="21"/>
          <w:highlight w:val="none"/>
        </w:rPr>
        <w:t>/</w:t>
      </w:r>
      <w:r>
        <w:rPr>
          <w:rFonts w:hint="eastAsia" w:ascii="Times New Roman" w:hAnsi="Times New Roman"/>
          <w:sz w:val="21"/>
          <w:szCs w:val="21"/>
          <w:highlight w:val="none"/>
        </w:rPr>
        <w:t>采购邀请书</w:t>
      </w:r>
      <w:r>
        <w:rPr>
          <w:rFonts w:hint="eastAsia" w:ascii="Times New Roman" w:hAnsi="Times New Roman" w:eastAsia="Times New Roman"/>
          <w:sz w:val="21"/>
          <w:szCs w:val="24"/>
          <w:highlight w:val="none"/>
        </w:rPr>
        <w:t>”</w:t>
      </w:r>
      <w:r>
        <w:rPr>
          <w:rFonts w:hint="eastAsia" w:ascii="Times New Roman" w:hAnsi="Times New Roman"/>
          <w:sz w:val="21"/>
          <w:szCs w:val="24"/>
          <w:highlight w:val="none"/>
        </w:rPr>
        <w:t>第2.6款。</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3.2.4本项目的报价方式为</w:t>
      </w:r>
      <w:r>
        <w:rPr>
          <w:rFonts w:hint="eastAsia" w:ascii="Times New Roman" w:hAnsi="Times New Roman"/>
          <w:sz w:val="21"/>
          <w:szCs w:val="24"/>
          <w:highlight w:val="none"/>
          <w:u w:val="single"/>
        </w:rPr>
        <w:t xml:space="preserve">  见供应商须知前附表  </w:t>
      </w:r>
      <w:r>
        <w:rPr>
          <w:rFonts w:hint="eastAsia" w:ascii="Times New Roman" w:hAnsi="Times New Roman"/>
          <w:sz w:val="21"/>
          <w:szCs w:val="24"/>
          <w:highlight w:val="none"/>
        </w:rPr>
        <w:t>。</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3.2.</w:t>
      </w:r>
      <w:r>
        <w:rPr>
          <w:rFonts w:hint="eastAsia" w:ascii="Times New Roman" w:hAnsi="Times New Roman"/>
          <w:sz w:val="21"/>
          <w:szCs w:val="24"/>
          <w:highlight w:val="none"/>
        </w:rPr>
        <w:t>5</w:t>
      </w:r>
      <w:r>
        <w:rPr>
          <w:rFonts w:hint="eastAsia" w:ascii="Times New Roman" w:hAnsi="Times New Roman" w:eastAsia="Times New Roman"/>
          <w:sz w:val="21"/>
          <w:szCs w:val="24"/>
          <w:highlight w:val="none"/>
        </w:rPr>
        <w:t xml:space="preserve"> </w:t>
      </w:r>
      <w:r>
        <w:rPr>
          <w:rFonts w:hint="eastAsia" w:ascii="Times New Roman" w:hAnsi="Times New Roman"/>
          <w:sz w:val="21"/>
          <w:szCs w:val="24"/>
          <w:highlight w:val="none"/>
        </w:rPr>
        <w:t>报价的其他要求：</w:t>
      </w:r>
      <w:r>
        <w:rPr>
          <w:rFonts w:hint="eastAsia" w:ascii="Times New Roman" w:hAnsi="Times New Roman"/>
          <w:sz w:val="21"/>
          <w:szCs w:val="21"/>
          <w:highlight w:val="none"/>
        </w:rPr>
        <w:t>见供应商须知前附表</w:t>
      </w:r>
      <w:r>
        <w:rPr>
          <w:rFonts w:hint="eastAsia" w:ascii="Times New Roman" w:hAnsi="Times New Roman"/>
          <w:sz w:val="21"/>
          <w:szCs w:val="24"/>
          <w:highlight w:val="none"/>
        </w:rPr>
        <w:t>。</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3.3</w:t>
      </w:r>
      <w:r>
        <w:rPr>
          <w:rFonts w:hint="eastAsia" w:ascii="Times New Roman" w:hAnsi="Times New Roman" w:eastAsia="黑体"/>
          <w:sz w:val="24"/>
          <w:szCs w:val="32"/>
          <w:highlight w:val="none"/>
        </w:rPr>
        <w:t>响应有效期</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3.3.1 </w:t>
      </w:r>
      <w:r>
        <w:rPr>
          <w:rFonts w:hint="eastAsia" w:ascii="Times New Roman" w:hAnsi="Times New Roman"/>
          <w:sz w:val="21"/>
          <w:szCs w:val="24"/>
          <w:highlight w:val="none"/>
        </w:rPr>
        <w:t>响应有效期为</w:t>
      </w:r>
      <w:r>
        <w:rPr>
          <w:rFonts w:hint="eastAsia" w:ascii="Times New Roman" w:hAnsi="Times New Roman"/>
          <w:sz w:val="21"/>
          <w:szCs w:val="21"/>
          <w:highlight w:val="none"/>
        </w:rPr>
        <w:t>自供应商递交响应文件截止之日起计算9</w:t>
      </w:r>
      <w:r>
        <w:rPr>
          <w:rFonts w:hint="eastAsia" w:ascii="Times New Roman" w:hAnsi="Times New Roman" w:eastAsia="Times New Roman"/>
          <w:sz w:val="21"/>
          <w:szCs w:val="21"/>
          <w:highlight w:val="none"/>
        </w:rPr>
        <w:t>0</w:t>
      </w:r>
      <w:r>
        <w:rPr>
          <w:rFonts w:hint="eastAsia" w:ascii="Times New Roman" w:hAnsi="Times New Roman"/>
          <w:sz w:val="21"/>
          <w:szCs w:val="24"/>
          <w:highlight w:val="none"/>
        </w:rPr>
        <w:t>日。</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3.3.2 </w:t>
      </w:r>
      <w:r>
        <w:rPr>
          <w:rFonts w:hint="eastAsia" w:ascii="Times New Roman" w:hAnsi="Times New Roman"/>
          <w:sz w:val="21"/>
          <w:szCs w:val="24"/>
          <w:highlight w:val="none"/>
        </w:rPr>
        <w:t>在响应有效期内，供应商撤销响应文件的，应承担询比文件和法律规定的责任。</w:t>
      </w:r>
    </w:p>
    <w:p>
      <w:pPr>
        <w:keepNext/>
        <w:keepLines/>
        <w:spacing w:before="120" w:beforeLines="0" w:after="120" w:afterLines="0" w:line="415" w:lineRule="auto"/>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3.4</w:t>
      </w:r>
      <w:r>
        <w:rPr>
          <w:rFonts w:hint="eastAsia" w:ascii="Times New Roman" w:hAnsi="Times New Roman" w:eastAsia="黑体"/>
          <w:sz w:val="24"/>
          <w:szCs w:val="32"/>
          <w:highlight w:val="none"/>
        </w:rPr>
        <w:t>响应保证金</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3.4.1 </w:t>
      </w:r>
      <w:r>
        <w:rPr>
          <w:rFonts w:hint="eastAsia" w:ascii="Times New Roman" w:hAnsi="Times New Roman"/>
          <w:sz w:val="21"/>
          <w:szCs w:val="24"/>
          <w:highlight w:val="none"/>
        </w:rPr>
        <w:t>供应商在递交响应文件的同时，应按第一章</w:t>
      </w:r>
      <w:r>
        <w:rPr>
          <w:rFonts w:hint="eastAsia" w:ascii="Times New Roman" w:hAnsi="Times New Roman" w:eastAsia="Times New Roman"/>
          <w:sz w:val="21"/>
          <w:szCs w:val="24"/>
          <w:highlight w:val="none"/>
        </w:rPr>
        <w:t>“</w:t>
      </w:r>
      <w:r>
        <w:rPr>
          <w:rFonts w:hint="eastAsia" w:ascii="Times New Roman" w:hAnsi="Times New Roman"/>
          <w:sz w:val="21"/>
          <w:szCs w:val="21"/>
          <w:highlight w:val="none"/>
        </w:rPr>
        <w:t>采购公告</w:t>
      </w:r>
      <w:r>
        <w:rPr>
          <w:rFonts w:hint="eastAsia" w:ascii="Times New Roman" w:hAnsi="Times New Roman" w:eastAsia="Times New Roman"/>
          <w:sz w:val="21"/>
          <w:szCs w:val="21"/>
          <w:highlight w:val="none"/>
        </w:rPr>
        <w:t>/</w:t>
      </w:r>
      <w:r>
        <w:rPr>
          <w:rFonts w:hint="eastAsia" w:ascii="Times New Roman" w:hAnsi="Times New Roman"/>
          <w:sz w:val="21"/>
          <w:szCs w:val="21"/>
          <w:highlight w:val="none"/>
        </w:rPr>
        <w:t>采购邀请书</w:t>
      </w:r>
      <w:r>
        <w:rPr>
          <w:rFonts w:hint="eastAsia" w:ascii="Times New Roman" w:hAnsi="Times New Roman" w:eastAsia="Times New Roman"/>
          <w:sz w:val="21"/>
          <w:szCs w:val="24"/>
          <w:highlight w:val="none"/>
        </w:rPr>
        <w:t>”</w:t>
      </w:r>
      <w:r>
        <w:rPr>
          <w:rFonts w:hint="eastAsia" w:ascii="Times New Roman" w:hAnsi="Times New Roman"/>
          <w:sz w:val="21"/>
          <w:szCs w:val="24"/>
          <w:highlight w:val="none"/>
        </w:rPr>
        <w:t>第7条的要求递交响应保证金，并作为其响应文件的组成部分。</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无论采取何种形式的响应保证金，响应保证金有效期均应与响应有效期一致。</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3.4.2 </w:t>
      </w:r>
      <w:r>
        <w:rPr>
          <w:rFonts w:hint="eastAsia" w:ascii="Times New Roman" w:hAnsi="Times New Roman"/>
          <w:sz w:val="21"/>
          <w:szCs w:val="24"/>
          <w:highlight w:val="none"/>
        </w:rPr>
        <w:t>供应商不按本章第3.4.1项要求提交响应保证金的，评审小组将否决其响应文件。</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3.4.3 </w:t>
      </w:r>
      <w:r>
        <w:rPr>
          <w:rFonts w:hint="eastAsia" w:ascii="Times New Roman" w:hAnsi="Times New Roman"/>
          <w:sz w:val="21"/>
          <w:szCs w:val="24"/>
          <w:highlight w:val="none"/>
        </w:rPr>
        <w:t>采购人在与成交人签订合同后5日内办理退还响应保证金手续。</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3.4.4 </w:t>
      </w:r>
      <w:r>
        <w:rPr>
          <w:rFonts w:hint="eastAsia" w:ascii="Times New Roman" w:hAnsi="Times New Roman"/>
          <w:sz w:val="21"/>
          <w:szCs w:val="24"/>
          <w:highlight w:val="none"/>
        </w:rPr>
        <w:t>有下列情形之一的，响应保证金将不予退还：</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（1）供应商在规定的响应有效期内撤销其响应文件；</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（3）</w:t>
      </w:r>
      <w:r>
        <w:rPr>
          <w:rFonts w:hint="eastAsia" w:ascii="Times New Roman" w:hAnsi="Times New Roman"/>
          <w:sz w:val="21"/>
          <w:szCs w:val="21"/>
          <w:highlight w:val="none"/>
        </w:rPr>
        <w:t>供应商须知前附表规定的其他情形</w:t>
      </w:r>
      <w:r>
        <w:rPr>
          <w:rFonts w:hint="eastAsia" w:ascii="Times New Roman" w:hAnsi="Times New Roman"/>
          <w:sz w:val="21"/>
          <w:szCs w:val="24"/>
          <w:highlight w:val="none"/>
        </w:rPr>
        <w:t>。</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3.5</w:t>
      </w:r>
      <w:r>
        <w:rPr>
          <w:rFonts w:hint="eastAsia" w:ascii="Times New Roman" w:hAnsi="Times New Roman" w:eastAsia="黑体"/>
          <w:sz w:val="24"/>
          <w:szCs w:val="32"/>
          <w:highlight w:val="none"/>
        </w:rPr>
        <w:t>资格审查资料</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供应商应按第六章“响应文件格式”的规定提供资格审查资料，以证明其满足本章第1.2款规定的资质、能力、信誉等要求。</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3.</w:t>
      </w:r>
      <w:r>
        <w:rPr>
          <w:rFonts w:hint="eastAsia" w:ascii="Times New Roman" w:hAnsi="Times New Roman" w:eastAsia="黑体"/>
          <w:sz w:val="24"/>
          <w:szCs w:val="32"/>
          <w:highlight w:val="none"/>
        </w:rPr>
        <w:t>6响应文件的编制</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3.</w:t>
      </w:r>
      <w:r>
        <w:rPr>
          <w:rFonts w:hint="eastAsia" w:ascii="Times New Roman" w:hAnsi="Times New Roman"/>
          <w:sz w:val="21"/>
          <w:szCs w:val="24"/>
          <w:highlight w:val="none"/>
        </w:rPr>
        <w:t>6</w:t>
      </w:r>
      <w:r>
        <w:rPr>
          <w:rFonts w:hint="eastAsia" w:ascii="Times New Roman" w:hAnsi="Times New Roman" w:eastAsia="Times New Roman"/>
          <w:sz w:val="21"/>
          <w:szCs w:val="24"/>
          <w:highlight w:val="none"/>
        </w:rPr>
        <w:t>.1</w:t>
      </w:r>
      <w:r>
        <w:rPr>
          <w:rFonts w:hint="eastAsia" w:ascii="Times New Roman" w:hAnsi="Times New Roman"/>
          <w:sz w:val="21"/>
          <w:szCs w:val="24"/>
          <w:highlight w:val="none"/>
        </w:rPr>
        <w:t xml:space="preserve"> 响应文件应按第六章“响应文件格式”进行编写，如有必要，可以增加附页，作为响应文件的组成部分。</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3.</w:t>
      </w:r>
      <w:r>
        <w:rPr>
          <w:rFonts w:hint="eastAsia" w:ascii="Times New Roman" w:hAnsi="Times New Roman"/>
          <w:sz w:val="21"/>
          <w:szCs w:val="24"/>
          <w:highlight w:val="none"/>
        </w:rPr>
        <w:t>6</w:t>
      </w:r>
      <w:r>
        <w:rPr>
          <w:rFonts w:hint="eastAsia" w:ascii="Times New Roman" w:hAnsi="Times New Roman" w:eastAsia="Times New Roman"/>
          <w:sz w:val="21"/>
          <w:szCs w:val="24"/>
          <w:highlight w:val="none"/>
        </w:rPr>
        <w:t xml:space="preserve">.2 </w:t>
      </w:r>
      <w:r>
        <w:rPr>
          <w:rFonts w:hint="eastAsia" w:ascii="Times New Roman" w:hAnsi="Times New Roman"/>
          <w:sz w:val="21"/>
          <w:szCs w:val="24"/>
          <w:highlight w:val="none"/>
        </w:rPr>
        <w:t>响应文件应当对询比文件有关工期、响应有效期、质量要求、技术标准和要求、采购范围等实质性内容作出响应。</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3.</w:t>
      </w:r>
      <w:r>
        <w:rPr>
          <w:rFonts w:hint="eastAsia" w:ascii="Times New Roman" w:hAnsi="Times New Roman"/>
          <w:sz w:val="21"/>
          <w:szCs w:val="24"/>
          <w:highlight w:val="none"/>
        </w:rPr>
        <w:t>6</w:t>
      </w:r>
      <w:r>
        <w:rPr>
          <w:rFonts w:hint="eastAsia" w:ascii="Times New Roman" w:hAnsi="Times New Roman" w:eastAsia="Times New Roman"/>
          <w:sz w:val="21"/>
          <w:szCs w:val="24"/>
          <w:highlight w:val="none"/>
        </w:rPr>
        <w:t>.3</w:t>
      </w:r>
      <w:r>
        <w:rPr>
          <w:rFonts w:hint="eastAsia" w:ascii="Times New Roman" w:hAnsi="Times New Roman"/>
          <w:sz w:val="21"/>
          <w:szCs w:val="24"/>
          <w:highlight w:val="none"/>
        </w:rPr>
        <w:t>响应文件的制作应满足以下规定：</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（2）响应文件正本一份，副本一份。正本和副本的封面右上角上应清楚地标记“正本”和“副本”的字样。当副本与正本不一致时，以正本文件为准。</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（3）响应文件的正本与副本应分别装订。</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（4）响应文件其他要求见供应商须知前附表。</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4. </w:t>
      </w:r>
      <w:r>
        <w:rPr>
          <w:rFonts w:hint="eastAsia" w:ascii="Times New Roman" w:hAnsi="Times New Roman" w:eastAsia="黑体"/>
          <w:sz w:val="24"/>
          <w:szCs w:val="32"/>
          <w:highlight w:val="none"/>
        </w:rPr>
        <w:t>响应文件的递交</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4.1</w:t>
      </w:r>
      <w:r>
        <w:rPr>
          <w:rFonts w:hint="eastAsia" w:ascii="Times New Roman" w:hAnsi="Times New Roman" w:eastAsia="黑体"/>
          <w:sz w:val="24"/>
          <w:szCs w:val="32"/>
          <w:highlight w:val="none"/>
        </w:rPr>
        <w:t>响应文件的密封和标记</w:t>
      </w:r>
    </w:p>
    <w:p>
      <w:pPr>
        <w:spacing w:beforeLines="0" w:afterLines="0" w:line="440" w:lineRule="exact"/>
        <w:ind w:firstLine="420"/>
        <w:rPr>
          <w:rFonts w:hint="eastAsia" w:ascii="Times New Roman" w:hAnsi="Times New Roman"/>
          <w:sz w:val="21"/>
          <w:szCs w:val="24"/>
          <w:highlight w:val="none"/>
        </w:rPr>
      </w:pPr>
      <w:r>
        <w:rPr>
          <w:rFonts w:hint="eastAsia" w:ascii="Times New Roman" w:hAnsi="Times New Roman" w:eastAsia="Times New Roman"/>
          <w:sz w:val="21"/>
          <w:szCs w:val="24"/>
          <w:highlight w:val="none"/>
        </w:rPr>
        <w:t>4.1.1</w:t>
      </w:r>
      <w:r>
        <w:rPr>
          <w:rFonts w:hint="eastAsia" w:ascii="Times New Roman" w:hAnsi="Times New Roman"/>
          <w:sz w:val="21"/>
          <w:szCs w:val="24"/>
          <w:highlight w:val="none"/>
        </w:rPr>
        <w:t>响应文件正、副本应密封包装在一个封套内，第一信封（商务技术文件）与第二信封（报价文件）分开密封。</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响应文件第一信封（商务技术文件）封套上注明：</w:t>
      </w:r>
    </w:p>
    <w:p>
      <w:pPr>
        <w:spacing w:beforeLines="0" w:afterLines="0" w:line="440" w:lineRule="exact"/>
        <w:ind w:firstLine="420"/>
        <w:rPr>
          <w:rFonts w:hint="eastAsia" w:ascii="Times New Roman" w:hAnsi="Times New Roman" w:eastAsia="Times New Roman" w:cs="黑体"/>
          <w:snapToGrid w:val="0"/>
          <w:kern w:val="0"/>
          <w:sz w:val="21"/>
          <w:szCs w:val="21"/>
          <w:highlight w:val="none"/>
        </w:rPr>
      </w:pPr>
      <w:r>
        <w:rPr>
          <w:rFonts w:hint="eastAsia" w:ascii="Times New Roman" w:hAnsi="Times New Roman" w:eastAsia="黑体" w:cs="黑体"/>
          <w:snapToGrid w:val="0"/>
          <w:kern w:val="0"/>
          <w:sz w:val="21"/>
          <w:szCs w:val="21"/>
          <w:highlight w:val="none"/>
        </w:rPr>
        <w:t>供应商名称：</w:t>
      </w:r>
      <w:r>
        <w:rPr>
          <w:rFonts w:hint="eastAsia" w:ascii="Times New Roman" w:hAnsi="Times New Roman" w:eastAsia="黑体" w:cs="黑体"/>
          <w:snapToGrid w:val="0"/>
          <w:kern w:val="0"/>
          <w:sz w:val="21"/>
          <w:szCs w:val="21"/>
          <w:highlight w:val="none"/>
          <w:u w:val="single"/>
        </w:rPr>
        <w:t xml:space="preserve">            </w:t>
      </w:r>
    </w:p>
    <w:p>
      <w:pPr>
        <w:spacing w:beforeLines="0" w:afterLines="0" w:line="440" w:lineRule="exact"/>
        <w:ind w:firstLine="420"/>
        <w:rPr>
          <w:rFonts w:hint="eastAsia" w:ascii="Times New Roman" w:hAnsi="Times New Roman" w:eastAsia="Times New Roman" w:cs="黑体"/>
          <w:snapToGrid w:val="0"/>
          <w:kern w:val="0"/>
          <w:sz w:val="21"/>
          <w:szCs w:val="21"/>
          <w:highlight w:val="none"/>
        </w:rPr>
      </w:pPr>
      <w:r>
        <w:rPr>
          <w:rFonts w:hint="eastAsia" w:ascii="Times New Roman" w:hAnsi="Times New Roman" w:eastAsia="黑体" w:cs="黑体"/>
          <w:snapToGrid w:val="0"/>
          <w:kern w:val="0"/>
          <w:sz w:val="21"/>
          <w:szCs w:val="21"/>
          <w:highlight w:val="none"/>
          <w:u w:val="single"/>
        </w:rPr>
        <w:t xml:space="preserve">            </w:t>
      </w:r>
      <w:r>
        <w:rPr>
          <w:rFonts w:hint="eastAsia" w:ascii="Times New Roman" w:hAnsi="Times New Roman" w:eastAsia="黑体" w:cs="黑体"/>
          <w:snapToGrid w:val="0"/>
          <w:kern w:val="0"/>
          <w:sz w:val="21"/>
          <w:szCs w:val="21"/>
          <w:highlight w:val="none"/>
        </w:rPr>
        <w:t>(项目</w:t>
      </w:r>
      <w:r>
        <w:rPr>
          <w:rFonts w:hint="eastAsia" w:ascii="Times New Roman" w:hAnsi="Times New Roman" w:eastAsia="黑体" w:cs="黑体"/>
          <w:sz w:val="21"/>
          <w:szCs w:val="24"/>
          <w:highlight w:val="none"/>
        </w:rPr>
        <w:t>名称</w:t>
      </w:r>
      <w:r>
        <w:rPr>
          <w:rFonts w:hint="eastAsia" w:ascii="Times New Roman" w:hAnsi="Times New Roman" w:eastAsia="黑体" w:cs="黑体"/>
          <w:snapToGrid w:val="0"/>
          <w:kern w:val="0"/>
          <w:sz w:val="21"/>
          <w:szCs w:val="21"/>
          <w:highlight w:val="none"/>
        </w:rPr>
        <w:t>)第一信封（商务技术文件）响应文件</w:t>
      </w:r>
    </w:p>
    <w:p>
      <w:pPr>
        <w:spacing w:beforeLines="0" w:afterLines="0" w:line="440" w:lineRule="exact"/>
        <w:ind w:firstLine="420"/>
        <w:rPr>
          <w:rFonts w:hint="eastAsia" w:ascii="Times New Roman" w:hAnsi="Times New Roman" w:eastAsia="黑体" w:cs="黑体"/>
          <w:snapToGrid w:val="0"/>
          <w:kern w:val="0"/>
          <w:sz w:val="21"/>
          <w:szCs w:val="21"/>
          <w:highlight w:val="none"/>
        </w:rPr>
      </w:pPr>
      <w:r>
        <w:rPr>
          <w:rFonts w:hint="eastAsia" w:ascii="Times New Roman" w:hAnsi="Times New Roman" w:eastAsia="黑体" w:cs="黑体"/>
          <w:snapToGrid w:val="0"/>
          <w:kern w:val="0"/>
          <w:sz w:val="21"/>
          <w:szCs w:val="21"/>
          <w:highlight w:val="none"/>
        </w:rPr>
        <w:t>在</w:t>
      </w:r>
      <w:r>
        <w:rPr>
          <w:rFonts w:hint="eastAsia" w:ascii="Times New Roman" w:hAnsi="Times New Roman" w:eastAsia="黑体" w:cs="黑体"/>
          <w:snapToGrid w:val="0"/>
          <w:kern w:val="0"/>
          <w:sz w:val="21"/>
          <w:szCs w:val="21"/>
          <w:highlight w:val="none"/>
          <w:u w:val="single"/>
        </w:rPr>
        <w:t xml:space="preserve">    </w:t>
      </w:r>
      <w:r>
        <w:rPr>
          <w:rFonts w:hint="eastAsia" w:ascii="Times New Roman" w:hAnsi="Times New Roman" w:eastAsia="黑体" w:cs="黑体"/>
          <w:snapToGrid w:val="0"/>
          <w:kern w:val="0"/>
          <w:sz w:val="21"/>
          <w:szCs w:val="21"/>
          <w:highlight w:val="none"/>
        </w:rPr>
        <w:t>年</w:t>
      </w:r>
      <w:r>
        <w:rPr>
          <w:rFonts w:hint="eastAsia" w:ascii="Times New Roman" w:hAnsi="Times New Roman" w:eastAsia="黑体" w:cs="黑体"/>
          <w:snapToGrid w:val="0"/>
          <w:kern w:val="0"/>
          <w:sz w:val="21"/>
          <w:szCs w:val="21"/>
          <w:highlight w:val="none"/>
          <w:u w:val="single"/>
        </w:rPr>
        <w:t xml:space="preserve">   </w:t>
      </w:r>
      <w:r>
        <w:rPr>
          <w:rFonts w:hint="eastAsia" w:ascii="Times New Roman" w:hAnsi="Times New Roman" w:eastAsia="黑体" w:cs="黑体"/>
          <w:snapToGrid w:val="0"/>
          <w:kern w:val="0"/>
          <w:sz w:val="21"/>
          <w:szCs w:val="21"/>
          <w:highlight w:val="none"/>
        </w:rPr>
        <w:t>月</w:t>
      </w:r>
      <w:r>
        <w:rPr>
          <w:rFonts w:hint="eastAsia" w:ascii="Times New Roman" w:hAnsi="Times New Roman" w:eastAsia="黑体" w:cs="黑体"/>
          <w:snapToGrid w:val="0"/>
          <w:kern w:val="0"/>
          <w:sz w:val="21"/>
          <w:szCs w:val="21"/>
          <w:highlight w:val="none"/>
          <w:u w:val="single"/>
        </w:rPr>
        <w:t xml:space="preserve">   </w:t>
      </w:r>
      <w:r>
        <w:rPr>
          <w:rFonts w:hint="eastAsia" w:ascii="Times New Roman" w:hAnsi="Times New Roman" w:eastAsia="黑体" w:cs="黑体"/>
          <w:snapToGrid w:val="0"/>
          <w:kern w:val="0"/>
          <w:sz w:val="21"/>
          <w:szCs w:val="21"/>
          <w:highlight w:val="none"/>
        </w:rPr>
        <w:t>日</w:t>
      </w:r>
      <w:r>
        <w:rPr>
          <w:rFonts w:hint="eastAsia" w:ascii="Times New Roman" w:hAnsi="Times New Roman" w:eastAsia="黑体" w:cs="黑体"/>
          <w:snapToGrid w:val="0"/>
          <w:kern w:val="0"/>
          <w:sz w:val="21"/>
          <w:szCs w:val="21"/>
          <w:highlight w:val="none"/>
          <w:u w:val="single"/>
        </w:rPr>
        <w:t xml:space="preserve">    </w:t>
      </w:r>
      <w:r>
        <w:rPr>
          <w:rFonts w:hint="eastAsia" w:ascii="Times New Roman" w:hAnsi="Times New Roman" w:eastAsia="黑体" w:cs="黑体"/>
          <w:snapToGrid w:val="0"/>
          <w:kern w:val="0"/>
          <w:sz w:val="21"/>
          <w:szCs w:val="21"/>
          <w:highlight w:val="none"/>
        </w:rPr>
        <w:t>时</w:t>
      </w:r>
      <w:r>
        <w:rPr>
          <w:rFonts w:hint="eastAsia" w:ascii="Times New Roman" w:hAnsi="Times New Roman" w:eastAsia="黑体" w:cs="黑体"/>
          <w:snapToGrid w:val="0"/>
          <w:kern w:val="0"/>
          <w:sz w:val="21"/>
          <w:szCs w:val="21"/>
          <w:highlight w:val="none"/>
          <w:u w:val="single"/>
        </w:rPr>
        <w:t xml:space="preserve">   </w:t>
      </w:r>
      <w:r>
        <w:rPr>
          <w:rFonts w:hint="eastAsia" w:ascii="Times New Roman" w:hAnsi="Times New Roman" w:eastAsia="黑体" w:cs="黑体"/>
          <w:snapToGrid w:val="0"/>
          <w:kern w:val="0"/>
          <w:sz w:val="21"/>
          <w:szCs w:val="21"/>
          <w:highlight w:val="none"/>
        </w:rPr>
        <w:t>分（递交响应文件的截止时间）前不得开启</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响应文件第二信封（报价文件）封套上注明：</w:t>
      </w:r>
    </w:p>
    <w:p>
      <w:pPr>
        <w:spacing w:beforeLines="0" w:afterLines="0" w:line="440" w:lineRule="exact"/>
        <w:ind w:firstLine="420"/>
        <w:rPr>
          <w:rFonts w:hint="eastAsia" w:ascii="Times New Roman" w:hAnsi="Times New Roman" w:eastAsia="Times New Roman" w:cs="黑体"/>
          <w:snapToGrid w:val="0"/>
          <w:kern w:val="0"/>
          <w:sz w:val="21"/>
          <w:szCs w:val="21"/>
          <w:highlight w:val="none"/>
        </w:rPr>
      </w:pPr>
      <w:r>
        <w:rPr>
          <w:rFonts w:hint="eastAsia" w:ascii="Times New Roman" w:hAnsi="Times New Roman" w:eastAsia="黑体" w:cs="黑体"/>
          <w:snapToGrid w:val="0"/>
          <w:kern w:val="0"/>
          <w:sz w:val="21"/>
          <w:szCs w:val="21"/>
          <w:highlight w:val="none"/>
        </w:rPr>
        <w:t>供应商名称：</w:t>
      </w:r>
      <w:r>
        <w:rPr>
          <w:rFonts w:hint="eastAsia" w:ascii="Times New Roman" w:hAnsi="Times New Roman" w:eastAsia="黑体" w:cs="黑体"/>
          <w:snapToGrid w:val="0"/>
          <w:kern w:val="0"/>
          <w:sz w:val="21"/>
          <w:szCs w:val="21"/>
          <w:highlight w:val="none"/>
          <w:u w:val="single"/>
        </w:rPr>
        <w:t xml:space="preserve">            </w:t>
      </w:r>
    </w:p>
    <w:p>
      <w:pPr>
        <w:spacing w:beforeLines="0" w:afterLines="0" w:line="440" w:lineRule="exact"/>
        <w:ind w:firstLine="420"/>
        <w:rPr>
          <w:rFonts w:hint="eastAsia" w:ascii="Times New Roman" w:hAnsi="Times New Roman" w:eastAsia="Times New Roman" w:cs="黑体"/>
          <w:snapToGrid w:val="0"/>
          <w:kern w:val="0"/>
          <w:sz w:val="21"/>
          <w:szCs w:val="21"/>
          <w:highlight w:val="none"/>
        </w:rPr>
      </w:pPr>
      <w:r>
        <w:rPr>
          <w:rFonts w:hint="eastAsia" w:ascii="Times New Roman" w:hAnsi="Times New Roman" w:eastAsia="黑体" w:cs="黑体"/>
          <w:snapToGrid w:val="0"/>
          <w:kern w:val="0"/>
          <w:sz w:val="21"/>
          <w:szCs w:val="21"/>
          <w:highlight w:val="none"/>
          <w:u w:val="single"/>
        </w:rPr>
        <w:t xml:space="preserve">            </w:t>
      </w:r>
      <w:r>
        <w:rPr>
          <w:rFonts w:hint="eastAsia" w:ascii="Times New Roman" w:hAnsi="Times New Roman" w:eastAsia="黑体" w:cs="黑体"/>
          <w:snapToGrid w:val="0"/>
          <w:kern w:val="0"/>
          <w:sz w:val="21"/>
          <w:szCs w:val="21"/>
          <w:highlight w:val="none"/>
        </w:rPr>
        <w:t>(项目</w:t>
      </w:r>
      <w:r>
        <w:rPr>
          <w:rFonts w:hint="eastAsia" w:ascii="Times New Roman" w:hAnsi="Times New Roman" w:eastAsia="黑体" w:cs="黑体"/>
          <w:sz w:val="21"/>
          <w:szCs w:val="24"/>
          <w:highlight w:val="none"/>
        </w:rPr>
        <w:t>名称</w:t>
      </w:r>
      <w:r>
        <w:rPr>
          <w:rFonts w:hint="eastAsia" w:ascii="Times New Roman" w:hAnsi="Times New Roman" w:eastAsia="黑体" w:cs="黑体"/>
          <w:snapToGrid w:val="0"/>
          <w:kern w:val="0"/>
          <w:sz w:val="21"/>
          <w:szCs w:val="21"/>
          <w:highlight w:val="none"/>
        </w:rPr>
        <w:t>)第二信封（报价文件）响应文件</w:t>
      </w:r>
    </w:p>
    <w:p>
      <w:pPr>
        <w:spacing w:beforeLines="0" w:afterLines="0" w:line="440" w:lineRule="exact"/>
        <w:ind w:firstLine="420" w:firstLineChars="200"/>
        <w:rPr>
          <w:rFonts w:hint="eastAsia" w:ascii="Times New Roman" w:hAnsi="Times New Roman" w:eastAsia="黑体" w:cs="黑体"/>
          <w:snapToGrid w:val="0"/>
          <w:kern w:val="0"/>
          <w:sz w:val="21"/>
          <w:szCs w:val="21"/>
          <w:highlight w:val="none"/>
        </w:rPr>
      </w:pPr>
      <w:r>
        <w:rPr>
          <w:rFonts w:hint="eastAsia" w:ascii="Times New Roman" w:hAnsi="Times New Roman" w:eastAsia="黑体" w:cs="黑体"/>
          <w:snapToGrid w:val="0"/>
          <w:kern w:val="0"/>
          <w:sz w:val="21"/>
          <w:szCs w:val="21"/>
          <w:highlight w:val="none"/>
        </w:rPr>
        <w:t>在第一信封开启前不得开启</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4.1.2</w:t>
      </w:r>
      <w:r>
        <w:rPr>
          <w:rFonts w:hint="eastAsia" w:ascii="Times New Roman" w:hAnsi="Times New Roman"/>
          <w:sz w:val="21"/>
          <w:szCs w:val="24"/>
          <w:highlight w:val="none"/>
        </w:rPr>
        <w:t>未按本章第4.1.1项要求密封的响应文件，采购人将予以拒收。</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4.2 </w:t>
      </w:r>
      <w:r>
        <w:rPr>
          <w:rFonts w:hint="eastAsia" w:ascii="Times New Roman" w:hAnsi="Times New Roman" w:eastAsia="黑体"/>
          <w:sz w:val="24"/>
          <w:szCs w:val="32"/>
          <w:highlight w:val="none"/>
        </w:rPr>
        <w:t>响应文件的递交</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4.2.1</w:t>
      </w:r>
      <w:r>
        <w:rPr>
          <w:rFonts w:hint="eastAsia" w:ascii="Times New Roman" w:hAnsi="Times New Roman"/>
          <w:sz w:val="21"/>
          <w:szCs w:val="24"/>
          <w:highlight w:val="none"/>
        </w:rPr>
        <w:t>供应商应当按照第一章</w:t>
      </w:r>
      <w:r>
        <w:rPr>
          <w:rFonts w:hint="eastAsia" w:ascii="Times New Roman" w:hAnsi="Times New Roman" w:eastAsia="Times New Roman"/>
          <w:sz w:val="21"/>
          <w:szCs w:val="24"/>
          <w:highlight w:val="none"/>
        </w:rPr>
        <w:t>“</w:t>
      </w:r>
      <w:r>
        <w:rPr>
          <w:rFonts w:hint="eastAsia" w:ascii="Times New Roman" w:hAnsi="Times New Roman"/>
          <w:sz w:val="21"/>
          <w:szCs w:val="21"/>
          <w:highlight w:val="none"/>
        </w:rPr>
        <w:t>采购公告</w:t>
      </w:r>
      <w:r>
        <w:rPr>
          <w:rFonts w:hint="eastAsia" w:ascii="Times New Roman" w:hAnsi="Times New Roman" w:eastAsia="Times New Roman"/>
          <w:sz w:val="21"/>
          <w:szCs w:val="21"/>
          <w:highlight w:val="none"/>
        </w:rPr>
        <w:t>/</w:t>
      </w:r>
      <w:r>
        <w:rPr>
          <w:rFonts w:hint="eastAsia" w:ascii="Times New Roman" w:hAnsi="Times New Roman"/>
          <w:sz w:val="21"/>
          <w:szCs w:val="21"/>
          <w:highlight w:val="none"/>
        </w:rPr>
        <w:t>采购邀请书</w:t>
      </w:r>
      <w:r>
        <w:rPr>
          <w:rFonts w:hint="eastAsia" w:ascii="Times New Roman" w:hAnsi="Times New Roman" w:eastAsia="Times New Roman"/>
          <w:sz w:val="21"/>
          <w:szCs w:val="24"/>
          <w:highlight w:val="none"/>
        </w:rPr>
        <w:t>”</w:t>
      </w:r>
      <w:r>
        <w:rPr>
          <w:rFonts w:hint="eastAsia" w:ascii="Times New Roman" w:hAnsi="Times New Roman"/>
          <w:sz w:val="21"/>
          <w:szCs w:val="21"/>
          <w:highlight w:val="none"/>
        </w:rPr>
        <w:t>第5条的规定递交响应文件</w:t>
      </w:r>
      <w:r>
        <w:rPr>
          <w:rFonts w:hint="eastAsia" w:ascii="Times New Roman" w:hAnsi="Times New Roman"/>
          <w:sz w:val="21"/>
          <w:szCs w:val="24"/>
          <w:highlight w:val="none"/>
        </w:rPr>
        <w:t>。</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4.2.</w:t>
      </w:r>
      <w:r>
        <w:rPr>
          <w:rFonts w:hint="eastAsia" w:ascii="Times New Roman" w:hAnsi="Times New Roman"/>
          <w:sz w:val="21"/>
          <w:szCs w:val="24"/>
          <w:highlight w:val="none"/>
        </w:rPr>
        <w:t>2</w:t>
      </w:r>
      <w:r>
        <w:rPr>
          <w:rFonts w:hint="eastAsia" w:ascii="Times New Roman" w:hAnsi="Times New Roman" w:eastAsia="Times New Roman"/>
          <w:sz w:val="21"/>
          <w:szCs w:val="24"/>
          <w:highlight w:val="none"/>
        </w:rPr>
        <w:t xml:space="preserve"> </w:t>
      </w:r>
      <w:r>
        <w:rPr>
          <w:rFonts w:hint="eastAsia" w:ascii="Times New Roman" w:hAnsi="Times New Roman"/>
          <w:sz w:val="21"/>
          <w:szCs w:val="24"/>
          <w:highlight w:val="none"/>
        </w:rPr>
        <w:t>递交响应文件的供应商数量不足3家时，采购人将宣布本次采购失败，并退还已递交的响应文件。</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4.2.3 除第4.2.2项规定外，供应商所递交的响应文件不予退还。</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5. </w:t>
      </w:r>
      <w:r>
        <w:rPr>
          <w:rFonts w:hint="eastAsia" w:ascii="Times New Roman" w:hAnsi="Times New Roman" w:eastAsia="黑体"/>
          <w:sz w:val="24"/>
          <w:szCs w:val="32"/>
          <w:highlight w:val="none"/>
        </w:rPr>
        <w:t>启封</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5.1 </w:t>
      </w:r>
      <w:r>
        <w:rPr>
          <w:rFonts w:hint="eastAsia" w:ascii="Times New Roman" w:hAnsi="Times New Roman" w:eastAsia="黑体"/>
          <w:sz w:val="24"/>
          <w:szCs w:val="32"/>
          <w:highlight w:val="none"/>
        </w:rPr>
        <w:t>启封时间和地点</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采购人在本章第4.2.1项规定的响应文件递交截止时间（启封时间），按照第一章</w:t>
      </w:r>
      <w:r>
        <w:rPr>
          <w:rFonts w:hint="eastAsia" w:ascii="Times New Roman" w:hAnsi="Times New Roman" w:eastAsia="Times New Roman"/>
          <w:sz w:val="21"/>
          <w:szCs w:val="24"/>
          <w:highlight w:val="none"/>
        </w:rPr>
        <w:t>“</w:t>
      </w:r>
      <w:r>
        <w:rPr>
          <w:rFonts w:hint="eastAsia" w:ascii="Times New Roman" w:hAnsi="Times New Roman"/>
          <w:sz w:val="21"/>
          <w:szCs w:val="21"/>
          <w:highlight w:val="none"/>
        </w:rPr>
        <w:t>采购公告</w:t>
      </w:r>
      <w:r>
        <w:rPr>
          <w:rFonts w:hint="eastAsia" w:ascii="Times New Roman" w:hAnsi="Times New Roman" w:eastAsia="Times New Roman"/>
          <w:sz w:val="21"/>
          <w:szCs w:val="21"/>
          <w:highlight w:val="none"/>
        </w:rPr>
        <w:t>/</w:t>
      </w:r>
      <w:r>
        <w:rPr>
          <w:rFonts w:hint="eastAsia" w:ascii="Times New Roman" w:hAnsi="Times New Roman"/>
          <w:sz w:val="21"/>
          <w:szCs w:val="21"/>
          <w:highlight w:val="none"/>
        </w:rPr>
        <w:t>采购邀请书</w:t>
      </w:r>
      <w:r>
        <w:rPr>
          <w:rFonts w:hint="eastAsia" w:ascii="Times New Roman" w:hAnsi="Times New Roman" w:eastAsia="Times New Roman"/>
          <w:sz w:val="21"/>
          <w:szCs w:val="24"/>
          <w:highlight w:val="none"/>
        </w:rPr>
        <w:t>”</w:t>
      </w:r>
      <w:r>
        <w:rPr>
          <w:rFonts w:hint="eastAsia" w:ascii="Times New Roman" w:hAnsi="Times New Roman"/>
          <w:sz w:val="21"/>
          <w:szCs w:val="21"/>
          <w:highlight w:val="none"/>
        </w:rPr>
        <w:t>第6条的规定进行启封</w:t>
      </w:r>
      <w:r>
        <w:rPr>
          <w:rFonts w:hint="eastAsia" w:ascii="Times New Roman" w:hAnsi="Times New Roman"/>
          <w:sz w:val="21"/>
          <w:szCs w:val="24"/>
          <w:highlight w:val="none"/>
        </w:rPr>
        <w:t>。</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供应商若未派法定代表人或其委托代理人出席启封活动，视为该供应商默认启封结果。</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5.2</w:t>
      </w:r>
      <w:r>
        <w:rPr>
          <w:rFonts w:hint="eastAsia" w:ascii="Times New Roman" w:hAnsi="Times New Roman" w:eastAsia="黑体"/>
          <w:sz w:val="24"/>
          <w:szCs w:val="32"/>
          <w:highlight w:val="none"/>
        </w:rPr>
        <w:t>启封程序</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5.2.1</w:t>
      </w:r>
      <w:r>
        <w:rPr>
          <w:rFonts w:hint="eastAsia" w:ascii="Times New Roman" w:hAnsi="Times New Roman"/>
          <w:sz w:val="21"/>
          <w:szCs w:val="24"/>
          <w:highlight w:val="none"/>
        </w:rPr>
        <w:t xml:space="preserve">主持人按下列程序进行启封： </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（1）公布在响应文件递交截止时间前递交响应文件的供应商名称；</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 xml:space="preserve">（2）由供应商推选的代表检查响应文件的密封情况； </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（3）开启商务技术文件；</w:t>
      </w:r>
    </w:p>
    <w:p>
      <w:pPr>
        <w:spacing w:beforeLines="0" w:afterLines="0" w:line="440" w:lineRule="exact"/>
        <w:ind w:firstLine="420" w:firstLineChars="200"/>
        <w:rPr>
          <w:rFonts w:hint="eastAsia" w:ascii="Times New Roman" w:hAnsi="Times New Roman"/>
          <w:sz w:val="21"/>
          <w:szCs w:val="24"/>
          <w:highlight w:val="none"/>
        </w:rPr>
      </w:pPr>
      <w:r>
        <w:rPr>
          <w:rFonts w:hint="eastAsia" w:ascii="Times New Roman" w:hAnsi="Times New Roman"/>
          <w:sz w:val="21"/>
          <w:szCs w:val="24"/>
          <w:highlight w:val="none"/>
        </w:rPr>
        <w:t>（4）开启报价文件；</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（5）启封结束。</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5.2.2</w:t>
      </w:r>
      <w:r>
        <w:rPr>
          <w:rFonts w:hint="eastAsia" w:ascii="Times New Roman" w:hAnsi="Times New Roman"/>
          <w:sz w:val="21"/>
          <w:szCs w:val="24"/>
          <w:highlight w:val="none"/>
        </w:rPr>
        <w:t>供应商在启封过程中有疑问的，应当在现场提出，采购人将当场作出答复。</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6. </w:t>
      </w:r>
      <w:r>
        <w:rPr>
          <w:rFonts w:hint="eastAsia" w:ascii="Times New Roman" w:hAnsi="Times New Roman" w:eastAsia="黑体"/>
          <w:sz w:val="24"/>
          <w:szCs w:val="32"/>
          <w:highlight w:val="none"/>
        </w:rPr>
        <w:t>评审</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6.1</w:t>
      </w:r>
      <w:r>
        <w:rPr>
          <w:rFonts w:hint="eastAsia" w:ascii="Times New Roman" w:hAnsi="Times New Roman" w:eastAsia="黑体"/>
          <w:sz w:val="24"/>
          <w:szCs w:val="32"/>
          <w:highlight w:val="none"/>
        </w:rPr>
        <w:t>评审小组</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评审由采购人自行组建的评审小组负责。评审小组人数：3人及以上单数。</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6.</w:t>
      </w:r>
      <w:r>
        <w:rPr>
          <w:rFonts w:hint="eastAsia" w:ascii="Times New Roman" w:hAnsi="Times New Roman" w:eastAsia="黑体"/>
          <w:sz w:val="24"/>
          <w:szCs w:val="32"/>
          <w:highlight w:val="none"/>
        </w:rPr>
        <w:t>2评审</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6.</w:t>
      </w:r>
      <w:r>
        <w:rPr>
          <w:rFonts w:hint="eastAsia" w:ascii="Times New Roman" w:hAnsi="Times New Roman"/>
          <w:sz w:val="21"/>
          <w:szCs w:val="24"/>
          <w:highlight w:val="none"/>
        </w:rPr>
        <w:t>2</w:t>
      </w:r>
      <w:r>
        <w:rPr>
          <w:rFonts w:hint="eastAsia" w:ascii="Times New Roman" w:hAnsi="Times New Roman" w:eastAsia="Times New Roman"/>
          <w:sz w:val="21"/>
          <w:szCs w:val="24"/>
          <w:highlight w:val="none"/>
        </w:rPr>
        <w:t>.1</w:t>
      </w:r>
      <w:r>
        <w:rPr>
          <w:rFonts w:hint="eastAsia" w:ascii="Times New Roman" w:hAnsi="Times New Roman"/>
          <w:sz w:val="21"/>
          <w:szCs w:val="24"/>
          <w:highlight w:val="none"/>
        </w:rPr>
        <w:t>评审小组按照第三章“评审办法”规定的方法、评审因素、标准和程序对响应文件进行评审。</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6.</w:t>
      </w:r>
      <w:r>
        <w:rPr>
          <w:rFonts w:hint="eastAsia" w:ascii="Times New Roman" w:hAnsi="Times New Roman"/>
          <w:sz w:val="21"/>
          <w:szCs w:val="24"/>
          <w:highlight w:val="none"/>
        </w:rPr>
        <w:t>2</w:t>
      </w:r>
      <w:r>
        <w:rPr>
          <w:rFonts w:hint="eastAsia" w:ascii="Times New Roman" w:hAnsi="Times New Roman" w:eastAsia="Times New Roman"/>
          <w:sz w:val="21"/>
          <w:szCs w:val="24"/>
          <w:highlight w:val="none"/>
        </w:rPr>
        <w:t>.2</w:t>
      </w:r>
      <w:r>
        <w:rPr>
          <w:rFonts w:hint="eastAsia" w:ascii="Times New Roman" w:hAnsi="Times New Roman"/>
          <w:sz w:val="21"/>
          <w:szCs w:val="24"/>
          <w:highlight w:val="none"/>
        </w:rPr>
        <w:t>评审完成后，评审小组应向采购人提交书面评审报告和成交候选人名单。评审小组推荐成交候选人的人数为：3人（如不足3人，可以按实际数量推荐）。</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6.</w:t>
      </w:r>
      <w:r>
        <w:rPr>
          <w:rFonts w:hint="eastAsia" w:ascii="Times New Roman" w:hAnsi="Times New Roman"/>
          <w:sz w:val="21"/>
          <w:szCs w:val="24"/>
          <w:highlight w:val="none"/>
        </w:rPr>
        <w:t>2</w:t>
      </w:r>
      <w:r>
        <w:rPr>
          <w:rFonts w:hint="eastAsia" w:ascii="Times New Roman" w:hAnsi="Times New Roman" w:eastAsia="Times New Roman"/>
          <w:sz w:val="21"/>
          <w:szCs w:val="24"/>
          <w:highlight w:val="none"/>
        </w:rPr>
        <w:t>.</w:t>
      </w:r>
      <w:r>
        <w:rPr>
          <w:rFonts w:hint="eastAsia" w:ascii="Times New Roman" w:hAnsi="Times New Roman"/>
          <w:sz w:val="21"/>
          <w:szCs w:val="24"/>
          <w:highlight w:val="none"/>
        </w:rPr>
        <w:t>3评审完成后，评审小组应向采购人提交书面评审报告和成交候选人名单。评审小组推荐成交候选人的人数为：3人（如不足3人，可以按实际数量推荐）。</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7. </w:t>
      </w:r>
      <w:r>
        <w:rPr>
          <w:rFonts w:hint="eastAsia" w:ascii="Times New Roman" w:hAnsi="Times New Roman" w:eastAsia="黑体"/>
          <w:sz w:val="24"/>
          <w:szCs w:val="32"/>
          <w:highlight w:val="none"/>
        </w:rPr>
        <w:t>合同授予</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7.1</w:t>
      </w:r>
      <w:r>
        <w:rPr>
          <w:rFonts w:hint="eastAsia" w:ascii="Times New Roman" w:hAnsi="Times New Roman" w:eastAsia="黑体"/>
          <w:sz w:val="24"/>
          <w:szCs w:val="32"/>
          <w:highlight w:val="none"/>
        </w:rPr>
        <w:t>成交候选人公示</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采用公开询比方式采购的项目，公示期不得少于3日。</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7.2</w:t>
      </w:r>
      <w:r>
        <w:rPr>
          <w:rFonts w:hint="eastAsia" w:ascii="Times New Roman" w:hAnsi="Times New Roman" w:eastAsia="黑体"/>
          <w:sz w:val="24"/>
          <w:szCs w:val="32"/>
          <w:highlight w:val="none"/>
        </w:rPr>
        <w:t>评审结果异议</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供应商或其他利害关系人对评审结果有异议的，应在成交候选人公示期间提出。</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7.3</w:t>
      </w:r>
      <w:r>
        <w:rPr>
          <w:rFonts w:hint="eastAsia" w:ascii="Times New Roman" w:hAnsi="Times New Roman" w:eastAsia="黑体"/>
          <w:sz w:val="24"/>
          <w:szCs w:val="32"/>
          <w:highlight w:val="none"/>
        </w:rPr>
        <w:t>成交候选人履约能力审查</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sz w:val="21"/>
          <w:szCs w:val="24"/>
          <w:highlight w:val="none"/>
        </w:rPr>
        <w:t>成交候选人的经营、财务状况发生较大变化或存在违法行为，采购人认为可能影响其履约能力的，将在发出成交通知书前提请原评审小组按照询比文件规定的标准和方法进行审查确认。</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7.4</w:t>
      </w:r>
      <w:r>
        <w:rPr>
          <w:rFonts w:hint="eastAsia" w:ascii="Times New Roman" w:hAnsi="Times New Roman" w:eastAsia="黑体"/>
          <w:sz w:val="24"/>
          <w:szCs w:val="32"/>
          <w:highlight w:val="none"/>
        </w:rPr>
        <w:t>履约保证金</w:t>
      </w:r>
    </w:p>
    <w:p>
      <w:pPr>
        <w:spacing w:beforeLines="0" w:afterLines="0"/>
        <w:ind w:firstLine="420" w:firstLineChars="200"/>
        <w:rPr>
          <w:rFonts w:hint="eastAsia" w:ascii="宋体" w:hAnsi="宋体" w:cs="宋体"/>
          <w:sz w:val="21"/>
          <w:szCs w:val="21"/>
          <w:highlight w:val="none"/>
        </w:rPr>
      </w:pPr>
      <w:r>
        <w:rPr>
          <w:rFonts w:hint="eastAsia" w:ascii="Times New Roman" w:hAnsi="Times New Roman" w:eastAsia="Times New Roman"/>
          <w:sz w:val="21"/>
          <w:szCs w:val="24"/>
          <w:highlight w:val="none"/>
        </w:rPr>
        <w:t>7.4.1</w:t>
      </w:r>
      <w:r>
        <w:rPr>
          <w:rFonts w:hint="eastAsia" w:ascii="宋体" w:hAnsi="宋体" w:cs="宋体"/>
          <w:sz w:val="21"/>
          <w:szCs w:val="21"/>
          <w:highlight w:val="none"/>
        </w:rPr>
        <w:t>中标后，响应保证金自动转为履约保证金。</w:t>
      </w:r>
    </w:p>
    <w:p>
      <w:pPr>
        <w:spacing w:beforeLines="0" w:afterLines="0" w:line="440" w:lineRule="exact"/>
        <w:ind w:firstLine="420" w:firstLineChars="200"/>
        <w:rPr>
          <w:rFonts w:hint="eastAsia" w:ascii="Times New Roman" w:hAnsi="Times New Roman" w:eastAsia="Times New Roman"/>
          <w:sz w:val="21"/>
          <w:szCs w:val="24"/>
          <w:highlight w:val="none"/>
        </w:rPr>
      </w:pPr>
      <w:r>
        <w:rPr>
          <w:rFonts w:hint="eastAsia" w:ascii="Times New Roman" w:hAnsi="Times New Roman" w:eastAsia="Times New Roman"/>
          <w:sz w:val="21"/>
          <w:szCs w:val="24"/>
          <w:highlight w:val="none"/>
        </w:rPr>
        <w:t xml:space="preserve">7.4.2 </w:t>
      </w:r>
      <w:r>
        <w:rPr>
          <w:rFonts w:hint="eastAsia" w:ascii="Times New Roman" w:hAnsi="Times New Roman"/>
          <w:sz w:val="21"/>
          <w:szCs w:val="24"/>
          <w:highlight w:val="none"/>
        </w:rPr>
        <w:t>成交人不能按本章第7.4</w:t>
      </w:r>
      <w:r>
        <w:rPr>
          <w:rFonts w:hint="eastAsia" w:ascii="Times New Roman" w:hAnsi="Times New Roman" w:eastAsia="Times New Roman"/>
          <w:sz w:val="21"/>
          <w:szCs w:val="24"/>
          <w:highlight w:val="none"/>
        </w:rPr>
        <w:t>.1</w:t>
      </w:r>
      <w:r>
        <w:rPr>
          <w:rFonts w:hint="eastAsia" w:ascii="Times New Roman" w:hAnsi="Times New Roman"/>
          <w:sz w:val="21"/>
          <w:szCs w:val="24"/>
          <w:highlight w:val="none"/>
        </w:rPr>
        <w:t>项要求提交履约保证金的，视为放弃成交候选人，其响应保证金不予退还，给采购人造成的损失超过响应保证金数额的，成交人还应当对超过部分予以赔偿。</w:t>
      </w:r>
    </w:p>
    <w:p>
      <w:pPr>
        <w:pStyle w:val="7"/>
        <w:spacing w:beforeLines="0" w:afterLines="0" w:line="440" w:lineRule="exact"/>
        <w:ind w:firstLine="420" w:firstLineChars="200"/>
        <w:rPr>
          <w:rFonts w:hint="default"/>
          <w:sz w:val="21"/>
          <w:szCs w:val="24"/>
          <w:highlight w:val="none"/>
        </w:rPr>
      </w:pPr>
      <w:r>
        <w:rPr>
          <w:rFonts w:hint="eastAsia" w:ascii="Times New Roman" w:hAnsi="Times New Roman"/>
          <w:sz w:val="21"/>
          <w:szCs w:val="24"/>
          <w:highlight w:val="none"/>
        </w:rPr>
        <w:t>7.4.3履约保证金在</w:t>
      </w:r>
      <w:r>
        <w:rPr>
          <w:rFonts w:hint="eastAsia" w:ascii="宋体" w:hAnsi="宋体" w:cs="宋体"/>
          <w:sz w:val="21"/>
          <w:szCs w:val="21"/>
          <w:highlight w:val="none"/>
        </w:rPr>
        <w:t>该项目物资供应整体验收完成后28天内无息退还。</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7.5</w:t>
      </w:r>
      <w:r>
        <w:rPr>
          <w:rFonts w:hint="eastAsia" w:ascii="Times New Roman" w:hAnsi="Times New Roman" w:eastAsia="黑体"/>
          <w:sz w:val="24"/>
          <w:szCs w:val="32"/>
          <w:highlight w:val="none"/>
        </w:rPr>
        <w:t>签订合同</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Times New Roman"/>
          <w:sz w:val="24"/>
          <w:szCs w:val="32"/>
          <w:highlight w:val="none"/>
        </w:rPr>
        <w:t xml:space="preserve">8. </w:t>
      </w:r>
      <w:r>
        <w:rPr>
          <w:rFonts w:hint="eastAsia" w:ascii="Times New Roman" w:hAnsi="Times New Roman" w:eastAsia="黑体"/>
          <w:sz w:val="24"/>
          <w:szCs w:val="32"/>
          <w:highlight w:val="none"/>
        </w:rPr>
        <w:t>纪律和监督</w:t>
      </w:r>
    </w:p>
    <w:p>
      <w:pPr>
        <w:keepNext/>
        <w:keepLines/>
        <w:spacing w:before="120" w:beforeLines="0" w:after="120" w:afterLines="0"/>
        <w:outlineLvl w:val="2"/>
        <w:rPr>
          <w:rFonts w:hint="eastAsia" w:ascii="Times New Roman" w:hAnsi="Times New Roman" w:eastAsia="黑体"/>
          <w:sz w:val="24"/>
          <w:szCs w:val="32"/>
          <w:highlight w:val="none"/>
        </w:rPr>
      </w:pPr>
      <w:r>
        <w:rPr>
          <w:rFonts w:hint="eastAsia" w:ascii="Times New Roman" w:hAnsi="Times New Roman" w:eastAsia="黑体"/>
          <w:sz w:val="24"/>
          <w:szCs w:val="32"/>
          <w:highlight w:val="none"/>
        </w:rPr>
        <w:t>8.1 对采购人的纪律要求</w:t>
      </w:r>
    </w:p>
    <w:p>
      <w:pPr>
        <w:spacing w:beforeLines="0" w:afterLines="0" w:line="440" w:lineRule="exact"/>
        <w:ind w:firstLine="420"/>
        <w:rPr>
          <w:rFonts w:hint="eastAsia" w:ascii="Times New Roman" w:hAnsi="Times New Roman"/>
          <w:sz w:val="21"/>
          <w:szCs w:val="24"/>
          <w:highlight w:val="none"/>
        </w:rPr>
      </w:pPr>
      <w:r>
        <w:rPr>
          <w:rFonts w:hint="eastAsia" w:ascii="Times New Roman" w:hAnsi="Times New Roman"/>
          <w:sz w:val="21"/>
          <w:szCs w:val="24"/>
          <w:highlight w:val="none"/>
        </w:rPr>
        <w:t>采购人不得泄露采购活动中应当保密的情况和资料， 不得与响应供应商串通损害国家利益、社会公共利益或者他人合法权益。</w:t>
      </w:r>
    </w:p>
    <w:p>
      <w:pPr>
        <w:keepNext/>
        <w:keepLines/>
        <w:spacing w:before="120" w:beforeLines="0" w:after="120" w:afterLines="0"/>
        <w:outlineLvl w:val="2"/>
        <w:rPr>
          <w:rFonts w:hint="eastAsia" w:ascii="Times New Roman" w:hAnsi="Times New Roman" w:eastAsia="Times New Roman"/>
          <w:sz w:val="24"/>
          <w:szCs w:val="32"/>
          <w:highlight w:val="none"/>
        </w:rPr>
      </w:pPr>
      <w:r>
        <w:rPr>
          <w:rFonts w:hint="eastAsia" w:ascii="Times New Roman" w:hAnsi="Times New Roman" w:eastAsia="黑体"/>
          <w:sz w:val="24"/>
          <w:szCs w:val="32"/>
          <w:highlight w:val="none"/>
        </w:rPr>
        <w:t>8.2对响应供应商的纪律要求</w:t>
      </w:r>
    </w:p>
    <w:p>
      <w:pPr>
        <w:spacing w:beforeLines="0" w:afterLines="0" w:line="440" w:lineRule="exact"/>
        <w:ind w:firstLine="420"/>
        <w:rPr>
          <w:rFonts w:hint="eastAsia" w:ascii="Times New Roman" w:hAnsi="Times New Roman"/>
          <w:sz w:val="21"/>
          <w:szCs w:val="24"/>
          <w:highlight w:val="none"/>
        </w:rPr>
      </w:pPr>
      <w:r>
        <w:rPr>
          <w:rFonts w:hint="eastAsia" w:ascii="Times New Roman" w:hAnsi="Times New Roman"/>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beforeLines="0" w:after="120" w:afterLines="0"/>
        <w:outlineLvl w:val="2"/>
        <w:rPr>
          <w:rFonts w:hint="eastAsia" w:ascii="Times New Roman" w:hAnsi="Times New Roman" w:eastAsia="黑体"/>
          <w:sz w:val="24"/>
          <w:szCs w:val="32"/>
          <w:highlight w:val="none"/>
        </w:rPr>
      </w:pPr>
      <w:r>
        <w:rPr>
          <w:rFonts w:hint="eastAsia" w:ascii="Times New Roman" w:hAnsi="Times New Roman" w:eastAsia="黑体"/>
          <w:sz w:val="24"/>
          <w:szCs w:val="32"/>
          <w:highlight w:val="none"/>
        </w:rPr>
        <w:t>8.3 对评审小组成员的纪律要求</w:t>
      </w:r>
    </w:p>
    <w:p>
      <w:pPr>
        <w:spacing w:beforeLines="0" w:afterLines="0" w:line="440" w:lineRule="exact"/>
        <w:ind w:firstLine="420"/>
        <w:rPr>
          <w:rFonts w:hint="eastAsia" w:ascii="Times New Roman" w:hAnsi="Times New Roman" w:eastAsia="Times New Roman"/>
          <w:sz w:val="21"/>
          <w:szCs w:val="24"/>
          <w:highlight w:val="none"/>
        </w:rPr>
      </w:pPr>
      <w:r>
        <w:rPr>
          <w:rFonts w:hint="eastAsia" w:ascii="Times New Roman" w:hAnsi="Times New Roman"/>
          <w:sz w:val="21"/>
          <w:szCs w:val="24"/>
          <w:highlight w:val="none"/>
        </w:rPr>
        <w:t>评审小组成员不得收受他人的财物或者其他好处，不得向他人透露对响应文件的评审和比较、中标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pPr>
        <w:keepNext/>
        <w:keepLines/>
        <w:spacing w:before="156" w:beforeLines="50" w:after="156" w:afterLines="50"/>
        <w:outlineLvl w:val="1"/>
        <w:rPr>
          <w:rFonts w:hint="eastAsia" w:ascii="Times New Roman" w:hAnsi="Times New Roman" w:eastAsia="Times New Roman"/>
          <w:sz w:val="24"/>
          <w:szCs w:val="32"/>
          <w:highlight w:val="none"/>
        </w:rPr>
      </w:pPr>
      <w:r>
        <w:rPr>
          <w:rFonts w:hint="eastAsia" w:ascii="Times New Roman" w:hAnsi="Times New Roman" w:eastAsia="黑体"/>
          <w:sz w:val="24"/>
          <w:szCs w:val="32"/>
          <w:highlight w:val="none"/>
        </w:rPr>
        <w:t>9. 需要补充的其他内容</w:t>
      </w:r>
    </w:p>
    <w:p>
      <w:pPr>
        <w:spacing w:beforeLines="0" w:afterLines="0" w:line="440" w:lineRule="exact"/>
        <w:ind w:firstLine="420"/>
        <w:rPr>
          <w:rFonts w:hint="eastAsia" w:ascii="Times New Roman" w:hAnsi="Times New Roman"/>
          <w:sz w:val="21"/>
          <w:szCs w:val="24"/>
          <w:highlight w:val="none"/>
        </w:rPr>
      </w:pPr>
      <w:r>
        <w:rPr>
          <w:rFonts w:hint="eastAsia" w:ascii="Times New Roman" w:hAnsi="Times New Roman"/>
          <w:sz w:val="21"/>
          <w:szCs w:val="24"/>
          <w:highlight w:val="none"/>
        </w:rPr>
        <w:t>需要补充的其他内容：见供应商须知前附表。</w:t>
      </w:r>
    </w:p>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br w:type="page"/>
      </w:r>
    </w:p>
    <w:p>
      <w:pPr>
        <w:pStyle w:val="2"/>
        <w:numPr>
          <w:ilvl w:val="0"/>
          <w:numId w:val="0"/>
        </w:numPr>
        <w:tabs>
          <w:tab w:val="left" w:pos="3001"/>
          <w:tab w:val="clear" w:pos="0"/>
        </w:tabs>
        <w:adjustRightInd w:val="0"/>
        <w:snapToGrid w:val="0"/>
        <w:spacing w:beforeLines="0" w:afterLines="0" w:line="440" w:lineRule="exact"/>
        <w:ind w:left="0" w:firstLine="0"/>
        <w:rPr>
          <w:rFonts w:hint="eastAsia" w:ascii="宋体" w:hAnsi="宋体" w:eastAsia="宋体" w:cs="宋体"/>
          <w:sz w:val="36"/>
          <w:szCs w:val="44"/>
          <w:highlight w:val="none"/>
        </w:rPr>
      </w:pPr>
      <w:bookmarkStart w:id="52" w:name="_Toc134114979"/>
      <w:bookmarkStart w:id="53" w:name="_Toc14756_WPSOffice_Level1"/>
      <w:bookmarkStart w:id="54" w:name="_Toc17292"/>
      <w:r>
        <w:rPr>
          <w:rFonts w:hint="eastAsia" w:ascii="宋体" w:hAnsi="宋体" w:eastAsia="宋体" w:cs="宋体"/>
          <w:sz w:val="36"/>
          <w:szCs w:val="44"/>
          <w:highlight w:val="none"/>
        </w:rPr>
        <w:t>第三章 采购需求及清单</w:t>
      </w:r>
      <w:bookmarkEnd w:id="52"/>
      <w:bookmarkEnd w:id="53"/>
      <w:bookmarkEnd w:id="54"/>
    </w:p>
    <w:p>
      <w:pPr>
        <w:adjustRightInd w:val="0"/>
        <w:snapToGrid w:val="0"/>
        <w:spacing w:beforeLines="0" w:afterLines="0" w:line="440" w:lineRule="exact"/>
        <w:ind w:firstLine="560" w:firstLineChars="200"/>
        <w:jc w:val="center"/>
        <w:rPr>
          <w:rFonts w:hint="eastAsia" w:ascii="仿宋_GB2312" w:hAnsi="仿宋" w:eastAsia="仿宋_GB2312"/>
          <w:b/>
          <w:sz w:val="32"/>
          <w:szCs w:val="24"/>
          <w:highlight w:val="none"/>
        </w:rPr>
      </w:pPr>
      <w:bookmarkStart w:id="55" w:name="_Toc17328_WPSOffice_Level2"/>
      <w:r>
        <w:rPr>
          <w:rFonts w:hint="eastAsia" w:ascii="仿宋_GB2312" w:hAnsi="仿宋" w:eastAsia="仿宋_GB2312"/>
          <w:b/>
          <w:sz w:val="28"/>
          <w:szCs w:val="28"/>
          <w:highlight w:val="none"/>
        </w:rPr>
        <w:t>采购人要求</w:t>
      </w:r>
      <w:bookmarkEnd w:id="55"/>
    </w:p>
    <w:p>
      <w:pPr>
        <w:pStyle w:val="3"/>
        <w:numPr>
          <w:ilvl w:val="0"/>
          <w:numId w:val="0"/>
        </w:numPr>
        <w:snapToGrid w:val="0"/>
        <w:spacing w:beforeLines="0" w:afterLines="0" w:line="440" w:lineRule="exact"/>
        <w:ind w:left="497" w:firstLine="0"/>
        <w:rPr>
          <w:rFonts w:hint="eastAsia" w:ascii="仿宋_GB2312" w:hAnsi="仿宋" w:eastAsia="仿宋_GB2312" w:cs="仿宋"/>
          <w:sz w:val="24"/>
          <w:szCs w:val="24"/>
          <w:highlight w:val="none"/>
        </w:rPr>
      </w:pPr>
      <w:bookmarkStart w:id="56" w:name="_Toc448427961"/>
      <w:bookmarkStart w:id="57" w:name="_Toc334651535"/>
      <w:bookmarkStart w:id="58" w:name="_Toc396291675"/>
      <w:r>
        <w:rPr>
          <w:rFonts w:hint="eastAsia" w:ascii="仿宋_GB2312" w:hAnsi="仿宋" w:eastAsia="仿宋_GB2312" w:cs="仿宋"/>
          <w:sz w:val="24"/>
          <w:szCs w:val="24"/>
          <w:highlight w:val="none"/>
        </w:rPr>
        <w:t>一、 技术</w:t>
      </w:r>
      <w:bookmarkEnd w:id="56"/>
      <w:bookmarkEnd w:id="57"/>
      <w:bookmarkEnd w:id="58"/>
      <w:r>
        <w:rPr>
          <w:rFonts w:hint="eastAsia" w:ascii="仿宋_GB2312" w:hAnsi="仿宋" w:eastAsia="仿宋_GB2312" w:cs="仿宋"/>
          <w:sz w:val="24"/>
          <w:szCs w:val="24"/>
          <w:highlight w:val="none"/>
        </w:rPr>
        <w:t>要求</w:t>
      </w:r>
    </w:p>
    <w:p>
      <w:pPr>
        <w:pStyle w:val="3"/>
        <w:numPr>
          <w:ilvl w:val="0"/>
          <w:numId w:val="0"/>
        </w:numPr>
        <w:snapToGrid w:val="0"/>
        <w:spacing w:beforeLines="0" w:afterLines="0" w:line="440" w:lineRule="exact"/>
        <w:ind w:left="499" w:firstLine="0"/>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（一）直流充电桩技术规范</w:t>
      </w:r>
    </w:p>
    <w:p>
      <w:pPr>
        <w:adjustRightInd w:val="0"/>
        <w:snapToGrid w:val="0"/>
        <w:spacing w:beforeLines="0" w:afterLines="0" w:line="440" w:lineRule="exact"/>
        <w:ind w:firstLine="480" w:firstLineChars="200"/>
        <w:rPr>
          <w:rFonts w:hint="eastAsia" w:ascii="仿宋_GB2312" w:hAnsi="仿宋" w:eastAsia="仿宋_GB2312" w:cs="仿宋"/>
          <w:b/>
          <w:sz w:val="24"/>
          <w:szCs w:val="24"/>
          <w:highlight w:val="none"/>
        </w:rPr>
      </w:pPr>
      <w:r>
        <w:rPr>
          <w:rFonts w:hint="eastAsia" w:ascii="仿宋_GB2312" w:hAnsi="仿宋" w:eastAsia="仿宋_GB2312" w:cs="仿宋"/>
          <w:b/>
          <w:sz w:val="24"/>
          <w:szCs w:val="24"/>
          <w:highlight w:val="none"/>
        </w:rPr>
        <w:t>1、标准和规范</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按有关标准、规范或准则规定的合同设备，包含投标人向其他厂家购买的所有附件和设备，都应符合但不仅限于下表所列的标准、规范或准则的要求。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下表所列标准中的条款通过本招标文件的引用而成为本招标文件的条款。凡经修订的标准，其最新版本适用于本招标文件。</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投标人提供的设备和附件需要满足的主要标准</w:t>
      </w:r>
    </w:p>
    <w:tbl>
      <w:tblPr>
        <w:tblStyle w:val="20"/>
        <w:tblW w:w="94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72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8" w:space="0"/>
              <w:left w:val="single" w:color="auto" w:sz="8" w:space="0"/>
              <w:bottom w:val="single" w:color="auto" w:sz="4" w:space="0"/>
              <w:right w:val="single" w:color="auto" w:sz="4" w:space="0"/>
              <w:tl2br w:val="nil"/>
              <w:tr2bl w:val="nil"/>
            </w:tcBorders>
            <w:noWrap w:val="0"/>
            <w:tcMar>
              <w:left w:w="0" w:type="dxa"/>
              <w:right w:w="0" w:type="dxa"/>
            </w:tcMar>
            <w:vAlign w:val="top"/>
          </w:tcPr>
          <w:p>
            <w:pPr>
              <w:keepNext w:val="0"/>
              <w:keepLines w:val="0"/>
              <w:suppressLineNumbers w:val="0"/>
              <w:adjustRightInd w:val="0"/>
              <w:snapToGrid w:val="0"/>
              <w:spacing w:before="0" w:beforeLines="0" w:beforeAutospacing="0" w:after="0" w:afterLines="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标准号</w:t>
            </w:r>
          </w:p>
        </w:tc>
        <w:tc>
          <w:tcPr>
            <w:tcW w:w="7295" w:type="dxa"/>
            <w:tcBorders>
              <w:top w:val="single" w:color="auto" w:sz="8" w:space="0"/>
              <w:left w:val="single" w:color="auto" w:sz="4" w:space="0"/>
              <w:bottom w:val="single" w:color="auto" w:sz="4" w:space="0"/>
              <w:right w:val="single" w:color="auto" w:sz="8" w:space="0"/>
              <w:tl2br w:val="nil"/>
              <w:tr2bl w:val="nil"/>
            </w:tcBorders>
            <w:noWrap w:val="0"/>
            <w:tcMar>
              <w:left w:w="0" w:type="dxa"/>
              <w:right w:w="0" w:type="dxa"/>
            </w:tcMar>
            <w:vAlign w:val="top"/>
          </w:tcPr>
          <w:p>
            <w:pPr>
              <w:keepNext w:val="0"/>
              <w:keepLines w:val="0"/>
              <w:suppressLineNumbers w:val="0"/>
              <w:adjustRightInd w:val="0"/>
              <w:snapToGrid w:val="0"/>
              <w:spacing w:before="0" w:beforeLines="0" w:beforeAutospacing="0" w:after="0" w:afterLines="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2421.1-2008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电工电子产品环境试验概述和指南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2423.1-2008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电工电子产品环境试验　第2部分：试验方法　试验A：低温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2423.2-2008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电工电子产品环境试验　第2部分：试验方法　试验B：高温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2423.3-2006</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电工电子产品环境试验  第2部分：试验方法 试验Cab：恒定湿热试验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2423.4-2008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电工电子产品环境试验　第2部分：试验方法　试验Db：交变湿热（12h+12h循环）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2423.17-2008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电工电子产品环境试验 第2部分：试验方法 试验Ka：盐雾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2423.55-2006</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电工电子产品环境试验　第2部分：环境测试实验Eh：锤击试验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4028-2017</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外壳防护等级（IP代码）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4797.5-2017</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环境条件分类  自然环境条件  降水和风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13384-2008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机电产品包装通用技术条件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13422-2013</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半导体电力变流器 电气试验方法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 17625.1-2012</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电磁兼容　限值　谐波电流发射限值（设备每相输入电流≤16 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17626.2-2018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电磁兼容　试验和测量技术　静电放电抗扰度试验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17626.3-2016</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电磁兼容　试验和测量技术　射频电磁场辐射抗扰度试验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17626.4-2018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电磁兼容　试验和测量技术　电快速瞬变脉冲群抗扰度试验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17626.5-2019</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电磁兼容　试验和测量技术　浪涌(冲击)抗扰度试验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18487.1-2015</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电动汽车传导充电系统 第1部分：通用要求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18487.2-2017</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电动汽车传导充电系统 第2部分：非车载传导供电设备电磁兼容要求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19826-2014</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电力工程直流电源设备通用技术条件及安全要求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20234.1-2015</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电动汽车充电接口规范 第1部分：通用要求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20234.3-2015</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电动汽车充电接口规范 第3部分：直流充电接口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27930-2015</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电动汽车非车载充电桩 通信协议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4"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GB/T 29318</w:t>
            </w:r>
          </w:p>
        </w:tc>
        <w:tc>
          <w:tcPr>
            <w:tcW w:w="7295" w:type="dxa"/>
            <w:tcBorders>
              <w:top w:val="single" w:color="auto" w:sz="4" w:space="0"/>
              <w:left w:val="single" w:color="auto" w:sz="4" w:space="0"/>
              <w:bottom w:val="single" w:color="auto" w:sz="4"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电动汽车非车载充电机电能计量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tcBorders>
              <w:top w:val="single" w:color="auto" w:sz="4" w:space="0"/>
              <w:left w:val="single" w:color="auto" w:sz="8" w:space="0"/>
              <w:bottom w:val="single" w:color="auto" w:sz="8" w:space="0"/>
              <w:right w:val="single" w:color="auto" w:sz="4"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NB/T 33001-2018</w:t>
            </w:r>
          </w:p>
        </w:tc>
        <w:tc>
          <w:tcPr>
            <w:tcW w:w="7295" w:type="dxa"/>
            <w:tcBorders>
              <w:top w:val="single" w:color="auto" w:sz="4" w:space="0"/>
              <w:left w:val="single" w:color="auto" w:sz="4" w:space="0"/>
              <w:bottom w:val="single" w:color="auto" w:sz="8" w:space="0"/>
              <w:right w:val="single" w:color="auto" w:sz="8" w:space="0"/>
              <w:tl2br w:val="nil"/>
              <w:tr2bl w:val="nil"/>
            </w:tcBorders>
            <w:noWrap w:val="0"/>
            <w:tcMar>
              <w:left w:w="0" w:type="dxa"/>
              <w:right w:w="0" w:type="dxa"/>
            </w:tcMar>
            <w:vAlign w:val="center"/>
          </w:tcPr>
          <w:p>
            <w:pPr>
              <w:keepNext w:val="0"/>
              <w:keepLines w:val="0"/>
              <w:suppressLineNumbers w:val="0"/>
              <w:adjustRightInd w:val="0"/>
              <w:snapToGrid w:val="0"/>
              <w:spacing w:before="0" w:beforeLines="0" w:beforeAutospacing="0" w:after="0" w:afterLines="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电动汽车非车载传导式充电机技术条件</w:t>
            </w:r>
          </w:p>
        </w:tc>
      </w:tr>
    </w:tbl>
    <w:p>
      <w:pPr>
        <w:adjustRightInd w:val="0"/>
        <w:snapToGrid w:val="0"/>
        <w:spacing w:beforeLines="0" w:afterLines="0" w:line="440" w:lineRule="exact"/>
        <w:rPr>
          <w:rFonts w:hint="eastAsia" w:ascii="宋体" w:hAnsi="宋体" w:eastAsia="宋体" w:cs="宋体"/>
          <w:sz w:val="21"/>
          <w:szCs w:val="21"/>
          <w:highlight w:val="none"/>
        </w:rPr>
      </w:pPr>
    </w:p>
    <w:p>
      <w:pPr>
        <w:adjustRightInd w:val="0"/>
        <w:snapToGrid w:val="0"/>
        <w:spacing w:beforeLines="0" w:afterLines="0" w:line="440" w:lineRule="exact"/>
        <w:ind w:firstLine="420" w:firstLineChars="200"/>
        <w:rPr>
          <w:rFonts w:hint="eastAsia" w:ascii="宋体" w:hAnsi="宋体" w:eastAsia="宋体" w:cs="宋体"/>
          <w:b/>
          <w:sz w:val="21"/>
          <w:szCs w:val="21"/>
          <w:highlight w:val="none"/>
        </w:rPr>
      </w:pPr>
      <w:bookmarkStart w:id="59" w:name="_Toc6150"/>
      <w:r>
        <w:rPr>
          <w:rFonts w:hint="eastAsia" w:ascii="宋体" w:hAnsi="宋体" w:eastAsia="宋体" w:cs="宋体"/>
          <w:b/>
          <w:sz w:val="21"/>
          <w:szCs w:val="21"/>
          <w:highlight w:val="none"/>
        </w:rPr>
        <w:t>2、基本要求</w:t>
      </w:r>
      <w:bookmarkEnd w:id="59"/>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2.1主要技术参数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354"/>
        <w:gridCol w:w="471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主要技术参数及要求</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直流</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设备形式：120KW一体式直流充电机（需注明投标设备型号）；</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2.充电接口：2个；</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3.充电枪线长：≥5米； </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4.输出功率：120KW</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5.通信方式：以太网或4G通信模块；</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6.充电支付方式：支持微信或支付宝；</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7.充电启动方式：手机扫描、VIN码识别； </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8.输入电压：380±15%Vac；</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9.输入频率：50Hz±1；</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10.输入功率因数：≥0.9</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11.恒功率输出电压调节范围：300Vdc-1000Vdc；</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12.输出电流调节范围： 0-250A；</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13.稳压精度：≤±0.5%；</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14.稳流精度：≤±1%；</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15.满载效率：≥95%； </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16.噪音：＜65分贝；</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17.接口类型：GB/T 20234.3-2015（标准国标九针接口）</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18.待机功耗:整机≤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备注：需具备CMA、CNAS资质的第三方检测机构出具的直流充电桩（功率等级≥120KW）检验报告（按国标）</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直流充电系统性能</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充电枪</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1.满足国标要求；</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2.最大输出电流250A； </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3.带电子锁及温度检测功能；</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充电机外观尺寸及要求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采用阻燃外壳材料，壳体坚固，结构上防止用户轻易触及露电部分，采用一体式开关门</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安装方式</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落地式安装。需提供安装图纸及安装螺栓等配件</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充电设定方式</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充电设定方式可以分为自动设定方式和手动设定方式两种。</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1.自动设定方式：在充电过程中，充电桩依据电动汽车蓄电池管理系统提供的数据动态调整充电参数，执行相应动作，完成充电过程；</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2.手动设定方式：由操作人员通过外部手动控制设备设置充电方式、充电电压、充电电流等参数，充电桩根据设定参数执行相应操作，完成充电过程。充电桩采用手动设定方式时，应具有明确的操作指示信息；</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显示功能</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充电桩显示信息包括以下内容。信息显示字符清晰、完整。</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1.充电桩应显示的信息：</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——电池类型、电池当前荷电状态、充电电压、充电电流、已充电时间和电能量计量信息；</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——电池单体最高/最低电压；</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——故障及报警信息；</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——在手动设定过程中应显示人工输入信息。</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2.充电桩可显示的信息：</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——电池温度、设定参数和电池单体电压等</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输入功能</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充电机可以设置充电参数、费率、充电桩的编号、运营监控系统前置IP和端口功能 </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内部环境</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调节功能</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应具有对内部环境自动调节的功能，确保充电桩能在工作环境温度50℃的高温气候环境中正常工作；通风散热系统应该用独立风道设计，电子元器件密闭，保证PCB电路板与外界完全隔离，充电桩整体美观，不允许采用外部加设附属设备的设计方式</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计量功能</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1、充电机具有对每个充电接口输出电能进行计量的功能。电能计量装置符合国家计量器具检定相关要求。表计要求电能表精确度等级为1.0级，符合国家标准及计量器具鉴定相关要求。充电机要满足JJG 1149-2022计量检定规程。</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★2、最小电能变量应为0.001kW.h，充电机应能显示充电电能量，电能量显示位数应不少于6位（至少含3位小数）。对具有分时计费功能的充电机，时钟时刻显示分辨力不大于1s。</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3、充电机常数应具有与所测量直流电能相对应的脉冲输出，应与铭牌标识的常数一致。</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充电费率统计</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支持按充电电能计费，支持配置包括费率时段、计费单位电量、计费费率等参数，账务管理模块实时读取电能表的电量数据，根据电能表的用电量和设置的计量单价；</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控制导引和充电控制</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充电桩应具备控制导引和充电控制功能</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通信功能</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1.充电机应具备通过CAN网络与BMS通信的功能，通信协议应能满足GB/T 27930-2015的规定，用于判断电池类型，获得动力电池系统参数、充电前和充电过程中动力电池的状态参数；充电机可通过CAN和工业以太网与充电站监控系统通信，上传充电机和动力电池的工作状态、工作参数、故障报警等信息，并接受充电站监控系统的控制命令，执行遥控动作；</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2.充电桩通信方式选择以太网或配置4G通讯模块，手机端、PC端登陆云平台进行充电状态的监控、查询及控制功能。每个车位可单独计量、计费、通信等；</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3.监控装置应具有对外隔离RS-232/485口、CAN口（用于与BMS和上位机通信）或以太网口，可实现远程通讯；</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4.支持VIN自动识别充电。通过插枪，自动识别车辆BMS传回的VIN码，识别正确，自动启动充电或遵循后台设置的启动充电时间，自动启动；充电结束后，自动停止</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保护功能</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1.具备急停按钮，急停按钮外部加防护罩，防止误操作和人为破坏；</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2.充电机应具备防止电池电流倒灌功能；</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3.充电机应具备蓄电池极性检测功能。当充电机与电动汽车蓄电池系统连接时，检测蓄电池极性正确后，才允许充电机的直流输出回路接通蓄电池；</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充电机应具备蓄电池连接确认功能。当充电机与电动汽车蓄电池系统正确连接后，充电机才允许启动充电过程；当充电机检测到与电动汽车蓄电池系统的连接不正常时，必须立即切断直流输出；当充电机与电动汽车断开连接后，充电接口的任意带电导体之间或带电导体与地之间的电压在1s内要降到60V以下，以防止潜在的电击伤害；</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5.充电机在充电过程中，应保证蓄电池的充电电压、充电电流不超过允许值；</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6.充电机在充电过程中，当出现蓄电池的温度、电压超过允许限值时，充电机应停止充电；</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7.充电机在充电过程中，当出现与电动汽车蓄电池管理系统通信中断时，充电机应停止充电；</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8.充电机应具备直流输出侧的过压、短路保护。当出现直流输出过压时，充电机应能自动切断直流输出并发出告警信号；当出现直流输出短路时，充电机应能自动进入限流输出状态；</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9.充电机应具备直流输出侧的绝缘检测及绝缘降低报警功能；</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10.充电机在停止充电时，应保证直流输出回路处于断开状态</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充电模式</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单枪最大功率输出，双枪智能功率分配。</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开门保护</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充电桩具有开门保护功能；当维护门打开时，充电机应同时切断动力源输入和直流输出</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电气隔离</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双枪同时充电时，两把充电枪输出的正极和负极要完全电气隔离，不能共正极或共负极，提高安全性。仅限于通过一种带简单隔离的非接地电源给电动汽车供电; 检查充电机的电气原理图，并目测检查充电机的 动力电源输入和直流输出之间应电气隔离； 对一机多充充电机，检查各直流输出口之间应电;气隔离。电气隔离防护措施应符合 NB/T 33001-2018中 7.5.5 的规定。</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通用性</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一体式直流充电机需满足兼容国标</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BMS要求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BMS辅助电源支持12V或24V，</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耐气候</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1.充电桩的桩体防护等级应不得低于IP5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2.三防（防潮湿，防霉变，防盐雾）保护。充电桩内印刷线路板、接插件等电路应进行防潮湿、防霉变、防盐雾处理；</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3.防锈(防氧化)保护。充电桩铁质外壳和暴露在外的铁质支架、零件应采取双层防锈措施，非铁质的金属外壳也应具有防氧化保护膜或进行防氧化处理</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允许温度</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1.在40℃环境温度下，充电桩可用手接触部分允许的最高温度应为：</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——金属部分，50℃；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——非金属部分，60℃；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2.可以用手接触但不必紧握的部分，在同样条件下允许的最高温度应为：</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——金属部分，60℃；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——非金属部分，85℃</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电击防护</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充电桩的电击防护应符合GB/T 18487.1-2015中第7章的要求</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电气间隙和</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爬电距离</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充电桩的电气间隙和爬电距离应符合</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额定绝缘电压Ui（V） 电气间隙（mm） 爬电距离（mm）</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Ui≤60             3.0            3.0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60＜Ui≤300        5.0            6.0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300＜Ui≤700       8.0            10.0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注1：当主电路与控制电路或辅助电路的额定绝缘电压不一致时，其电气间隙和爬电距离可分别按其额定值选取；</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注2：具有不同额定值主电路或控制电路导电部分之间的电气间隙与爬电距离，应按最高额定绝缘电压选取；</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注3：小母线、汇流排或不同级的裸露的带电导体之间，以及裸露的带电导体与未经绝缘的不带电导体之间的电气间隙不小于12mm，爬电距离不小于20mm</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充电桩的接地要求应能满足以下的规定：</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1.充电桩金属壳体应设置接地螺栓，其直径不得小于6mm，并应有接地标志；</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2.所有作为隔离带电导体的金属隔板、电气元件的金属外壳以及金属手柄等均应有效接地，连续性电阻不应大于0.1Ω；</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3.充电桩的门、盖板、覆板和类似部件，应采用保护导体将这些部件和充电桩主体框架连接，此保护导体的截面积不得小于2.5mm²；</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4.接地母线和柜体之间的所有连接应躲开（或穿透绝缘层）喷漆层，以保证有效的电气连接；</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绝缘电阻</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用开路电压为绝缘额定电压规定电压的测试仪器测量，充电桩非电气连接的各带电回路之间、各独立带电回路与地（金属外壳）之间绝缘电阻不应小于10MΩ</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工频耐压</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充电桩非电气连接的各带电回路之间、各独立带电回路与地（金属外壳）之间，按其工作电压应能承受绝缘额定电压所规定历时1 min的工频耐压试验（也可采用直流电压，试验电压为交流电压有效值的1.4倍）。试验过程中应无绝缘击穿和闪络现象</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冲击电压</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充电桩各带电回路、各带电电路对地（金属外壳）之间，按其工作电压应能承受如下所规定标准雷电波的短时冲击电压试验。试验过程中应无击穿放电</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额定绝缘电压Ui</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（V） 绝缘电阻测试仪器的电压等级</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（kV） 工频耐压试验电压</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（kV） 冲击耐压试验电压</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（kV）</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          250   1.0（1.4）   1.0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60＜Ui≤300   500   2.0（2.8）   5.0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300＜Ui≤700  1000  2.5（3.5）   12.0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注：括号内数据为直流介质强度试验值</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1.充电机应具备电源输入侧的过压、欠压保护。当出现交流输入过压、欠压时，充电机应能自动切断直流输出并发出告警提示；</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2.充电机应具备输出过压保护。在电流指令值发生急剧变化或突然失去负荷时，输出电压也不得超过当前输出的10%；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3.充电桩应具备内部过温保护，当内部温度达到保护值时，采取降功率或停止输出；</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4.充电桩应具备绝缘检测功能；</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5.充电桩在启动充电时应人工确认启动；</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6.充电桩应具备软启动功能，输入冲击电流不应超过额定输入电流的110%，软启动时间宜为3s～8s；</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7.充电桩应具备蓄电池反接保护功能；</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8.充电桩在自动充电前，应具有蓄电池电压检测功能；</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9.在充电过程中，充电桩应具有明显的状态指示和文字提示，防止人员误操作；</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10.充电桩在充电过程中应具有防止充电连接器意外脱落的锁止装置，锁止装置可通过专用方式（机械和电子方式）才能打开；</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11.充电桩应具备过充保护和漏电保护功能</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机械强度</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按GB/T 2423.55-2006规定的方法进行试验，剧烈冲击能量为20J（5kg，在0.4m），试验结束后，充电桩的IP等级不受影响，绝缘性能不应降低，门的操作和锁止点不应损坏</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抗扰度要求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1.静电放电抗扰度：充电桩应能承受GB/T 17626.2-2018中第5章规定的试验等级为3级的静电放电抗扰度试验；</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2.射频电磁场辐射抗扰度：充电桩应能承受GB/T 17626.3-2016中第5章规定的试验等级为3级的射频电磁场辐射抗扰度试验；</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3.电快速瞬变脉冲群抗扰度 ：充电桩应能承受GB/T 17626.4-2018中第5章规定的试验等级为3级的电快速瞬变脉冲群抗扰度试验；</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4.浪涌（冲击）抗扰度：充电桩应能承受GB/T 17626.5-2019中第5章规定的试验等级为3级的浪涌（冲击）抗扰度试验</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电磁发射限制要求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传导和辐射发射限值要求：</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 MHz  发射限值dB(μV)   准峰值   平均值</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0.15～0.5（不含0.5）    79        66</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0.5～30                 73       60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频率范围MHz 在10 m测量距离处辐射发射限值</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dB(μV/m)     准峰值</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30～230                   40</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230～1000（不含230）       47</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2.谐波电流限值要求：当输出功率为额定功率的50%～100%时，充电桩总谐波电流含有率不应大于6%</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充电桩</w:t>
            </w:r>
          </w:p>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质保要求</w:t>
            </w:r>
          </w:p>
        </w:tc>
        <w:tc>
          <w:tcPr>
            <w:tcW w:w="47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本次招标设备质保期5年，枪线质保1年</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suppressLineNumbers w:val="0"/>
              <w:spacing w:before="0" w:beforeLines="0" w:beforeAutospacing="0" w:afterLines="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1.“★”标记系指必须满足不能负偏离或必须应答的条款。</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本项目所用的设备须与纯电动汽车电池型号、功能等相互兼容及配套，投标人可与招标人联系或现场勘查了解相关情况，如未能详细了解该项目情况而导致在项目实施过程中造成的损失由投标人自行承担，造成招标人损失的也由投标人承担。</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3.充电站未注明安全技术条件必须符合中华人民共和国国家相关标准，同时依据国家有关产品质量法规和制造标准及施工规范要约进行验收。 </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4.在检查时或使用中发现充电站设施设备实际配置与投标配置品牌或技术性能要求不符的，取消后期投标资格，并追究相应法律责任。</w:t>
      </w:r>
    </w:p>
    <w:p>
      <w:pPr>
        <w:adjustRightInd w:val="0"/>
        <w:snapToGrid w:val="0"/>
        <w:spacing w:beforeLines="0" w:afterLines="0" w:line="440" w:lineRule="exact"/>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3、功能要求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60" w:name="_Toc95406271"/>
      <w:bookmarkStart w:id="61" w:name="_Toc136424597"/>
      <w:bookmarkStart w:id="62" w:name="_Toc136424651"/>
      <w:bookmarkStart w:id="63" w:name="_Toc96498621"/>
      <w:bookmarkStart w:id="64" w:name="_Toc132249099"/>
      <w:r>
        <w:rPr>
          <w:rFonts w:hint="eastAsia" w:ascii="宋体" w:hAnsi="宋体" w:eastAsia="宋体" w:cs="宋体"/>
          <w:sz w:val="21"/>
          <w:szCs w:val="21"/>
          <w:highlight w:val="none"/>
        </w:rPr>
        <w:t>3.1充电控制功能</w:t>
      </w:r>
      <w:bookmarkEnd w:id="60"/>
      <w:bookmarkEnd w:id="61"/>
      <w:bookmarkEnd w:id="62"/>
      <w:bookmarkEnd w:id="63"/>
      <w:bookmarkEnd w:id="64"/>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充电控制功能应符合NB/T 33001-2018中6.1的要求。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65" w:name="_Toc95406272"/>
      <w:bookmarkStart w:id="66" w:name="_Toc136424598"/>
      <w:bookmarkStart w:id="67" w:name="_Toc96498622"/>
      <w:bookmarkStart w:id="68" w:name="_Toc132249100"/>
      <w:bookmarkStart w:id="69" w:name="_Toc136424652"/>
      <w:r>
        <w:rPr>
          <w:rFonts w:hint="eastAsia" w:ascii="宋体" w:hAnsi="宋体" w:eastAsia="宋体" w:cs="宋体"/>
          <w:sz w:val="21"/>
          <w:szCs w:val="21"/>
          <w:highlight w:val="none"/>
        </w:rPr>
        <w:t>3.2通信功能</w:t>
      </w:r>
      <w:bookmarkEnd w:id="65"/>
      <w:bookmarkEnd w:id="66"/>
      <w:bookmarkEnd w:id="67"/>
      <w:bookmarkEnd w:id="68"/>
      <w:bookmarkEnd w:id="69"/>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3.2.1充电机应具有与电动汽车BMS或车辆控制器通信的功能</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充电机应具有与电动汽车BMS或车辆控制器通信的功能,判断充电机是否与电动汽车蓄电池系统正确连接；获得电动汽车BMS或车辆控制器充电参数和充电实时数据。充电机与BMS或车辆控制器之间的通信协议应符合GB/T 27930的规定。</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3.2.2充电机应具有与上级监控系统或运营管理系统通信的功能</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70" w:name="_Hlk132240816"/>
      <w:r>
        <w:rPr>
          <w:rFonts w:hint="eastAsia" w:ascii="宋体" w:hAnsi="宋体" w:eastAsia="宋体" w:cs="宋体"/>
          <w:sz w:val="21"/>
          <w:szCs w:val="21"/>
          <w:highlight w:val="none"/>
        </w:rPr>
        <w:t>充电机应具备如下功能：</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可通过管理平台或用户APP等终端进行操作；</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具备本地、远程</w:t>
      </w:r>
      <w:r>
        <w:rPr>
          <w:rFonts w:hint="eastAsia" w:ascii="宋体" w:hAnsi="宋体" w:eastAsia="宋体" w:cs="宋体"/>
          <w:sz w:val="21"/>
          <w:szCs w:val="21"/>
          <w:highlight w:val="none"/>
        </w:rPr>
        <w:t>OTA（Over-the-Air Technology空中下载技术）</w:t>
      </w:r>
      <w:r>
        <w:rPr>
          <w:rFonts w:hint="eastAsia" w:ascii="宋体" w:hAnsi="宋体" w:eastAsia="宋体" w:cs="宋体"/>
          <w:sz w:val="21"/>
          <w:szCs w:val="21"/>
          <w:highlight w:val="none"/>
          <w:lang w:val="zh-CN"/>
        </w:rPr>
        <w:t>升级功能</w:t>
      </w:r>
      <w:r>
        <w:rPr>
          <w:rFonts w:hint="eastAsia" w:ascii="宋体" w:hAnsi="宋体" w:eastAsia="宋体" w:cs="宋体"/>
          <w:sz w:val="21"/>
          <w:szCs w:val="21"/>
          <w:highlight w:val="none"/>
        </w:rPr>
        <w:t>；</w:t>
      </w:r>
    </w:p>
    <w:bookmarkEnd w:id="70"/>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71" w:name="_Toc136424653"/>
      <w:bookmarkStart w:id="72" w:name="_Toc96498623"/>
      <w:bookmarkStart w:id="73" w:name="_Toc95406273"/>
      <w:bookmarkStart w:id="74" w:name="_Toc132249101"/>
      <w:bookmarkStart w:id="75" w:name="_Toc136424599"/>
      <w:r>
        <w:rPr>
          <w:rFonts w:hint="eastAsia" w:ascii="宋体" w:hAnsi="宋体" w:eastAsia="宋体" w:cs="宋体"/>
          <w:sz w:val="21"/>
          <w:szCs w:val="21"/>
          <w:highlight w:val="none"/>
        </w:rPr>
        <w:t>3.3绝缘检测功能</w:t>
      </w:r>
      <w:bookmarkEnd w:id="71"/>
      <w:bookmarkEnd w:id="72"/>
      <w:bookmarkEnd w:id="73"/>
      <w:bookmarkEnd w:id="74"/>
      <w:bookmarkEnd w:id="75"/>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绝缘检测功能应符合NB/T 33001-2018中6.3的要求。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76" w:name="_Toc95406274"/>
      <w:bookmarkStart w:id="77" w:name="_Toc136424600"/>
      <w:bookmarkStart w:id="78" w:name="_Toc132249102"/>
      <w:bookmarkStart w:id="79" w:name="_Toc96498624"/>
      <w:bookmarkStart w:id="80" w:name="_Toc136424654"/>
      <w:r>
        <w:rPr>
          <w:rFonts w:hint="eastAsia" w:ascii="宋体" w:hAnsi="宋体" w:eastAsia="宋体" w:cs="宋体"/>
          <w:sz w:val="21"/>
          <w:szCs w:val="21"/>
          <w:highlight w:val="none"/>
        </w:rPr>
        <w:t>3.4直流输出回路短路检测功能</w:t>
      </w:r>
      <w:bookmarkEnd w:id="76"/>
      <w:bookmarkEnd w:id="77"/>
      <w:bookmarkEnd w:id="78"/>
      <w:bookmarkEnd w:id="79"/>
      <w:bookmarkEnd w:id="80"/>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直流输出回路短路检测功能应符合NB/T 33001-2018中6.4的要求。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81" w:name="_Toc136424601"/>
      <w:bookmarkStart w:id="82" w:name="_Toc132249103"/>
      <w:bookmarkStart w:id="83" w:name="_Toc136424655"/>
      <w:bookmarkStart w:id="84" w:name="_Toc95406275"/>
      <w:bookmarkStart w:id="85" w:name="_Toc96498625"/>
      <w:r>
        <w:rPr>
          <w:rFonts w:hint="eastAsia" w:ascii="宋体" w:hAnsi="宋体" w:eastAsia="宋体" w:cs="宋体"/>
          <w:sz w:val="21"/>
          <w:szCs w:val="21"/>
          <w:highlight w:val="none"/>
        </w:rPr>
        <w:t>3.5车辆插头锁止功能</w:t>
      </w:r>
      <w:bookmarkEnd w:id="81"/>
      <w:bookmarkEnd w:id="82"/>
      <w:bookmarkEnd w:id="83"/>
      <w:bookmarkEnd w:id="84"/>
      <w:bookmarkEnd w:id="85"/>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车辆车头锁止功能应符合NB/T 33001-2018中6.5的要求。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86" w:name="_Toc132249104"/>
      <w:bookmarkStart w:id="87" w:name="_Toc95406276"/>
      <w:bookmarkStart w:id="88" w:name="_Toc136424656"/>
      <w:bookmarkStart w:id="89" w:name="_Toc136424602"/>
      <w:bookmarkStart w:id="90" w:name="_Toc96498626"/>
      <w:r>
        <w:rPr>
          <w:rFonts w:hint="eastAsia" w:ascii="宋体" w:hAnsi="宋体" w:eastAsia="宋体" w:cs="宋体"/>
          <w:sz w:val="21"/>
          <w:szCs w:val="21"/>
          <w:highlight w:val="none"/>
        </w:rPr>
        <w:t>3.6预充电功能</w:t>
      </w:r>
      <w:bookmarkEnd w:id="86"/>
      <w:bookmarkEnd w:id="87"/>
      <w:bookmarkEnd w:id="88"/>
      <w:bookmarkEnd w:id="89"/>
      <w:bookmarkEnd w:id="90"/>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预充电功能应符合NB/T 33001-2018中6.6的要求。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91" w:name="_Toc136424657"/>
      <w:bookmarkStart w:id="92" w:name="_Toc132249105"/>
      <w:bookmarkStart w:id="93" w:name="_Toc95406277"/>
      <w:bookmarkStart w:id="94" w:name="_Toc136424603"/>
      <w:bookmarkStart w:id="95" w:name="_Toc96498627"/>
      <w:r>
        <w:rPr>
          <w:rFonts w:hint="eastAsia" w:ascii="宋体" w:hAnsi="宋体" w:eastAsia="宋体" w:cs="宋体"/>
          <w:sz w:val="21"/>
          <w:szCs w:val="21"/>
          <w:highlight w:val="none"/>
        </w:rPr>
        <w:t>3.7人机交互功能</w:t>
      </w:r>
      <w:bookmarkEnd w:id="91"/>
      <w:bookmarkEnd w:id="92"/>
      <w:bookmarkEnd w:id="93"/>
      <w:bookmarkEnd w:id="94"/>
      <w:bookmarkEnd w:id="95"/>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人机交互功能应符合以下要求，同时符合NB/T 33001-2018中6.7的要求。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3.7.1显示方式</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充电机的本体应按照6.7.1 a）的要求显示运行状态指示。</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充电机信息的显示方式宜至少采用如下方式之一：</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充电机本体显示；</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通过无线方式或有线方式连接的终端显示，如用户APP、小程序等。</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3.7.2启动充电方式</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宜具备扫码充电、刷卡、即插即充、账号登陆等一种或多种方式；</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96" w:name="_Toc132249106"/>
      <w:bookmarkStart w:id="97" w:name="_Toc96498628"/>
      <w:bookmarkStart w:id="98" w:name="_Toc136424604"/>
      <w:bookmarkStart w:id="99" w:name="_Toc136424658"/>
      <w:bookmarkStart w:id="100" w:name="_Toc95406278"/>
      <w:r>
        <w:rPr>
          <w:rFonts w:hint="eastAsia" w:ascii="宋体" w:hAnsi="宋体" w:eastAsia="宋体" w:cs="宋体"/>
          <w:sz w:val="21"/>
          <w:szCs w:val="21"/>
          <w:highlight w:val="none"/>
        </w:rPr>
        <w:t>3.8计量功能</w:t>
      </w:r>
      <w:bookmarkEnd w:id="96"/>
      <w:bookmarkEnd w:id="97"/>
      <w:bookmarkEnd w:id="98"/>
      <w:bookmarkEnd w:id="99"/>
      <w:bookmarkEnd w:id="100"/>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计量功能应符合NB/T 33001-2018中6.8的要求。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01" w:name="_Toc132249107"/>
      <w:bookmarkStart w:id="102" w:name="_Toc136424605"/>
      <w:bookmarkStart w:id="103" w:name="_Toc96498629"/>
      <w:bookmarkStart w:id="104" w:name="_Toc95406279"/>
      <w:bookmarkStart w:id="105" w:name="_Toc136424659"/>
      <w:r>
        <w:rPr>
          <w:rFonts w:hint="eastAsia" w:ascii="宋体" w:hAnsi="宋体" w:eastAsia="宋体" w:cs="宋体"/>
          <w:sz w:val="21"/>
          <w:szCs w:val="21"/>
          <w:highlight w:val="none"/>
        </w:rPr>
        <w:t>3.9急停功能</w:t>
      </w:r>
      <w:bookmarkEnd w:id="101"/>
      <w:bookmarkEnd w:id="102"/>
      <w:bookmarkEnd w:id="103"/>
      <w:bookmarkEnd w:id="104"/>
      <w:bookmarkEnd w:id="105"/>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充电机宜具备急停功能。如有急停功能，应符合NB/T 33001-2018中6.9的要求。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06" w:name="_Toc136424660"/>
      <w:bookmarkStart w:id="107" w:name="_Toc96498630"/>
      <w:bookmarkStart w:id="108" w:name="_Toc95406280"/>
      <w:bookmarkStart w:id="109" w:name="_Toc136424606"/>
      <w:bookmarkStart w:id="110" w:name="_Toc132249108"/>
      <w:r>
        <w:rPr>
          <w:rFonts w:hint="eastAsia" w:ascii="宋体" w:hAnsi="宋体" w:eastAsia="宋体" w:cs="宋体"/>
          <w:sz w:val="21"/>
          <w:szCs w:val="21"/>
          <w:highlight w:val="none"/>
        </w:rPr>
        <w:t>3.10温度监控功能</w:t>
      </w:r>
      <w:bookmarkEnd w:id="106"/>
      <w:bookmarkEnd w:id="107"/>
      <w:bookmarkEnd w:id="108"/>
      <w:bookmarkEnd w:id="109"/>
      <w:bookmarkEnd w:id="110"/>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充电机应具备对充电机尘密系统内部温度监控的功能。当充电机检测到尘密系统内功率变换单元的环境温度超过保护阈值时，应触发过温保护，并发出告警信息。</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11" w:name="_Toc136424661"/>
      <w:bookmarkStart w:id="112" w:name="_Toc95406281"/>
      <w:bookmarkStart w:id="113" w:name="_Toc132249109"/>
      <w:bookmarkStart w:id="114" w:name="_Toc136424607"/>
      <w:bookmarkStart w:id="115" w:name="_Toc96498631"/>
      <w:r>
        <w:rPr>
          <w:rFonts w:hint="eastAsia" w:ascii="宋体" w:hAnsi="宋体" w:eastAsia="宋体" w:cs="宋体"/>
          <w:sz w:val="21"/>
          <w:szCs w:val="21"/>
          <w:highlight w:val="none"/>
        </w:rPr>
        <w:t>3.11湿度监控功能</w:t>
      </w:r>
      <w:bookmarkEnd w:id="111"/>
      <w:bookmarkEnd w:id="112"/>
      <w:bookmarkEnd w:id="113"/>
      <w:bookmarkEnd w:id="114"/>
      <w:bookmarkEnd w:id="115"/>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充电机应具备对充电机尘密系统内部湿度进行监控的功能。当充电机检测到尘密系统内的相对湿度大于95％时，应发出告警信息，宜具备除湿功能，对尘密系统内部空间进行除湿。</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16" w:name="_Toc95406282"/>
      <w:bookmarkStart w:id="117" w:name="_Toc136424608"/>
      <w:bookmarkStart w:id="118" w:name="_Toc132249110"/>
      <w:bookmarkStart w:id="119" w:name="_Toc136424662"/>
      <w:bookmarkStart w:id="120" w:name="_Toc96498632"/>
      <w:r>
        <w:rPr>
          <w:rFonts w:hint="eastAsia" w:ascii="宋体" w:hAnsi="宋体" w:eastAsia="宋体" w:cs="宋体"/>
          <w:sz w:val="21"/>
          <w:szCs w:val="21"/>
          <w:highlight w:val="none"/>
        </w:rPr>
        <w:t>3.12烟雾监控功能</w:t>
      </w:r>
      <w:bookmarkEnd w:id="116"/>
      <w:bookmarkEnd w:id="117"/>
      <w:bookmarkEnd w:id="118"/>
      <w:bookmarkEnd w:id="119"/>
      <w:bookmarkEnd w:id="120"/>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21" w:name="_Hlk132241600"/>
      <w:r>
        <w:rPr>
          <w:rFonts w:hint="eastAsia" w:ascii="宋体" w:hAnsi="宋体" w:eastAsia="宋体" w:cs="宋体"/>
          <w:sz w:val="21"/>
          <w:szCs w:val="21"/>
          <w:highlight w:val="none"/>
        </w:rPr>
        <w:t>充电机宜具备对充电机尘密系统内烟雾进行监控的功能。当充电机监测到发生严重烟雾时，应停止充电，并发出告警信息。</w:t>
      </w:r>
      <w:bookmarkEnd w:id="121"/>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22" w:name="_Toc96498633"/>
      <w:bookmarkStart w:id="123" w:name="_Toc136424609"/>
      <w:bookmarkStart w:id="124" w:name="_Toc136424663"/>
      <w:bookmarkStart w:id="125" w:name="_Toc95406283"/>
      <w:bookmarkStart w:id="126" w:name="_Toc132249111"/>
      <w:r>
        <w:rPr>
          <w:rFonts w:hint="eastAsia" w:ascii="宋体" w:hAnsi="宋体" w:eastAsia="宋体" w:cs="宋体"/>
          <w:sz w:val="21"/>
          <w:szCs w:val="21"/>
          <w:highlight w:val="none"/>
        </w:rPr>
        <w:t>3.13保护功能</w:t>
      </w:r>
      <w:bookmarkEnd w:id="122"/>
      <w:bookmarkEnd w:id="123"/>
      <w:bookmarkEnd w:id="124"/>
      <w:bookmarkEnd w:id="125"/>
      <w:bookmarkEnd w:id="126"/>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充电机应符合如下要求，同时符合NB/T 33001-2018中6.10的要求。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3.13.1充电机应具备输入过、欠压保护及恢复功能。充电机应能监视交流输入电压的变化，当输入电压值过高或过低时，充电机应具有关机保护的功能并发出告警信息。交流输入电压恢复正常后，恢复默认不输出状态，无须人工干预，可接受上级监控系统控制开关输出。</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3.13.2充电机应具备交流输入缺相保护及恢复功能。当交流输入缺相时，充电机应具备缺相关机保护的功能并发出告警信息。输入电压恢复正常后，恢复默认不输出状态，无须人工干预，可接受上级监控系统控制开关输出。</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3.13.3充电机应具备泄放电路的失效监测功能，当检测到泄放电阻或泄放开关失效时，充电机应停止充电，并发出告警信息。</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27" w:name="_Hlk132241790"/>
      <w:r>
        <w:rPr>
          <w:rFonts w:hint="eastAsia" w:ascii="宋体" w:hAnsi="宋体" w:eastAsia="宋体" w:cs="宋体"/>
          <w:sz w:val="21"/>
          <w:szCs w:val="21"/>
          <w:highlight w:val="none"/>
        </w:rPr>
        <w:t>3.13.4充电机尘密系统宜具备水浸保护，当充电机检测到内部进水时，充电机应停止充电或不应启动充电，并发出告警信息。</w:t>
      </w:r>
    </w:p>
    <w:bookmarkEnd w:id="127"/>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3.13.5充电机应在启动充电前进行直流输出回路泄放开关触点粘连检测，当检测到泄放继电器的主触点出现粘连情况时，充电机不应启动充电，并发出告警信息。在充电结束泄放继电器断开后也可进行触点粘连检测，当检测到泄放继电器的主触点出现粘连情况时，充电机应发出告警信息。</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3.13.6电机应具备散热系统故障监测功能，当监测到故障时，采取降功率输出或停止输出，并发出告警信息。</w:t>
      </w:r>
    </w:p>
    <w:p>
      <w:pPr>
        <w:adjustRightInd w:val="0"/>
        <w:snapToGrid w:val="0"/>
        <w:spacing w:beforeLines="0" w:afterLines="0" w:line="440" w:lineRule="exact"/>
        <w:ind w:firstLine="420" w:firstLineChars="200"/>
        <w:rPr>
          <w:rFonts w:hint="eastAsia" w:ascii="宋体" w:hAnsi="宋体" w:eastAsia="宋体" w:cs="宋体"/>
          <w:b/>
          <w:sz w:val="21"/>
          <w:szCs w:val="21"/>
          <w:highlight w:val="none"/>
        </w:rPr>
      </w:pPr>
      <w:bookmarkStart w:id="128" w:name="_Toc132249112"/>
      <w:bookmarkStart w:id="129" w:name="_Toc136424761"/>
      <w:bookmarkStart w:id="130" w:name="_Toc96498716"/>
      <w:bookmarkStart w:id="131" w:name="_Toc136424664"/>
      <w:bookmarkStart w:id="132" w:name="_Toc136424610"/>
      <w:bookmarkStart w:id="133" w:name="_Toc96498634"/>
      <w:bookmarkStart w:id="134" w:name="_Toc95406284"/>
      <w:r>
        <w:rPr>
          <w:rFonts w:hint="eastAsia" w:ascii="宋体" w:hAnsi="宋体" w:eastAsia="宋体" w:cs="宋体"/>
          <w:b/>
          <w:sz w:val="21"/>
          <w:szCs w:val="21"/>
          <w:highlight w:val="none"/>
        </w:rPr>
        <w:t>4、技术要求</w:t>
      </w:r>
      <w:bookmarkEnd w:id="128"/>
      <w:bookmarkEnd w:id="129"/>
      <w:bookmarkEnd w:id="130"/>
      <w:bookmarkEnd w:id="131"/>
      <w:bookmarkEnd w:id="132"/>
      <w:bookmarkEnd w:id="133"/>
      <w:bookmarkEnd w:id="134"/>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35" w:name="_Toc136424611"/>
      <w:bookmarkStart w:id="136" w:name="_Toc310885156"/>
      <w:bookmarkStart w:id="137" w:name="_Toc132249113"/>
      <w:bookmarkStart w:id="138" w:name="_Toc136424665"/>
      <w:bookmarkStart w:id="139" w:name="_Toc96498635"/>
      <w:bookmarkStart w:id="140" w:name="_Toc95406285"/>
      <w:r>
        <w:rPr>
          <w:rFonts w:hint="eastAsia" w:ascii="宋体" w:hAnsi="宋体" w:eastAsia="宋体" w:cs="宋体"/>
          <w:sz w:val="21"/>
          <w:szCs w:val="21"/>
          <w:highlight w:val="none"/>
        </w:rPr>
        <w:t>4.1环境条件</w:t>
      </w:r>
      <w:bookmarkEnd w:id="135"/>
      <w:bookmarkEnd w:id="136"/>
      <w:bookmarkEnd w:id="137"/>
      <w:bookmarkEnd w:id="138"/>
      <w:bookmarkEnd w:id="139"/>
      <w:bookmarkEnd w:id="140"/>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4.1.1环境温度：-25℃～55℃（室外使用），-5℃～50℃（室内使用）。</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4.1.2相对湿度：5%～95%。</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4.1.3污染等级：3（室外使用），2（室内使用），3（室内暴露于污染的工业环境）。</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4.1.4海拔高度：≤2000 m。</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4.1.5周围环境：使用地点不得有爆炸危险介质，周围介质不得含有腐蚀金属和破坏绝缘的有害气体及导电介质。</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4.1.6充电机在其他特殊环境下使用时，运营商和厂商应协商一致。充电机可用于腐蚀性较高和沙粉尘污染严重的环境，如高湿度和侵蚀性大气或高空气污染的工业区域、沿海地区、化工厂、凝露和高污染持续存在的建筑物或地区、矿山等；</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注：特殊使用条件包括GB/T 18487.1中特殊使用条件的相关规定。</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41" w:name="_Toc96498636"/>
      <w:bookmarkStart w:id="142" w:name="_Toc95406286"/>
      <w:bookmarkStart w:id="143" w:name="_Toc132249114"/>
      <w:bookmarkStart w:id="144" w:name="_Toc136424612"/>
      <w:bookmarkStart w:id="145" w:name="_Toc136424666"/>
      <w:r>
        <w:rPr>
          <w:rFonts w:hint="eastAsia" w:ascii="宋体" w:hAnsi="宋体" w:eastAsia="宋体" w:cs="宋体"/>
          <w:sz w:val="21"/>
          <w:szCs w:val="21"/>
          <w:highlight w:val="none"/>
        </w:rPr>
        <w:t>4.2电源要求</w:t>
      </w:r>
      <w:bookmarkEnd w:id="141"/>
      <w:bookmarkEnd w:id="142"/>
      <w:bookmarkEnd w:id="143"/>
      <w:bookmarkEnd w:id="144"/>
      <w:bookmarkEnd w:id="145"/>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4.2.1电源电压和电流</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电源电压和电流应符合NB/T 33001-2018中7.2.1的要求。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4.2.2电源频率</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交流输入电源频率为50 Hz±5Hz或60Hz±5Hz。</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46" w:name="_Toc132249115"/>
      <w:bookmarkStart w:id="147" w:name="_Toc136424613"/>
      <w:bookmarkStart w:id="148" w:name="_Toc96498637"/>
      <w:bookmarkStart w:id="149" w:name="_Toc95406287"/>
      <w:bookmarkStart w:id="150" w:name="_Toc136424667"/>
      <w:r>
        <w:rPr>
          <w:rFonts w:hint="eastAsia" w:ascii="宋体" w:hAnsi="宋体" w:eastAsia="宋体" w:cs="宋体"/>
          <w:sz w:val="21"/>
          <w:szCs w:val="21"/>
          <w:highlight w:val="none"/>
        </w:rPr>
        <w:t>4.3环境适应要求</w:t>
      </w:r>
      <w:bookmarkEnd w:id="146"/>
      <w:bookmarkEnd w:id="147"/>
      <w:bookmarkEnd w:id="148"/>
      <w:bookmarkEnd w:id="149"/>
      <w:bookmarkEnd w:id="150"/>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4.3.1防护等级</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充电机防护等级不应低于IP5</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51" w:name="_Toc179863361"/>
      <w:r>
        <w:rPr>
          <w:rFonts w:hint="eastAsia" w:ascii="宋体" w:hAnsi="宋体" w:eastAsia="宋体" w:cs="宋体"/>
          <w:sz w:val="21"/>
          <w:szCs w:val="21"/>
          <w:highlight w:val="none"/>
        </w:rPr>
        <w:t>4.3.2三防(防潮湿，防霉变，防盐雾)保护</w:t>
      </w:r>
      <w:bookmarkEnd w:id="151"/>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正常使用环境的充电机，NB/T 33001-2018的第7.3.2适用。在C3～C5腐蚀性等级环境中使用的充电机，宜增加其防盐雾腐蚀试验的时间：120h（C3环境）、240h（C4环境）、480h（C5环境）。</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盐雾腐蚀试验的时间参考GB/T 30790.6 表1中性盐雾的时间要求。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52" w:name="_Toc179863362"/>
      <w:r>
        <w:rPr>
          <w:rFonts w:hint="eastAsia" w:ascii="宋体" w:hAnsi="宋体" w:eastAsia="宋体" w:cs="宋体"/>
          <w:sz w:val="21"/>
          <w:szCs w:val="21"/>
          <w:highlight w:val="none"/>
        </w:rPr>
        <w:t>4.3.3防锈(防氧化)保护</w:t>
      </w:r>
      <w:bookmarkEnd w:id="152"/>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防锈(防氧化)保护应符合NB/T 33001-2018中7.3.3的要求。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4.3.4防风保护</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防风保护应符合NB/T 33001-2018中7.3.4的要求。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4.3.5防盗保护</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防盗保护应符合NB/T 33001-2018中7.3.5的要求。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53" w:name="_Toc96498638"/>
      <w:bookmarkStart w:id="154" w:name="_Toc136424668"/>
      <w:bookmarkStart w:id="155" w:name="_Toc132249116"/>
      <w:bookmarkStart w:id="156" w:name="_Toc136424614"/>
      <w:bookmarkStart w:id="157" w:name="_Toc95406288"/>
      <w:r>
        <w:rPr>
          <w:rFonts w:hint="eastAsia" w:ascii="宋体" w:hAnsi="宋体" w:eastAsia="宋体" w:cs="宋体"/>
          <w:sz w:val="21"/>
          <w:szCs w:val="21"/>
          <w:highlight w:val="none"/>
        </w:rPr>
        <w:t>4.4内部温升要求</w:t>
      </w:r>
      <w:bookmarkEnd w:id="153"/>
      <w:bookmarkEnd w:id="154"/>
      <w:bookmarkEnd w:id="155"/>
      <w:bookmarkEnd w:id="156"/>
      <w:bookmarkEnd w:id="157"/>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动力电源输入电流所流经的回路，如接线端子、输入断路器、输入接触器等；功率变换单元及其内部元器件、输入输出端子；直流输出电流所流经的回路，如接线端子、直流熔断器、直流接触器、功率电阻、电流采样分流器、车辆插头等。这些发热元器件及部件的最高温度小于等于元器件及部件最大耐受温度的90％，且不应影响周围元器件的正常工作和无元器件损坏。</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在正常试验条件下，输入为额定值，充电机在最大输出电流下长期运行，内部各发热元器件及各部位连接端子处的温升不应大于表1的规定。</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充电机内部各部件极限温升</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66"/>
        <w:gridCol w:w="41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7" w:type="dxa"/>
            <w:tcBorders>
              <w:top w:val="single" w:color="auto" w:sz="8" w:space="0"/>
              <w:left w:val="single" w:color="auto" w:sz="8" w:space="0"/>
              <w:bottom w:val="single" w:color="auto" w:sz="8"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内部测试点（整机）</w:t>
            </w:r>
          </w:p>
        </w:tc>
        <w:tc>
          <w:tcPr>
            <w:tcW w:w="4667" w:type="dxa"/>
            <w:tcBorders>
              <w:top w:val="single" w:color="auto" w:sz="8" w:space="0"/>
              <w:left w:val="single" w:color="auto" w:sz="4" w:space="0"/>
              <w:bottom w:val="single" w:color="auto" w:sz="8"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极限温升 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动力电源输入端子</w:t>
            </w:r>
          </w:p>
        </w:tc>
        <w:tc>
          <w:tcPr>
            <w:tcW w:w="4667" w:type="dxa"/>
            <w:tcBorders>
              <w:top w:val="single" w:color="auto" w:sz="8"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输入断路器、接触器接线端子</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塑料绝缘线</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功率变换单元输入输出连接端子</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功率电阻</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25（距外表30 mm处空间）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电流采样分流器端子连接处</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熔断器端子连接处</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直流接触器外壳与极柱</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8"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直流输出接线端子</w:t>
            </w:r>
          </w:p>
        </w:tc>
        <w:tc>
          <w:tcPr>
            <w:tcW w:w="4667" w:type="dxa"/>
            <w:tcBorders>
              <w:top w:val="single" w:color="auto" w:sz="4" w:space="0"/>
              <w:left w:val="single" w:color="auto" w:sz="4" w:space="0"/>
              <w:bottom w:val="single" w:color="auto" w:sz="8"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r>
    </w:tbl>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58" w:name="_Toc96498639"/>
      <w:bookmarkStart w:id="159" w:name="_Toc136424669"/>
      <w:bookmarkStart w:id="160" w:name="_Toc136424615"/>
      <w:bookmarkStart w:id="161" w:name="_Toc95406289"/>
      <w:bookmarkStart w:id="162" w:name="_Toc132249117"/>
      <w:r>
        <w:rPr>
          <w:rFonts w:hint="eastAsia" w:ascii="宋体" w:hAnsi="宋体" w:eastAsia="宋体" w:cs="宋体"/>
          <w:sz w:val="21"/>
          <w:szCs w:val="21"/>
          <w:highlight w:val="none"/>
        </w:rPr>
        <w:t>4.5安全要求</w:t>
      </w:r>
      <w:bookmarkEnd w:id="158"/>
      <w:bookmarkEnd w:id="159"/>
      <w:bookmarkEnd w:id="160"/>
      <w:bookmarkEnd w:id="161"/>
      <w:bookmarkEnd w:id="162"/>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安全要求应符合NB/T 33001-2018中7.5的要求。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63" w:name="_Toc132249118"/>
      <w:bookmarkStart w:id="164" w:name="_Toc136424616"/>
      <w:bookmarkStart w:id="165" w:name="_Toc95406290"/>
      <w:bookmarkStart w:id="166" w:name="_Toc96498640"/>
      <w:bookmarkStart w:id="167" w:name="_Toc136424670"/>
      <w:r>
        <w:rPr>
          <w:rFonts w:hint="eastAsia" w:ascii="宋体" w:hAnsi="宋体" w:eastAsia="宋体" w:cs="宋体"/>
          <w:sz w:val="21"/>
          <w:szCs w:val="21"/>
          <w:highlight w:val="none"/>
        </w:rPr>
        <w:t>4.6电气绝缘性能</w:t>
      </w:r>
      <w:bookmarkEnd w:id="163"/>
      <w:bookmarkEnd w:id="164"/>
      <w:bookmarkEnd w:id="165"/>
      <w:bookmarkEnd w:id="166"/>
      <w:bookmarkEnd w:id="167"/>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4.6.1绝缘电阻</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绝缘电阻应符合GB/T 18487.1中绝缘电阻的要求。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4.6.2介电强度</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介电强度应符合GB/T 18487.1中介电强度的要求。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4.6.3冲击耐压</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冲击耐压应符合GB/T 18487.1中冲击耐压的要求。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4.6.4接触电流</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接触电流应符合GB/T 18487.1中接触电流的要求。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68" w:name="_Toc95406291"/>
      <w:bookmarkStart w:id="169" w:name="_Toc136424617"/>
      <w:bookmarkStart w:id="170" w:name="_Toc132249119"/>
      <w:bookmarkStart w:id="171" w:name="_Toc96498641"/>
      <w:bookmarkStart w:id="172" w:name="_Toc136424671"/>
      <w:r>
        <w:rPr>
          <w:rFonts w:hint="eastAsia" w:ascii="宋体" w:hAnsi="宋体" w:eastAsia="宋体" w:cs="宋体"/>
          <w:sz w:val="21"/>
          <w:szCs w:val="21"/>
          <w:highlight w:val="none"/>
        </w:rPr>
        <w:t>4.7输出要求</w:t>
      </w:r>
      <w:bookmarkEnd w:id="168"/>
      <w:bookmarkEnd w:id="169"/>
      <w:bookmarkEnd w:id="170"/>
      <w:bookmarkEnd w:id="171"/>
      <w:bookmarkEnd w:id="172"/>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输出要求应符合NB/T 33001-2018中7.7的要求。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73" w:name="_Toc95406292"/>
      <w:bookmarkStart w:id="174" w:name="_Toc96498642"/>
      <w:bookmarkStart w:id="175" w:name="_Toc136424618"/>
      <w:bookmarkStart w:id="176" w:name="_Toc132249120"/>
      <w:bookmarkStart w:id="177" w:name="_Toc136424672"/>
      <w:r>
        <w:rPr>
          <w:rFonts w:hint="eastAsia" w:ascii="宋体" w:hAnsi="宋体" w:eastAsia="宋体" w:cs="宋体"/>
          <w:sz w:val="21"/>
          <w:szCs w:val="21"/>
          <w:highlight w:val="none"/>
        </w:rPr>
        <w:t>4.8电容耦合</w:t>
      </w:r>
      <w:bookmarkEnd w:id="173"/>
      <w:bookmarkEnd w:id="174"/>
      <w:bookmarkEnd w:id="175"/>
      <w:bookmarkEnd w:id="176"/>
      <w:bookmarkEnd w:id="177"/>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电容耦合应符合NB/T 33001-2018中7.8的要求。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78" w:name="_Toc136424619"/>
      <w:bookmarkStart w:id="179" w:name="_Toc96498643"/>
      <w:bookmarkStart w:id="180" w:name="_Toc136424673"/>
      <w:bookmarkStart w:id="181" w:name="_Toc132249121"/>
      <w:bookmarkStart w:id="182" w:name="_Toc95406293"/>
      <w:r>
        <w:rPr>
          <w:rFonts w:hint="eastAsia" w:ascii="宋体" w:hAnsi="宋体" w:eastAsia="宋体" w:cs="宋体"/>
          <w:sz w:val="21"/>
          <w:szCs w:val="21"/>
          <w:highlight w:val="none"/>
        </w:rPr>
        <w:t>4.9待机功耗</w:t>
      </w:r>
      <w:bookmarkEnd w:id="178"/>
      <w:bookmarkEnd w:id="179"/>
      <w:bookmarkEnd w:id="180"/>
      <w:bookmarkEnd w:id="181"/>
      <w:bookmarkEnd w:id="182"/>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在额定输入电压下，充电机不连接试验系统且无人员操作，仅保留其后台通信、状态指示灯等基本功能的状态，测量充电机的待机功耗不大于50W。</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83" w:name="_Toc96498644"/>
      <w:bookmarkStart w:id="184" w:name="_Toc136424674"/>
      <w:bookmarkStart w:id="185" w:name="_Toc95406294"/>
      <w:bookmarkStart w:id="186" w:name="_Toc132249122"/>
      <w:bookmarkStart w:id="187" w:name="_Toc136424620"/>
      <w:r>
        <w:rPr>
          <w:rFonts w:hint="eastAsia" w:ascii="宋体" w:hAnsi="宋体" w:eastAsia="宋体" w:cs="宋体"/>
          <w:sz w:val="21"/>
          <w:szCs w:val="21"/>
          <w:highlight w:val="none"/>
        </w:rPr>
        <w:t>4.10输出电压、电流测量误差</w:t>
      </w:r>
      <w:bookmarkEnd w:id="183"/>
      <w:bookmarkEnd w:id="184"/>
      <w:bookmarkEnd w:id="185"/>
      <w:bookmarkEnd w:id="186"/>
      <w:bookmarkEnd w:id="187"/>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输出电压、电流测量误差应符合NB/T 33001-2018中7.10的要求。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88" w:name="_Toc136424675"/>
      <w:bookmarkStart w:id="189" w:name="_Toc132249123"/>
      <w:bookmarkStart w:id="190" w:name="_Toc96498645"/>
      <w:bookmarkStart w:id="191" w:name="_Toc136424621"/>
      <w:bookmarkStart w:id="192" w:name="_Toc95406295"/>
      <w:bookmarkStart w:id="193" w:name="_Hlk76756296"/>
      <w:r>
        <w:rPr>
          <w:rFonts w:hint="eastAsia" w:ascii="宋体" w:hAnsi="宋体" w:eastAsia="宋体" w:cs="宋体"/>
          <w:sz w:val="21"/>
          <w:szCs w:val="21"/>
          <w:highlight w:val="none"/>
        </w:rPr>
        <w:t>4.11充电机效率、输入功率因数</w:t>
      </w:r>
      <w:bookmarkEnd w:id="188"/>
      <w:bookmarkEnd w:id="189"/>
      <w:bookmarkEnd w:id="190"/>
      <w:bookmarkEnd w:id="191"/>
      <w:bookmarkEnd w:id="192"/>
    </w:p>
    <w:bookmarkEnd w:id="193"/>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在额定输入电压下，充电机的效率、输入功率因数应符合表2的要求。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充电机效率、输入功率因数</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86"/>
        <w:gridCol w:w="2773"/>
        <w:gridCol w:w="27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left w:val="single" w:color="auto" w:sz="8" w:space="0"/>
              <w:bottom w:val="single" w:color="auto" w:sz="8"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实际输出功率Po /额定输出功率Pn</w:t>
            </w:r>
          </w:p>
        </w:tc>
        <w:tc>
          <w:tcPr>
            <w:tcW w:w="3112" w:type="dxa"/>
            <w:tcBorders>
              <w:top w:val="single" w:color="auto" w:sz="8" w:space="0"/>
              <w:left w:val="single" w:color="auto" w:sz="4" w:space="0"/>
              <w:bottom w:val="single" w:color="auto" w:sz="8"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效率</w:t>
            </w:r>
          </w:p>
        </w:tc>
        <w:tc>
          <w:tcPr>
            <w:tcW w:w="3112" w:type="dxa"/>
            <w:tcBorders>
              <w:top w:val="single" w:color="auto" w:sz="8" w:space="0"/>
              <w:left w:val="single" w:color="auto" w:sz="4" w:space="0"/>
              <w:bottom w:val="single" w:color="auto" w:sz="8"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功率因数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left w:val="single" w:color="auto" w:sz="8"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20%≤Po/Pn≤50%</w:t>
            </w:r>
          </w:p>
        </w:tc>
        <w:tc>
          <w:tcPr>
            <w:tcW w:w="3112" w:type="dxa"/>
            <w:tcBorders>
              <w:top w:val="single" w:color="auto" w:sz="8" w:space="0"/>
              <w:left w:val="single" w:color="auto" w:sz="4" w:space="0"/>
              <w:bottom w:val="single" w:color="auto" w:sz="4"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≥92%</w:t>
            </w:r>
          </w:p>
        </w:tc>
        <w:tc>
          <w:tcPr>
            <w:tcW w:w="3112" w:type="dxa"/>
            <w:tcBorders>
              <w:top w:val="single" w:color="auto" w:sz="8" w:space="0"/>
              <w:left w:val="single" w:color="auto" w:sz="4" w:space="0"/>
              <w:bottom w:val="single" w:color="auto" w:sz="4"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4" w:space="0"/>
              <w:left w:val="single" w:color="auto" w:sz="8" w:space="0"/>
              <w:bottom w:val="single" w:color="auto" w:sz="8"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50%＜Po/Pn≤100%</w:t>
            </w:r>
          </w:p>
        </w:tc>
        <w:tc>
          <w:tcPr>
            <w:tcW w:w="3112" w:type="dxa"/>
            <w:tcBorders>
              <w:top w:val="single" w:color="auto" w:sz="4" w:space="0"/>
              <w:left w:val="single" w:color="auto" w:sz="4" w:space="0"/>
              <w:bottom w:val="single" w:color="auto" w:sz="8" w:space="0"/>
              <w:right w:val="single" w:color="auto" w:sz="4"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≥94%</w:t>
            </w:r>
          </w:p>
        </w:tc>
        <w:tc>
          <w:tcPr>
            <w:tcW w:w="3112" w:type="dxa"/>
            <w:tcBorders>
              <w:top w:val="single" w:color="auto" w:sz="4" w:space="0"/>
              <w:left w:val="single" w:color="auto" w:sz="4" w:space="0"/>
              <w:bottom w:val="single" w:color="auto" w:sz="8" w:space="0"/>
              <w:right w:val="single" w:color="auto" w:sz="8" w:space="0"/>
              <w:tl2br w:val="nil"/>
              <w:tr2bl w:val="nil"/>
            </w:tcBorders>
            <w:noWrap w:val="0"/>
            <w:vAlign w:val="top"/>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≥0.98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输入功率因数要求仅适用于交流供电充电机；</w:t>
            </w:r>
          </w:p>
          <w:p>
            <w:pPr>
              <w:keepNext w:val="0"/>
              <w:keepLines w:val="0"/>
              <w:suppressLineNumbers w:val="0"/>
              <w:adjustRightInd w:val="0"/>
              <w:snapToGrid w:val="0"/>
              <w:spacing w:before="0" w:beforeLines="0" w:beforeAutospacing="0" w:after="0" w:afterLines="0" w:afterAutospacing="0" w:line="44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具备恒功率输出特性的充电机，效率测试点应至少涵盖充电机每个恒功率段的输出电压最大值、中间值、最小值三点。</w:t>
            </w:r>
          </w:p>
        </w:tc>
      </w:tr>
    </w:tbl>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94" w:name="_Toc136424676"/>
      <w:bookmarkStart w:id="195" w:name="_Toc96498646"/>
      <w:bookmarkStart w:id="196" w:name="_Toc95406296"/>
      <w:bookmarkStart w:id="197" w:name="_Toc132249124"/>
      <w:bookmarkStart w:id="198" w:name="_Toc136424622"/>
      <w:r>
        <w:rPr>
          <w:rFonts w:hint="eastAsia" w:ascii="宋体" w:hAnsi="宋体" w:eastAsia="宋体" w:cs="宋体"/>
          <w:sz w:val="21"/>
          <w:szCs w:val="21"/>
          <w:highlight w:val="none"/>
        </w:rPr>
        <w:t>4.12充电模式和连接方式</w:t>
      </w:r>
      <w:bookmarkEnd w:id="194"/>
      <w:bookmarkEnd w:id="195"/>
      <w:bookmarkEnd w:id="196"/>
      <w:bookmarkEnd w:id="197"/>
      <w:bookmarkEnd w:id="198"/>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充电模式和连接方式应符合NB/T 33001-2018中7.12的要求。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199" w:name="_Toc132249125"/>
      <w:bookmarkStart w:id="200" w:name="_Toc136424623"/>
      <w:bookmarkStart w:id="201" w:name="_Toc136424677"/>
      <w:bookmarkStart w:id="202" w:name="_Toc96498647"/>
      <w:bookmarkStart w:id="203" w:name="_Toc95406297"/>
      <w:r>
        <w:rPr>
          <w:rFonts w:hint="eastAsia" w:ascii="宋体" w:hAnsi="宋体" w:eastAsia="宋体" w:cs="宋体"/>
          <w:sz w:val="21"/>
          <w:szCs w:val="21"/>
          <w:highlight w:val="none"/>
        </w:rPr>
        <w:t>4.13控制导引电路</w:t>
      </w:r>
      <w:bookmarkEnd w:id="199"/>
      <w:bookmarkEnd w:id="200"/>
      <w:bookmarkEnd w:id="201"/>
      <w:bookmarkEnd w:id="202"/>
      <w:bookmarkEnd w:id="203"/>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控制导引电路应符合NB/T 33001-2018中7.13的要求。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04" w:name="_Toc96498648"/>
      <w:bookmarkStart w:id="205" w:name="_Toc132249126"/>
      <w:bookmarkStart w:id="206" w:name="_Toc136424624"/>
      <w:bookmarkStart w:id="207" w:name="_Toc136424678"/>
      <w:bookmarkStart w:id="208" w:name="_Toc95406298"/>
      <w:r>
        <w:rPr>
          <w:rFonts w:hint="eastAsia" w:ascii="宋体" w:hAnsi="宋体" w:eastAsia="宋体" w:cs="宋体"/>
          <w:sz w:val="21"/>
          <w:szCs w:val="21"/>
          <w:highlight w:val="none"/>
        </w:rPr>
        <w:t>4.14充电控制时序与流程</w:t>
      </w:r>
      <w:bookmarkEnd w:id="204"/>
      <w:bookmarkEnd w:id="205"/>
      <w:bookmarkEnd w:id="206"/>
      <w:bookmarkEnd w:id="207"/>
      <w:bookmarkEnd w:id="208"/>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充电控制时序与流程应符合NB/T 33001-2018中7.14的要求。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09" w:name="_Toc136424625"/>
      <w:bookmarkStart w:id="210" w:name="_Toc95406299"/>
      <w:bookmarkStart w:id="211" w:name="_Toc96498649"/>
      <w:bookmarkStart w:id="212" w:name="_Toc132249127"/>
      <w:bookmarkStart w:id="213" w:name="_Toc136424679"/>
      <w:r>
        <w:rPr>
          <w:rFonts w:hint="eastAsia" w:ascii="宋体" w:hAnsi="宋体" w:eastAsia="宋体" w:cs="宋体"/>
          <w:sz w:val="21"/>
          <w:szCs w:val="21"/>
          <w:highlight w:val="none"/>
        </w:rPr>
        <w:t>4.15机械强度要求</w:t>
      </w:r>
      <w:bookmarkEnd w:id="209"/>
      <w:bookmarkEnd w:id="210"/>
      <w:bookmarkEnd w:id="211"/>
      <w:bookmarkEnd w:id="212"/>
      <w:bookmarkEnd w:id="213"/>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机械强度要求应符合NB/T 33001-2018中7.15的要求。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14" w:name="_Toc95406300"/>
      <w:bookmarkStart w:id="215" w:name="_Toc136424680"/>
      <w:bookmarkStart w:id="216" w:name="_Toc96498650"/>
      <w:bookmarkStart w:id="217" w:name="_Toc132249128"/>
      <w:bookmarkStart w:id="218" w:name="_Toc136424626"/>
      <w:r>
        <w:rPr>
          <w:rFonts w:hint="eastAsia" w:ascii="宋体" w:hAnsi="宋体" w:eastAsia="宋体" w:cs="宋体"/>
          <w:sz w:val="21"/>
          <w:szCs w:val="21"/>
          <w:highlight w:val="none"/>
        </w:rPr>
        <w:t>4.16噪声要求</w:t>
      </w:r>
      <w:bookmarkEnd w:id="214"/>
      <w:bookmarkEnd w:id="215"/>
      <w:bookmarkEnd w:id="216"/>
      <w:bookmarkEnd w:id="217"/>
      <w:bookmarkEnd w:id="218"/>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正常实验条件下，交流输入为额定值，充电机在额定输出功率下且内部温度稳定后，在周围环境噪声不大于40 dB的条件下，距离充电机水平前、后、左、右水平位置1 m处，离地面高度1m～1.5m处测得的噪声最大值应符合表3的要求，宜达到II级或更高等级。</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根据不同的安装场所，充电机在使用时的噪声必须符合相关的法律法规的要求。如实测值大于相关法律法规的要求，充电机在安装时应加装额外的降低噪声的设备以满足使用要求。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噪音级别要求</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53"/>
        <w:gridCol w:w="41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left w:val="single" w:color="auto" w:sz="8" w:space="0"/>
              <w:bottom w:val="single" w:color="auto" w:sz="8" w:space="0"/>
              <w:right w:val="single" w:color="auto" w:sz="4"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噪声等级</w:t>
            </w:r>
          </w:p>
        </w:tc>
        <w:tc>
          <w:tcPr>
            <w:tcW w:w="4667" w:type="dxa"/>
            <w:tcBorders>
              <w:top w:val="single" w:color="auto" w:sz="8" w:space="0"/>
              <w:left w:val="single" w:color="auto" w:sz="4" w:space="0"/>
              <w:bottom w:val="single" w:color="auto" w:sz="8" w:space="0"/>
              <w:right w:val="single" w:color="auto" w:sz="8"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噪声最大值 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left w:val="single" w:color="auto" w:sz="8"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Ⅰ 级</w:t>
            </w:r>
          </w:p>
        </w:tc>
        <w:tc>
          <w:tcPr>
            <w:tcW w:w="4667" w:type="dxa"/>
            <w:tcBorders>
              <w:top w:val="single" w:color="auto" w:sz="8" w:space="0"/>
              <w:left w:val="single" w:color="auto" w:sz="4" w:space="0"/>
              <w:bottom w:val="single" w:color="auto" w:sz="4" w:space="0"/>
              <w:right w:val="single" w:color="auto" w:sz="8"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4" w:space="0"/>
              <w:right w:val="single" w:color="auto" w:sz="4"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Ⅱ 级</w:t>
            </w:r>
          </w:p>
        </w:tc>
        <w:tc>
          <w:tcPr>
            <w:tcW w:w="4667" w:type="dxa"/>
            <w:tcBorders>
              <w:top w:val="single" w:color="auto" w:sz="4" w:space="0"/>
              <w:left w:val="single" w:color="auto" w:sz="4" w:space="0"/>
              <w:bottom w:val="single" w:color="auto" w:sz="4" w:space="0"/>
              <w:right w:val="single" w:color="auto" w:sz="8"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4" w:space="0"/>
              <w:left w:val="single" w:color="auto" w:sz="8" w:space="0"/>
              <w:bottom w:val="single" w:color="auto" w:sz="8" w:space="0"/>
              <w:right w:val="single" w:color="auto" w:sz="4"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Ⅲ 级</w:t>
            </w:r>
          </w:p>
        </w:tc>
        <w:tc>
          <w:tcPr>
            <w:tcW w:w="4667" w:type="dxa"/>
            <w:tcBorders>
              <w:top w:val="single" w:color="auto" w:sz="4" w:space="0"/>
              <w:left w:val="single" w:color="auto" w:sz="4" w:space="0"/>
              <w:bottom w:val="single" w:color="auto" w:sz="8" w:space="0"/>
              <w:right w:val="single" w:color="auto" w:sz="8" w:space="0"/>
              <w:tl2br w:val="nil"/>
              <w:tr2bl w:val="nil"/>
            </w:tcBorders>
            <w:noWrap w:val="0"/>
            <w:vAlign w:val="center"/>
          </w:tcPr>
          <w:p>
            <w:pPr>
              <w:keepNext w:val="0"/>
              <w:keepLines w:val="0"/>
              <w:suppressLineNumbers w:val="0"/>
              <w:adjustRightInd w:val="0"/>
              <w:snapToGrid w:val="0"/>
              <w:spacing w:before="0" w:beforeLines="0" w:beforeAutospacing="0" w:after="0" w:afterLines="0" w:afterAutospacing="0" w:line="440" w:lineRule="exact"/>
              <w:ind w:left="0" w:right="0"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w:t>
            </w:r>
          </w:p>
        </w:tc>
      </w:tr>
    </w:tbl>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19" w:name="_Toc96498651"/>
      <w:bookmarkStart w:id="220" w:name="_Toc95406301"/>
      <w:bookmarkStart w:id="221" w:name="_Toc132249129"/>
      <w:bookmarkStart w:id="222" w:name="_Toc136424627"/>
      <w:bookmarkStart w:id="223" w:name="_Toc136424681"/>
      <w:r>
        <w:rPr>
          <w:rFonts w:hint="eastAsia" w:ascii="宋体" w:hAnsi="宋体" w:eastAsia="宋体" w:cs="宋体"/>
          <w:sz w:val="21"/>
          <w:szCs w:val="21"/>
          <w:highlight w:val="none"/>
        </w:rPr>
        <w:t>4.17机械开关设备的特性要求</w:t>
      </w:r>
      <w:bookmarkEnd w:id="219"/>
      <w:bookmarkEnd w:id="220"/>
      <w:bookmarkEnd w:id="221"/>
      <w:bookmarkEnd w:id="222"/>
      <w:bookmarkEnd w:id="223"/>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机械开关设备的特性要求应符合NB/T 33001-2018中7.17的要求。</w:t>
      </w:r>
      <w:bookmarkStart w:id="224" w:name="_Toc96498652"/>
      <w:bookmarkStart w:id="225" w:name="_Toc95406302"/>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26" w:name="_Toc136424682"/>
      <w:bookmarkStart w:id="227" w:name="_Toc132249130"/>
      <w:bookmarkStart w:id="228" w:name="_Toc136424628"/>
      <w:r>
        <w:rPr>
          <w:rFonts w:hint="eastAsia" w:ascii="宋体" w:hAnsi="宋体" w:eastAsia="宋体" w:cs="宋体"/>
          <w:sz w:val="21"/>
          <w:szCs w:val="21"/>
          <w:highlight w:val="none"/>
        </w:rPr>
        <w:t>4.18剩余电流保护器</w:t>
      </w:r>
      <w:bookmarkEnd w:id="224"/>
      <w:bookmarkEnd w:id="225"/>
      <w:bookmarkEnd w:id="226"/>
      <w:bookmarkEnd w:id="227"/>
      <w:bookmarkEnd w:id="228"/>
    </w:p>
    <w:p>
      <w:pPr>
        <w:adjustRightInd w:val="0"/>
        <w:snapToGrid w:val="0"/>
        <w:spacing w:beforeLines="0" w:afterLines="0" w:line="44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剩余电流保护器应符合GB/T 18487.1中直流供电设备剩余电流保护器的要求。</w:t>
      </w:r>
      <w:bookmarkStart w:id="229" w:name="_Toc96498653"/>
      <w:bookmarkStart w:id="230" w:name="_Toc95406303"/>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31" w:name="_Toc132249131"/>
      <w:bookmarkStart w:id="232" w:name="_Toc136424629"/>
      <w:bookmarkStart w:id="233" w:name="_Toc136424683"/>
      <w:r>
        <w:rPr>
          <w:rFonts w:hint="eastAsia" w:ascii="宋体" w:hAnsi="宋体" w:eastAsia="宋体" w:cs="宋体"/>
          <w:sz w:val="21"/>
          <w:szCs w:val="21"/>
          <w:highlight w:val="none"/>
        </w:rPr>
        <w:t>4.19人机交互界面要求</w:t>
      </w:r>
      <w:bookmarkEnd w:id="229"/>
      <w:bookmarkEnd w:id="230"/>
      <w:bookmarkEnd w:id="231"/>
      <w:bookmarkEnd w:id="232"/>
      <w:bookmarkEnd w:id="233"/>
    </w:p>
    <w:p>
      <w:pPr>
        <w:adjustRightInd w:val="0"/>
        <w:snapToGrid w:val="0"/>
        <w:spacing w:beforeLines="0" w:afterLines="0" w:line="44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对于使用充电机本体显示方式的人机交互界面，使用元器件应符合相关标准要求，还应符合如下要求：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——工作温度至少为-30℃～55℃（室外使用）-5℃～50℃（室内使用）；</w:t>
      </w:r>
    </w:p>
    <w:p>
      <w:pPr>
        <w:adjustRightInd w:val="0"/>
        <w:snapToGrid w:val="0"/>
        <w:spacing w:beforeLines="0" w:afterLines="0" w:line="44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——抗紫外线F1等级</w:t>
      </w:r>
    </w:p>
    <w:p>
      <w:pPr>
        <w:adjustRightInd w:val="0"/>
        <w:snapToGrid w:val="0"/>
        <w:spacing w:beforeLines="0" w:afterLines="0" w:line="44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——功耗≤4W</w:t>
      </w:r>
    </w:p>
    <w:p>
      <w:pPr>
        <w:adjustRightInd w:val="0"/>
        <w:snapToGrid w:val="0"/>
        <w:spacing w:beforeLines="0" w:afterLines="0" w:line="44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——满足本文件7.22章节规定的电磁兼容相关要求：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34" w:name="_Toc132249132"/>
      <w:bookmarkStart w:id="235" w:name="_Toc96498654"/>
      <w:bookmarkStart w:id="236" w:name="_Toc136424630"/>
      <w:bookmarkStart w:id="237" w:name="_Toc136424684"/>
      <w:bookmarkStart w:id="238" w:name="_Toc95406304"/>
      <w:r>
        <w:rPr>
          <w:rFonts w:hint="eastAsia" w:ascii="宋体" w:hAnsi="宋体" w:eastAsia="宋体" w:cs="宋体"/>
          <w:sz w:val="21"/>
          <w:szCs w:val="21"/>
          <w:highlight w:val="none"/>
        </w:rPr>
        <w:t>4.20电缆管理及贮存要求</w:t>
      </w:r>
      <w:bookmarkEnd w:id="234"/>
      <w:bookmarkEnd w:id="235"/>
      <w:bookmarkEnd w:id="236"/>
      <w:bookmarkEnd w:id="237"/>
      <w:bookmarkEnd w:id="238"/>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电缆管理及贮存要求应符合NB/T 33001-2018中7.18的要求。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39" w:name="_Toc136424685"/>
      <w:bookmarkStart w:id="240" w:name="_Toc96498655"/>
      <w:bookmarkStart w:id="241" w:name="_Toc95406305"/>
      <w:bookmarkStart w:id="242" w:name="_Toc136424631"/>
      <w:bookmarkStart w:id="243" w:name="_Toc132249133"/>
      <w:r>
        <w:rPr>
          <w:rFonts w:hint="eastAsia" w:ascii="宋体" w:hAnsi="宋体" w:eastAsia="宋体" w:cs="宋体"/>
          <w:sz w:val="21"/>
          <w:szCs w:val="21"/>
          <w:highlight w:val="none"/>
        </w:rPr>
        <w:t>4.21高低温和湿热性能</w:t>
      </w:r>
      <w:bookmarkEnd w:id="239"/>
      <w:bookmarkEnd w:id="240"/>
      <w:bookmarkEnd w:id="241"/>
      <w:bookmarkEnd w:id="242"/>
      <w:bookmarkEnd w:id="243"/>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高低温和湿热性能应符合NB/T 33001-2018中7.19的要求。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44" w:name="_Toc96498656"/>
      <w:bookmarkStart w:id="245" w:name="_Toc132249134"/>
      <w:bookmarkStart w:id="246" w:name="_Toc95406306"/>
      <w:bookmarkStart w:id="247" w:name="_Toc136424686"/>
      <w:bookmarkStart w:id="248" w:name="_Toc136424632"/>
      <w:r>
        <w:rPr>
          <w:rFonts w:hint="eastAsia" w:ascii="宋体" w:hAnsi="宋体" w:eastAsia="宋体" w:cs="宋体"/>
          <w:sz w:val="21"/>
          <w:szCs w:val="21"/>
          <w:highlight w:val="none"/>
        </w:rPr>
        <w:t>4.22电磁兼容要求</w:t>
      </w:r>
      <w:bookmarkEnd w:id="244"/>
      <w:bookmarkEnd w:id="245"/>
      <w:bookmarkEnd w:id="246"/>
      <w:bookmarkEnd w:id="247"/>
      <w:bookmarkEnd w:id="248"/>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电磁兼容要求应符合NB/T 33001-2018中7.20的要求，还应符合以下要求：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4.22.1概述</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电磁兼容应符合NB/T 33001-2018的中7.20.1的要求。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4.22.2充电机试验配置</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试验装置应符合NB/T 33001-2018的中7.20.2的要求。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4.22.3充电机试验负载条件</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试验负载条件应符合NB/T 33001-2018的中7.20.3的要求。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4.22.4测试过程中的操作条件</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试验过程中的操作条件应符合NB/T 33001-2018的中7.20.4的要求。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4.44.5抗扰度要求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抗扰度要求应符合NB/T 33001-2018的中7.20.2的要求，其中静电放电抗扰度试验还应符合GB/T 17626.2中等级4的要求。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4.22.6射要求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4.22.6.1输入电压波动和闪烁</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输入电压波动和闪烁应符合NB/T 33001-2018的中7.20.6.1的要求。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4.22.6.2输入谐波电流要求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输入谐波电流应符合NB/T 33001-2018的中7.20.6.2的要求。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4.22.6.3射频骚扰的限值和试验条件</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充电机射频骚扰的限值和试验条件符合NB/T 33001-2018的中7.20.6.3的要求。在居住环境中使用的充电机，应符合GB 4824中B类供电设备的限值要求。</w:t>
      </w:r>
    </w:p>
    <w:p>
      <w:pPr>
        <w:adjustRightInd w:val="0"/>
        <w:snapToGrid w:val="0"/>
        <w:spacing w:beforeLines="0" w:afterLines="0" w:line="440" w:lineRule="exact"/>
        <w:ind w:firstLine="420" w:firstLineChars="200"/>
        <w:rPr>
          <w:rFonts w:hint="eastAsia" w:ascii="宋体" w:hAnsi="宋体" w:eastAsia="宋体" w:cs="宋体"/>
          <w:b/>
          <w:sz w:val="21"/>
          <w:szCs w:val="21"/>
          <w:highlight w:val="none"/>
        </w:rPr>
      </w:pPr>
      <w:bookmarkStart w:id="249" w:name="_Toc136424762"/>
      <w:bookmarkStart w:id="250" w:name="_Toc96498717"/>
      <w:bookmarkStart w:id="251" w:name="_Toc132249135"/>
      <w:bookmarkStart w:id="252" w:name="_Toc136424633"/>
      <w:bookmarkStart w:id="253" w:name="_Toc96498657"/>
      <w:bookmarkStart w:id="254" w:name="_Toc136424687"/>
      <w:bookmarkStart w:id="255" w:name="_Toc95406307"/>
      <w:r>
        <w:rPr>
          <w:rFonts w:hint="eastAsia" w:ascii="宋体" w:hAnsi="宋体" w:eastAsia="宋体" w:cs="宋体"/>
          <w:b/>
          <w:sz w:val="21"/>
          <w:szCs w:val="21"/>
          <w:highlight w:val="none"/>
        </w:rPr>
        <w:t>5、标志、包装、运输及贮存</w:t>
      </w:r>
      <w:bookmarkEnd w:id="249"/>
      <w:bookmarkEnd w:id="250"/>
      <w:bookmarkEnd w:id="251"/>
      <w:bookmarkEnd w:id="252"/>
      <w:bookmarkEnd w:id="253"/>
      <w:bookmarkEnd w:id="254"/>
      <w:bookmarkEnd w:id="255"/>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充电桩应符合NB/T 33001-2018中8的要求，标志还应符合以下要求</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256" w:name="_Toc333952967"/>
      <w:bookmarkEnd w:id="256"/>
      <w:bookmarkStart w:id="257" w:name="_Toc333952983"/>
      <w:bookmarkEnd w:id="257"/>
      <w:bookmarkStart w:id="258" w:name="_Toc333952879"/>
      <w:bookmarkEnd w:id="258"/>
      <w:bookmarkStart w:id="259" w:name="_Toc333952883"/>
      <w:bookmarkEnd w:id="259"/>
      <w:bookmarkStart w:id="260" w:name="_Toc333952897"/>
      <w:bookmarkEnd w:id="260"/>
      <w:bookmarkStart w:id="261" w:name="_Toc333952982"/>
      <w:bookmarkEnd w:id="261"/>
      <w:bookmarkStart w:id="262" w:name="_Toc333952874"/>
      <w:bookmarkEnd w:id="262"/>
      <w:bookmarkStart w:id="263" w:name="_Toc333952904"/>
      <w:bookmarkEnd w:id="263"/>
      <w:bookmarkStart w:id="264" w:name="_Toc333952976"/>
      <w:bookmarkEnd w:id="264"/>
      <w:bookmarkStart w:id="265" w:name="_Toc333952925"/>
      <w:bookmarkEnd w:id="265"/>
      <w:bookmarkStart w:id="266" w:name="_Toc333952847"/>
      <w:bookmarkEnd w:id="266"/>
      <w:bookmarkStart w:id="267" w:name="_Toc333952970"/>
      <w:bookmarkEnd w:id="267"/>
      <w:bookmarkStart w:id="268" w:name="_Toc333952838"/>
      <w:bookmarkEnd w:id="268"/>
      <w:bookmarkStart w:id="269" w:name="_Toc333952892"/>
      <w:bookmarkEnd w:id="269"/>
      <w:bookmarkStart w:id="270" w:name="_Toc333952900"/>
      <w:bookmarkEnd w:id="270"/>
      <w:bookmarkStart w:id="271" w:name="_Toc333952951"/>
      <w:bookmarkEnd w:id="271"/>
      <w:bookmarkStart w:id="272" w:name="_Toc333952981"/>
      <w:bookmarkEnd w:id="272"/>
      <w:bookmarkStart w:id="273" w:name="_Toc333952911"/>
      <w:bookmarkEnd w:id="273"/>
      <w:bookmarkStart w:id="274" w:name="_Toc333952997"/>
      <w:bookmarkEnd w:id="274"/>
      <w:bookmarkStart w:id="275" w:name="_Toc333952966"/>
      <w:bookmarkEnd w:id="275"/>
      <w:bookmarkStart w:id="276" w:name="_Toc333952845"/>
      <w:bookmarkEnd w:id="276"/>
      <w:bookmarkStart w:id="277" w:name="_Toc333952995"/>
      <w:bookmarkEnd w:id="277"/>
      <w:bookmarkStart w:id="278" w:name="_Toc333952972"/>
      <w:bookmarkEnd w:id="278"/>
      <w:bookmarkStart w:id="279" w:name="_Toc333952965"/>
      <w:bookmarkEnd w:id="279"/>
      <w:bookmarkStart w:id="280" w:name="_Toc333952836"/>
      <w:bookmarkEnd w:id="280"/>
      <w:bookmarkStart w:id="281" w:name="_Toc333952882"/>
      <w:bookmarkEnd w:id="281"/>
      <w:bookmarkStart w:id="282" w:name="_Toc333952993"/>
      <w:bookmarkEnd w:id="282"/>
      <w:bookmarkStart w:id="283" w:name="_Toc333952855"/>
      <w:bookmarkEnd w:id="283"/>
      <w:bookmarkStart w:id="284" w:name="_Toc333952948"/>
      <w:bookmarkEnd w:id="284"/>
      <w:bookmarkStart w:id="285" w:name="_Toc333952988"/>
      <w:bookmarkEnd w:id="285"/>
      <w:bookmarkStart w:id="286" w:name="_Toc333952931"/>
      <w:bookmarkEnd w:id="286"/>
      <w:bookmarkStart w:id="287" w:name="_Toc333952852"/>
      <w:bookmarkEnd w:id="287"/>
      <w:bookmarkStart w:id="288" w:name="_Toc333952937"/>
      <w:bookmarkEnd w:id="288"/>
      <w:bookmarkStart w:id="289" w:name="_Toc333952985"/>
      <w:bookmarkEnd w:id="289"/>
      <w:bookmarkStart w:id="290" w:name="_Toc333952978"/>
      <w:bookmarkEnd w:id="290"/>
      <w:bookmarkStart w:id="291" w:name="_Toc333952891"/>
      <w:bookmarkEnd w:id="291"/>
      <w:bookmarkStart w:id="292" w:name="_Toc333952946"/>
      <w:bookmarkEnd w:id="292"/>
      <w:bookmarkStart w:id="293" w:name="_Toc333952840"/>
      <w:bookmarkEnd w:id="293"/>
      <w:bookmarkStart w:id="294" w:name="_Toc333952901"/>
      <w:bookmarkEnd w:id="294"/>
      <w:bookmarkStart w:id="295" w:name="_Toc333952980"/>
      <w:bookmarkEnd w:id="295"/>
      <w:bookmarkStart w:id="296" w:name="_Toc333952839"/>
      <w:bookmarkEnd w:id="296"/>
      <w:bookmarkStart w:id="297" w:name="_Toc333952841"/>
      <w:bookmarkEnd w:id="297"/>
      <w:bookmarkStart w:id="298" w:name="_Toc333952842"/>
      <w:bookmarkEnd w:id="298"/>
      <w:bookmarkStart w:id="299" w:name="_Toc333953001"/>
      <w:bookmarkEnd w:id="299"/>
      <w:bookmarkStart w:id="300" w:name="_Toc333952992"/>
      <w:bookmarkEnd w:id="300"/>
      <w:bookmarkStart w:id="301" w:name="_Toc333952991"/>
      <w:bookmarkEnd w:id="301"/>
      <w:bookmarkStart w:id="302" w:name="_Toc333952927"/>
      <w:bookmarkEnd w:id="302"/>
      <w:bookmarkStart w:id="303" w:name="_Toc333952849"/>
      <w:bookmarkEnd w:id="303"/>
      <w:bookmarkStart w:id="304" w:name="_Toc333952854"/>
      <w:bookmarkEnd w:id="304"/>
      <w:bookmarkStart w:id="305" w:name="_Toc333952952"/>
      <w:bookmarkEnd w:id="305"/>
      <w:bookmarkStart w:id="306" w:name="_Toc333952895"/>
      <w:bookmarkEnd w:id="306"/>
      <w:bookmarkStart w:id="307" w:name="_Toc333952902"/>
      <w:bookmarkEnd w:id="307"/>
      <w:bookmarkStart w:id="308" w:name="_Toc333952889"/>
      <w:bookmarkEnd w:id="308"/>
      <w:bookmarkStart w:id="309" w:name="_Toc333952919"/>
      <w:bookmarkEnd w:id="309"/>
      <w:bookmarkStart w:id="310" w:name="_Toc333952903"/>
      <w:bookmarkEnd w:id="310"/>
      <w:bookmarkStart w:id="311" w:name="_Toc333952961"/>
      <w:bookmarkEnd w:id="311"/>
      <w:bookmarkStart w:id="312" w:name="_Toc333952947"/>
      <w:bookmarkEnd w:id="312"/>
      <w:bookmarkStart w:id="313" w:name="_Toc333952893"/>
      <w:bookmarkEnd w:id="313"/>
      <w:bookmarkStart w:id="314" w:name="_Toc333952953"/>
      <w:bookmarkEnd w:id="314"/>
      <w:bookmarkStart w:id="315" w:name="_Toc333952899"/>
      <w:bookmarkEnd w:id="315"/>
      <w:bookmarkStart w:id="316" w:name="_Toc333952907"/>
      <w:bookmarkEnd w:id="316"/>
      <w:bookmarkStart w:id="317" w:name="_Toc333952998"/>
      <w:bookmarkEnd w:id="317"/>
      <w:bookmarkStart w:id="318" w:name="_Toc333952878"/>
      <w:bookmarkEnd w:id="318"/>
      <w:bookmarkStart w:id="319" w:name="_Toc333952940"/>
      <w:bookmarkEnd w:id="319"/>
      <w:bookmarkStart w:id="320" w:name="_Toc333952962"/>
      <w:bookmarkEnd w:id="320"/>
      <w:bookmarkStart w:id="321" w:name="_Toc333952887"/>
      <w:bookmarkEnd w:id="321"/>
      <w:bookmarkStart w:id="322" w:name="_Toc333952957"/>
      <w:bookmarkEnd w:id="322"/>
      <w:bookmarkStart w:id="323" w:name="_Toc333952850"/>
      <w:bookmarkEnd w:id="323"/>
      <w:bookmarkStart w:id="324" w:name="_Toc333952877"/>
      <w:bookmarkEnd w:id="324"/>
      <w:bookmarkStart w:id="325" w:name="_Toc333952851"/>
      <w:bookmarkEnd w:id="325"/>
      <w:bookmarkStart w:id="326" w:name="_Toc333953000"/>
      <w:bookmarkEnd w:id="326"/>
      <w:bookmarkStart w:id="327" w:name="_Toc333952928"/>
      <w:bookmarkEnd w:id="327"/>
      <w:bookmarkStart w:id="328" w:name="_Toc333952990"/>
      <w:bookmarkEnd w:id="328"/>
      <w:bookmarkStart w:id="329" w:name="_Toc333952886"/>
      <w:bookmarkEnd w:id="329"/>
      <w:bookmarkStart w:id="330" w:name="_Toc333952888"/>
      <w:bookmarkEnd w:id="330"/>
      <w:bookmarkStart w:id="331" w:name="_Toc333952999"/>
      <w:bookmarkEnd w:id="331"/>
      <w:bookmarkStart w:id="332" w:name="_Toc333952910"/>
      <w:bookmarkEnd w:id="332"/>
      <w:bookmarkStart w:id="333" w:name="_Toc333952994"/>
      <w:bookmarkEnd w:id="333"/>
      <w:bookmarkStart w:id="334" w:name="_Toc333952894"/>
      <w:bookmarkEnd w:id="334"/>
      <w:bookmarkStart w:id="335" w:name="_Toc333952876"/>
      <w:bookmarkEnd w:id="335"/>
      <w:bookmarkStart w:id="336" w:name="_Toc333952971"/>
      <w:bookmarkEnd w:id="336"/>
      <w:bookmarkStart w:id="337" w:name="_Toc333952944"/>
      <w:bookmarkEnd w:id="337"/>
      <w:bookmarkStart w:id="338" w:name="_Toc333952975"/>
      <w:bookmarkEnd w:id="338"/>
      <w:bookmarkStart w:id="339" w:name="_Toc333952936"/>
      <w:bookmarkEnd w:id="339"/>
      <w:bookmarkStart w:id="340" w:name="_Toc333952956"/>
      <w:bookmarkEnd w:id="340"/>
      <w:bookmarkStart w:id="341" w:name="_Toc333952884"/>
      <w:bookmarkEnd w:id="341"/>
      <w:bookmarkStart w:id="342" w:name="_Toc333952875"/>
      <w:bookmarkEnd w:id="342"/>
      <w:bookmarkStart w:id="343" w:name="_Toc333952943"/>
      <w:bookmarkEnd w:id="343"/>
      <w:bookmarkStart w:id="344" w:name="_Toc333952950"/>
      <w:bookmarkEnd w:id="344"/>
      <w:bookmarkStart w:id="345" w:name="_Toc333952912"/>
      <w:bookmarkEnd w:id="345"/>
      <w:bookmarkStart w:id="346" w:name="_Toc333952915"/>
      <w:bookmarkEnd w:id="346"/>
      <w:bookmarkStart w:id="347" w:name="_Toc333952835"/>
      <w:bookmarkEnd w:id="347"/>
      <w:bookmarkStart w:id="348" w:name="_Toc333952959"/>
      <w:bookmarkEnd w:id="348"/>
      <w:bookmarkStart w:id="349" w:name="_Toc333952880"/>
      <w:bookmarkEnd w:id="349"/>
      <w:bookmarkStart w:id="350" w:name="_Toc333952890"/>
      <w:bookmarkEnd w:id="350"/>
      <w:bookmarkStart w:id="351" w:name="_Toc333952908"/>
      <w:bookmarkEnd w:id="351"/>
      <w:bookmarkStart w:id="352" w:name="_Toc333952885"/>
      <w:bookmarkEnd w:id="352"/>
      <w:bookmarkStart w:id="353" w:name="_Toc333952917"/>
      <w:bookmarkEnd w:id="353"/>
      <w:bookmarkStart w:id="354" w:name="_Toc333952924"/>
      <w:bookmarkEnd w:id="354"/>
      <w:bookmarkStart w:id="355" w:name="_Toc333952932"/>
      <w:bookmarkEnd w:id="355"/>
      <w:bookmarkStart w:id="356" w:name="_Toc333952929"/>
      <w:bookmarkEnd w:id="356"/>
      <w:bookmarkStart w:id="357" w:name="_Toc333952848"/>
      <w:bookmarkEnd w:id="357"/>
      <w:bookmarkStart w:id="358" w:name="_Toc333952922"/>
      <w:bookmarkEnd w:id="358"/>
      <w:bookmarkStart w:id="359" w:name="_Toc333952945"/>
      <w:bookmarkEnd w:id="359"/>
      <w:bookmarkStart w:id="360" w:name="_Toc333952920"/>
      <w:bookmarkEnd w:id="360"/>
      <w:bookmarkStart w:id="361" w:name="_Toc333952977"/>
      <w:bookmarkEnd w:id="361"/>
      <w:bookmarkStart w:id="362" w:name="_Toc333952969"/>
      <w:bookmarkEnd w:id="362"/>
      <w:bookmarkStart w:id="363" w:name="_Toc333952921"/>
      <w:bookmarkEnd w:id="363"/>
      <w:bookmarkStart w:id="364" w:name="_Toc333952898"/>
      <w:bookmarkEnd w:id="364"/>
      <w:bookmarkStart w:id="365" w:name="_Toc333952837"/>
      <w:bookmarkEnd w:id="365"/>
      <w:bookmarkStart w:id="366" w:name="_Toc333952914"/>
      <w:bookmarkEnd w:id="366"/>
      <w:bookmarkStart w:id="367" w:name="_Toc333952964"/>
      <w:bookmarkEnd w:id="367"/>
      <w:bookmarkStart w:id="368" w:name="_Toc333952930"/>
      <w:bookmarkEnd w:id="368"/>
      <w:bookmarkStart w:id="369" w:name="_Toc333952926"/>
      <w:bookmarkEnd w:id="369"/>
      <w:bookmarkStart w:id="370" w:name="_Toc333952960"/>
      <w:bookmarkEnd w:id="370"/>
      <w:bookmarkStart w:id="371" w:name="_Toc333952853"/>
      <w:bookmarkEnd w:id="371"/>
      <w:bookmarkStart w:id="372" w:name="_Toc333952955"/>
      <w:bookmarkEnd w:id="372"/>
      <w:bookmarkStart w:id="373" w:name="_Toc333952973"/>
      <w:bookmarkEnd w:id="373"/>
      <w:bookmarkStart w:id="374" w:name="_Toc333952846"/>
      <w:bookmarkEnd w:id="374"/>
      <w:bookmarkStart w:id="375" w:name="_Toc333952913"/>
      <w:bookmarkEnd w:id="375"/>
      <w:bookmarkStart w:id="376" w:name="_Toc333952987"/>
      <w:bookmarkEnd w:id="376"/>
      <w:bookmarkStart w:id="377" w:name="_Toc333952933"/>
      <w:bookmarkEnd w:id="377"/>
      <w:bookmarkStart w:id="378" w:name="_Toc333952916"/>
      <w:bookmarkEnd w:id="378"/>
      <w:bookmarkStart w:id="379" w:name="_Toc333952881"/>
      <w:bookmarkEnd w:id="379"/>
      <w:bookmarkStart w:id="380" w:name="_Toc333952974"/>
      <w:bookmarkEnd w:id="380"/>
      <w:bookmarkStart w:id="381" w:name="_Toc333952935"/>
      <w:bookmarkEnd w:id="381"/>
      <w:bookmarkStart w:id="382" w:name="_Toc333952979"/>
      <w:bookmarkEnd w:id="382"/>
      <w:bookmarkStart w:id="383" w:name="_Toc333952996"/>
      <w:bookmarkEnd w:id="383"/>
      <w:bookmarkStart w:id="384" w:name="_Toc333952844"/>
      <w:bookmarkEnd w:id="384"/>
      <w:bookmarkStart w:id="385" w:name="_Toc333952909"/>
      <w:bookmarkEnd w:id="385"/>
      <w:bookmarkStart w:id="386" w:name="_Toc333952938"/>
      <w:bookmarkEnd w:id="386"/>
      <w:bookmarkStart w:id="387" w:name="_Toc333952934"/>
      <w:bookmarkEnd w:id="387"/>
      <w:bookmarkStart w:id="388" w:name="_Toc333952906"/>
      <w:bookmarkEnd w:id="388"/>
      <w:bookmarkStart w:id="389" w:name="_Toc333952939"/>
      <w:bookmarkEnd w:id="389"/>
      <w:bookmarkStart w:id="390" w:name="_Toc333952954"/>
      <w:bookmarkEnd w:id="390"/>
      <w:bookmarkStart w:id="391" w:name="_Toc333952942"/>
      <w:bookmarkEnd w:id="391"/>
      <w:bookmarkStart w:id="392" w:name="_Toc333952905"/>
      <w:bookmarkEnd w:id="392"/>
      <w:bookmarkStart w:id="393" w:name="_Toc333952918"/>
      <w:bookmarkEnd w:id="393"/>
      <w:bookmarkStart w:id="394" w:name="_Toc333952984"/>
      <w:bookmarkEnd w:id="394"/>
      <w:bookmarkStart w:id="395" w:name="_Toc333952923"/>
      <w:bookmarkEnd w:id="395"/>
      <w:bookmarkStart w:id="396" w:name="_Toc333952949"/>
      <w:bookmarkEnd w:id="396"/>
      <w:bookmarkStart w:id="397" w:name="_Toc333952963"/>
      <w:bookmarkEnd w:id="397"/>
      <w:bookmarkStart w:id="398" w:name="_Toc333952989"/>
      <w:bookmarkEnd w:id="398"/>
      <w:bookmarkStart w:id="399" w:name="_Toc333952968"/>
      <w:bookmarkEnd w:id="399"/>
      <w:bookmarkStart w:id="400" w:name="_Toc333952941"/>
      <w:bookmarkEnd w:id="400"/>
      <w:bookmarkStart w:id="401" w:name="_Toc333952986"/>
      <w:bookmarkEnd w:id="401"/>
      <w:bookmarkStart w:id="402" w:name="_Toc333952843"/>
      <w:bookmarkEnd w:id="402"/>
      <w:bookmarkStart w:id="403" w:name="_Toc333952896"/>
      <w:bookmarkEnd w:id="403"/>
      <w:bookmarkStart w:id="404" w:name="_Toc333952958"/>
      <w:bookmarkEnd w:id="404"/>
      <w:r>
        <w:rPr>
          <w:rFonts w:hint="eastAsia" w:ascii="宋体" w:hAnsi="宋体" w:eastAsia="宋体" w:cs="宋体"/>
          <w:sz w:val="21"/>
          <w:szCs w:val="21"/>
          <w:highlight w:val="none"/>
        </w:rPr>
        <w:t>充电机应具有铭牌，并安装在明显位置，铭牌上还应标明以下内容：</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a)设备类型；</w:t>
      </w:r>
    </w:p>
    <w:p>
      <w:pPr>
        <w:adjustRightInd w:val="0"/>
        <w:snapToGrid w:val="0"/>
        <w:spacing w:beforeLines="0" w:afterLines="0" w:line="440" w:lineRule="exact"/>
        <w:ind w:firstLine="420" w:firstLineChars="200"/>
        <w:rPr>
          <w:rFonts w:hint="eastAsia" w:ascii="宋体" w:hAnsi="宋体" w:eastAsia="宋体" w:cs="宋体"/>
          <w:sz w:val="21"/>
          <w:szCs w:val="21"/>
          <w:highlight w:val="none"/>
        </w:rPr>
      </w:pPr>
      <w:bookmarkStart w:id="405" w:name="_Hlk132242445"/>
      <w:r>
        <w:rPr>
          <w:rFonts w:hint="eastAsia" w:ascii="宋体" w:hAnsi="宋体" w:eastAsia="宋体" w:cs="宋体"/>
          <w:sz w:val="21"/>
          <w:szCs w:val="21"/>
          <w:highlight w:val="none"/>
        </w:rPr>
        <w:t>b)计量信息（计量标准、准确度等级）（如有）</w:t>
      </w:r>
      <w:bookmarkEnd w:id="405"/>
    </w:p>
    <w:p>
      <w:pPr>
        <w:adjustRightInd w:val="0"/>
        <w:snapToGrid w:val="0"/>
        <w:spacing w:beforeLines="0" w:afterLines="0" w:line="440" w:lineRule="exact"/>
        <w:ind w:firstLine="420"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6、产品质保及设备维护</w:t>
      </w:r>
    </w:p>
    <w:p>
      <w:pPr>
        <w:adjustRightInd w:val="0"/>
        <w:snapToGrid w:val="0"/>
        <w:spacing w:beforeLines="0" w:afterLines="0" w:line="440" w:lineRule="exact"/>
        <w:ind w:firstLine="420" w:firstLineChars="200"/>
        <w:rPr>
          <w:rFonts w:hint="eastAsia" w:ascii="宋体" w:hAnsi="宋体" w:eastAsia="宋体" w:cs="宋体"/>
          <w:sz w:val="21"/>
          <w:szCs w:val="24"/>
          <w:highlight w:val="none"/>
        </w:rPr>
      </w:pPr>
      <w:r>
        <w:rPr>
          <w:rFonts w:hint="eastAsia" w:ascii="宋体" w:hAnsi="宋体" w:eastAsia="宋体" w:cs="宋体"/>
          <w:sz w:val="21"/>
          <w:szCs w:val="21"/>
          <w:highlight w:val="none"/>
        </w:rPr>
        <w:t>充电桩设备整机质保不低于五年，除人为损坏。设备厂家免费提供一年不少于两次的设备巡检保证设备使用功能正常，免费提供定期现场检查服务，包括但不仅限于设备风冷风扇清理，设备辅材（包括不仅限于防尘棉）更换，检查周期由运营商和厂家根据实际需求协商，检查频率不低于每季度一次。充电机的设计宜便于运维，且维护后不应降低其防护等级。散热系统的设计宜可拆卸替换或可冲洗清洁。</w:t>
      </w:r>
    </w:p>
    <w:p>
      <w:pPr>
        <w:pStyle w:val="3"/>
        <w:numPr>
          <w:ilvl w:val="0"/>
          <w:numId w:val="0"/>
        </w:numPr>
        <w:snapToGrid w:val="0"/>
        <w:spacing w:beforeLines="0" w:afterLines="0" w:line="440" w:lineRule="exact"/>
        <w:ind w:left="497" w:firstLine="0"/>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lang w:val="en-US" w:eastAsia="zh-CN"/>
        </w:rPr>
        <w:t>二、</w:t>
      </w:r>
      <w:r>
        <w:rPr>
          <w:rFonts w:hint="eastAsia" w:ascii="仿宋_GB2312" w:hAnsi="仿宋" w:eastAsia="仿宋_GB2312" w:cs="仿宋"/>
          <w:sz w:val="24"/>
          <w:szCs w:val="24"/>
          <w:highlight w:val="none"/>
        </w:rPr>
        <w:t>工程量清单</w:t>
      </w:r>
    </w:p>
    <w:tbl>
      <w:tblPr>
        <w:tblStyle w:val="20"/>
        <w:tblW w:w="94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2220"/>
        <w:gridCol w:w="2685"/>
        <w:gridCol w:w="781"/>
        <w:gridCol w:w="1003"/>
        <w:gridCol w:w="1003"/>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序号</w:t>
            </w:r>
          </w:p>
        </w:tc>
        <w:tc>
          <w:tcPr>
            <w:tcW w:w="22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项目名称</w:t>
            </w:r>
          </w:p>
        </w:tc>
        <w:tc>
          <w:tcPr>
            <w:tcW w:w="26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项目特征描述</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计量单位</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工程量</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 w:eastAsia="仿宋_GB2312" w:cs="仿宋"/>
                <w:sz w:val="24"/>
                <w:szCs w:val="24"/>
                <w:highlight w:val="none"/>
                <w:lang w:val="en-US" w:eastAsia="zh-CN"/>
              </w:rPr>
            </w:pPr>
            <w:r>
              <w:rPr>
                <w:rFonts w:hint="eastAsia" w:ascii="仿宋_GB2312" w:hAnsi="仿宋" w:eastAsia="仿宋_GB2312" w:cs="仿宋"/>
                <w:sz w:val="24"/>
                <w:szCs w:val="24"/>
                <w:highlight w:val="none"/>
                <w:lang w:val="en-US" w:eastAsia="zh-CN"/>
              </w:rPr>
              <w:t>单价（元）</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 w:eastAsia="仿宋_GB2312" w:cs="仿宋"/>
                <w:sz w:val="24"/>
                <w:szCs w:val="24"/>
                <w:highlight w:val="none"/>
                <w:lang w:val="en-US" w:eastAsia="zh-CN"/>
              </w:rPr>
            </w:pPr>
            <w:r>
              <w:rPr>
                <w:rFonts w:hint="eastAsia" w:ascii="仿宋_GB2312" w:hAnsi="仿宋" w:eastAsia="仿宋_GB2312" w:cs="仿宋"/>
                <w:sz w:val="24"/>
                <w:szCs w:val="24"/>
                <w:highlight w:val="none"/>
                <w:lang w:val="en-US" w:eastAsia="zh-CN"/>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1</w:t>
            </w:r>
          </w:p>
        </w:tc>
        <w:tc>
          <w:tcPr>
            <w:tcW w:w="22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充电设备</w:t>
            </w:r>
          </w:p>
        </w:tc>
        <w:tc>
          <w:tcPr>
            <w:tcW w:w="26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120KW直流快充桩，包含充电桩外观统一标识</w:t>
            </w:r>
            <w:r>
              <w:rPr>
                <w:rFonts w:hint="eastAsia" w:ascii="仿宋_GB2312" w:hAnsi="仿宋" w:eastAsia="仿宋_GB2312" w:cs="仿宋"/>
                <w:sz w:val="24"/>
                <w:szCs w:val="24"/>
                <w:highlight w:val="none"/>
                <w:lang w:val="en-US" w:eastAsia="zh-CN"/>
              </w:rPr>
              <w:t>及</w:t>
            </w:r>
            <w:r>
              <w:rPr>
                <w:rFonts w:hint="eastAsia" w:ascii="仿宋_GB2312" w:hAnsi="仿宋" w:eastAsia="仿宋_GB2312" w:cs="仿宋"/>
                <w:sz w:val="24"/>
                <w:szCs w:val="24"/>
                <w:highlight w:val="none"/>
              </w:rPr>
              <w:t>张贴费用等</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个</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12</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lang w:val="en-US" w:eastAsia="zh-CN"/>
              </w:rPr>
            </w:pPr>
            <w:r>
              <w:rPr>
                <w:rFonts w:hint="eastAsia" w:ascii="仿宋_GB2312" w:hAnsi="仿宋" w:eastAsia="仿宋_GB2312" w:cs="仿宋"/>
                <w:sz w:val="24"/>
                <w:szCs w:val="24"/>
                <w:highlight w:val="none"/>
                <w:lang w:val="en-US" w:eastAsia="zh-CN"/>
              </w:rPr>
              <w:t>2</w:t>
            </w:r>
          </w:p>
        </w:tc>
        <w:tc>
          <w:tcPr>
            <w:tcW w:w="22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lang w:val="en-US" w:eastAsia="zh-CN"/>
              </w:rPr>
            </w:pPr>
            <w:r>
              <w:rPr>
                <w:rFonts w:hint="eastAsia" w:ascii="仿宋_GB2312" w:hAnsi="仿宋" w:eastAsia="仿宋_GB2312" w:cs="仿宋"/>
                <w:sz w:val="24"/>
                <w:szCs w:val="24"/>
                <w:highlight w:val="none"/>
                <w:lang w:val="en-US" w:eastAsia="zh-CN"/>
              </w:rPr>
              <w:t>合计</w:t>
            </w:r>
          </w:p>
        </w:tc>
        <w:tc>
          <w:tcPr>
            <w:tcW w:w="647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仿宋_GB2312" w:hAnsi="仿宋" w:eastAsia="仿宋_GB2312" w:cs="仿宋"/>
                <w:sz w:val="24"/>
                <w:szCs w:val="24"/>
                <w:highlight w:val="none"/>
              </w:rPr>
            </w:pPr>
          </w:p>
        </w:tc>
      </w:tr>
    </w:tbl>
    <w:p>
      <w:pPr>
        <w:pStyle w:val="2"/>
        <w:numPr>
          <w:ilvl w:val="0"/>
          <w:numId w:val="0"/>
        </w:numPr>
        <w:spacing w:before="312" w:after="312"/>
        <w:ind w:leftChars="0"/>
        <w:jc w:val="cente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2"/>
        <w:numPr>
          <w:ilvl w:val="0"/>
          <w:numId w:val="0"/>
        </w:numPr>
        <w:spacing w:before="312" w:after="312"/>
        <w:ind w:leftChars="0"/>
        <w:jc w:val="center"/>
        <w:rPr>
          <w:rFonts w:hint="eastAsia" w:ascii="Times New Roman" w:hAnsi="Times New Roman" w:eastAsia="宋体" w:cs="Times New Roman"/>
          <w:highlight w:val="none"/>
          <w:lang w:val="en-US" w:eastAsia="zh-CN"/>
        </w:rPr>
      </w:pPr>
      <w:bookmarkStart w:id="406" w:name="_Toc29603"/>
    </w:p>
    <w:p>
      <w:pPr>
        <w:pStyle w:val="2"/>
        <w:numPr>
          <w:ilvl w:val="0"/>
          <w:numId w:val="0"/>
        </w:numPr>
        <w:spacing w:before="312" w:after="312"/>
        <w:ind w:leftChars="0"/>
        <w:jc w:val="center"/>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评审办法</w:t>
      </w:r>
      <w:bookmarkEnd w:id="406"/>
    </w:p>
    <w:p>
      <w:pPr>
        <w:rPr>
          <w:rFonts w:ascii="Times New Roman" w:hAnsi="Times New Roman" w:eastAsia="宋体" w:cs="Times New Roman"/>
          <w:highlight w:val="none"/>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综合评分法</w:t>
      </w:r>
      <w:r>
        <w:rPr>
          <w:rFonts w:hint="eastAsia" w:ascii="Times New Roman" w:hAnsi="Times New Roman" w:eastAsia="黑体" w:cs="Times New Roman"/>
          <w:color w:val="auto"/>
          <w:sz w:val="28"/>
          <w:szCs w:val="28"/>
          <w:highlight w:val="none"/>
          <w:lang w:eastAsia="zh-CN"/>
        </w:rPr>
        <w:t>）</w:t>
      </w:r>
    </w:p>
    <w:p>
      <w:pPr>
        <w:pStyle w:val="31"/>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407" w:name="_Toc3834"/>
      <w:bookmarkStart w:id="408" w:name="_Toc152042304"/>
      <w:bookmarkStart w:id="409" w:name="_Toc14847"/>
      <w:bookmarkStart w:id="410" w:name="_Toc447808662"/>
      <w:bookmarkStart w:id="411" w:name="_Toc144974496"/>
      <w:bookmarkStart w:id="412" w:name="_Toc457482536"/>
      <w:bookmarkStart w:id="413" w:name="_Toc152045528"/>
      <w:r>
        <w:rPr>
          <w:rFonts w:hint="eastAsia" w:ascii="宋体" w:hAnsi="宋体" w:eastAsia="宋体"/>
          <w:b/>
          <w:bCs/>
          <w:szCs w:val="28"/>
          <w:highlight w:val="none"/>
        </w:rPr>
        <w:t>前附表</w:t>
      </w:r>
      <w:bookmarkEnd w:id="407"/>
      <w:bookmarkEnd w:id="408"/>
      <w:bookmarkEnd w:id="409"/>
      <w:bookmarkEnd w:id="410"/>
      <w:bookmarkEnd w:id="411"/>
      <w:bookmarkEnd w:id="412"/>
      <w:bookmarkEnd w:id="413"/>
      <w:r>
        <w:rPr>
          <w:rFonts w:hint="eastAsia" w:ascii="宋体" w:hAnsi="宋体" w:eastAsia="宋体"/>
          <w:b/>
          <w:bCs/>
          <w:szCs w:val="28"/>
          <w:highlight w:val="none"/>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按综合得分由高到低的顺序推荐3名</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候选人，不足3名则全部推荐。综合评分得分相等时，</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委员会依次按照以下优先顺序推荐</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候选人：</w:t>
            </w:r>
          </w:p>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响应报价低的投标人</w:t>
            </w:r>
            <w:r>
              <w:rPr>
                <w:rFonts w:hint="eastAsia" w:ascii="宋体" w:hAnsi="宋体" w:eastAsia="宋体" w:cs="宋体"/>
                <w:sz w:val="21"/>
                <w:szCs w:val="21"/>
                <w:highlight w:val="none"/>
              </w:rPr>
              <w:t>优先；</w:t>
            </w:r>
          </w:p>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响应文件提供的合格业绩数量多的投标人优先</w:t>
            </w:r>
            <w:r>
              <w:rPr>
                <w:rFonts w:hint="eastAsia" w:ascii="宋体" w:hAnsi="宋体" w:eastAsia="宋体" w:cs="宋体"/>
                <w:sz w:val="21"/>
                <w:szCs w:val="21"/>
                <w:highlight w:val="none"/>
                <w:lang w:eastAsia="zh-CN"/>
              </w:rPr>
              <w:t>；</w:t>
            </w:r>
          </w:p>
          <w:p>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）递交响应文件时间早的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eastAsia="zh-CN"/>
              </w:rPr>
              <w:t>优先。</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1759" w:type="dxa"/>
            <w:vAlign w:val="center"/>
          </w:tcPr>
          <w:p>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59" w:type="dxa"/>
            <w:vAlign w:val="center"/>
          </w:tcPr>
          <w:p>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Merge w:val="restart"/>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形式评审标准</w:t>
            </w: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须知”第3.</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符合第六章响应文件格式的规定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未出现投标报价</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商务技术文件中未出现有关投标报价的内容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资格评审标准</w:t>
            </w: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资质条件、能力、信誉</w:t>
            </w:r>
          </w:p>
        </w:tc>
        <w:tc>
          <w:tcPr>
            <w:tcW w:w="5659" w:type="dxa"/>
            <w:tcMar>
              <w:left w:w="75" w:type="dxa"/>
            </w:tcMar>
            <w:vAlign w:val="center"/>
          </w:tcPr>
          <w:p>
            <w:pPr>
              <w:keepNext w:val="0"/>
              <w:keepLines w:val="0"/>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096" w:type="dxa"/>
            <w:vMerge w:val="restart"/>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响应性评审标准</w:t>
            </w: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内容</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交货期</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质量要求</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响应有效期</w:t>
            </w:r>
          </w:p>
        </w:tc>
        <w:tc>
          <w:tcPr>
            <w:tcW w:w="5659" w:type="dxa"/>
            <w:tcMar>
              <w:left w:w="75" w:type="dxa"/>
            </w:tcMar>
            <w:vAlign w:val="center"/>
          </w:tcPr>
          <w:p>
            <w:pPr>
              <w:keepNext w:val="0"/>
              <w:keepLines w:val="0"/>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响应保证金</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联合体</w:t>
            </w:r>
          </w:p>
        </w:tc>
        <w:tc>
          <w:tcPr>
            <w:tcW w:w="5659" w:type="dxa"/>
            <w:tcBorders>
              <w:top w:val="outset" w:color="auto" w:sz="6" w:space="0"/>
              <w:left w:val="single" w:color="auto" w:sz="4" w:space="0"/>
              <w:right w:val="outset" w:color="auto" w:sz="6" w:space="0"/>
            </w:tcBorders>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分包</w:t>
            </w:r>
          </w:p>
        </w:tc>
        <w:tc>
          <w:tcPr>
            <w:tcW w:w="5659" w:type="dxa"/>
            <w:tcBorders>
              <w:top w:val="outset" w:color="auto" w:sz="6" w:space="0"/>
              <w:left w:val="single" w:color="auto" w:sz="4" w:space="0"/>
              <w:right w:val="outset" w:color="auto" w:sz="6" w:space="0"/>
            </w:tcBorders>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报价</w:t>
            </w:r>
          </w:p>
        </w:tc>
        <w:tc>
          <w:tcPr>
            <w:tcW w:w="5659" w:type="dxa"/>
            <w:tcBorders>
              <w:top w:val="outset" w:color="auto" w:sz="6" w:space="0"/>
              <w:left w:val="single" w:color="auto" w:sz="4" w:space="0"/>
              <w:right w:val="outset" w:color="auto" w:sz="6" w:space="0"/>
            </w:tcBorders>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（1）报价未超过</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设定的最高限价。</w:t>
            </w:r>
          </w:p>
          <w:p>
            <w:pPr>
              <w:keepNext w:val="0"/>
              <w:keepLines w:val="0"/>
              <w:widowControl/>
              <w:suppressLineNumbers w:val="0"/>
              <w:adjustRightInd w:val="0"/>
              <w:snapToGrid w:val="0"/>
              <w:spacing w:before="0" w:beforeAutospacing="0" w:after="0" w:afterAutospacing="0" w:line="360" w:lineRule="atLeas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已标价的报价清单总报价和报价函的报价一致（四舍五入除外）。</w:t>
            </w:r>
          </w:p>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）报价的大写数值能确定具体数值，未出现数量级错误、报价金额单位错误。</w:t>
            </w:r>
          </w:p>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未递交两个以上不同的报价。</w:t>
            </w:r>
          </w:p>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填写了报价，且未修改报价清单说明、数量等实质性内容</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096" w:type="dxa"/>
            <w:vMerge w:val="continue"/>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p>
        </w:tc>
        <w:tc>
          <w:tcPr>
            <w:tcW w:w="17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其他实质性要求</w:t>
            </w:r>
          </w:p>
        </w:tc>
        <w:tc>
          <w:tcPr>
            <w:tcW w:w="5659" w:type="dxa"/>
            <w:tcMar>
              <w:left w:w="75" w:type="dxa"/>
            </w:tcMar>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询比文件</w:t>
            </w:r>
            <w:r>
              <w:rPr>
                <w:rFonts w:hint="eastAsia" w:ascii="宋体" w:hAnsi="宋体" w:eastAsia="宋体" w:cs="宋体"/>
                <w:color w:val="auto"/>
                <w:kern w:val="0"/>
                <w:sz w:val="21"/>
                <w:szCs w:val="21"/>
                <w:highlight w:val="none"/>
              </w:rPr>
              <w:t>的其他实质性要求和条件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4"/>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pPr>
        <w:widowControl/>
        <w:spacing w:line="360" w:lineRule="atLeast"/>
        <w:jc w:val="center"/>
        <w:rPr>
          <w:rFonts w:ascii="Times New Roman" w:hAnsi="Times New Roman" w:cs="Times New Roman"/>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31"/>
        <w:numPr>
          <w:ilvl w:val="0"/>
          <w:numId w:val="0"/>
        </w:numPr>
        <w:spacing w:before="0"/>
        <w:outlineLvl w:val="9"/>
        <w:rPr>
          <w:rFonts w:hint="eastAsia" w:ascii="宋体" w:hAnsi="宋体" w:eastAsia="宋体"/>
          <w:b/>
          <w:bCs/>
          <w:szCs w:val="28"/>
          <w:highlight w:val="none"/>
        </w:rPr>
      </w:pPr>
    </w:p>
    <w:p>
      <w:pPr>
        <w:pStyle w:val="31"/>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0"/>
        <w:tblpPr w:leftFromText="180" w:rightFromText="180" w:vertAnchor="text" w:horzAnchor="page" w:tblpX="1860" w:tblpY="200"/>
        <w:tblOverlap w:val="never"/>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25" w:type="dxa"/>
            <w:vAlign w:val="center"/>
          </w:tcPr>
          <w:p>
            <w:pPr>
              <w:pStyle w:val="7"/>
              <w:keepNext w:val="0"/>
              <w:keepLines w:val="0"/>
              <w:suppressLineNumbers w:val="0"/>
              <w:adjustRightInd w:val="0"/>
              <w:snapToGrid w:val="0"/>
              <w:spacing w:before="0" w:beforeAutospacing="0" w:afterAutospacing="0"/>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keepNext w:val="0"/>
              <w:keepLines w:val="0"/>
              <w:suppressLineNumbers w:val="0"/>
              <w:spacing w:before="0" w:beforeAutospacing="0" w:after="0" w:afterAutospacing="0"/>
              <w:ind w:left="0" w:right="0" w:firstLine="420" w:firstLineChars="2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395" w:type="dxa"/>
            <w:vAlign w:val="center"/>
          </w:tcPr>
          <w:p>
            <w:pPr>
              <w:keepNext w:val="0"/>
              <w:keepLines w:val="0"/>
              <w:suppressLineNumbers w:val="0"/>
              <w:adjustRightInd w:val="0"/>
              <w:spacing w:before="0" w:beforeAutospacing="0" w:after="0" w:afterAutospacing="0" w:line="276"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分值构成</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（总分100分）</w:t>
            </w:r>
          </w:p>
        </w:tc>
        <w:tc>
          <w:tcPr>
            <w:tcW w:w="6395" w:type="dxa"/>
            <w:vAlign w:val="center"/>
          </w:tcPr>
          <w:p>
            <w:pPr>
              <w:keepNext w:val="0"/>
              <w:keepLines w:val="0"/>
              <w:suppressLineNumbers w:val="0"/>
              <w:adjustRightInd w:val="0"/>
              <w:spacing w:before="0" w:beforeAutospacing="0" w:after="0" w:afterAutospacing="0" w:line="276" w:lineRule="auto"/>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商务技术文件评分分值构成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70 </w:t>
            </w:r>
            <w:r>
              <w:rPr>
                <w:rFonts w:hint="eastAsia" w:ascii="宋体" w:hAnsi="宋体" w:eastAsia="宋体" w:cs="宋体"/>
                <w:b/>
                <w:bCs/>
                <w:sz w:val="21"/>
                <w:szCs w:val="21"/>
                <w:highlight w:val="none"/>
              </w:rPr>
              <w:t>分</w:t>
            </w:r>
          </w:p>
          <w:p>
            <w:pPr>
              <w:pStyle w:val="7"/>
              <w:keepNext w:val="0"/>
              <w:keepLines w:val="0"/>
              <w:suppressLineNumbers w:val="0"/>
              <w:spacing w:before="0" w:beforeAutospacing="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企业业绩：</w:t>
            </w:r>
            <w:r>
              <w:rPr>
                <w:rFonts w:hint="eastAsia" w:ascii="宋体" w:hAnsi="宋体" w:eastAsia="宋体" w:cs="宋体"/>
                <w:sz w:val="21"/>
                <w:szCs w:val="21"/>
                <w:highlight w:val="none"/>
                <w:u w:val="single"/>
                <w:lang w:val="en-US" w:eastAsia="zh-CN"/>
              </w:rPr>
              <w:t xml:space="preserve">  8  </w:t>
            </w:r>
            <w:r>
              <w:rPr>
                <w:rFonts w:hint="eastAsia" w:ascii="宋体" w:hAnsi="宋体" w:eastAsia="宋体" w:cs="宋体"/>
                <w:sz w:val="21"/>
                <w:szCs w:val="21"/>
                <w:highlight w:val="none"/>
                <w:lang w:val="en-US" w:eastAsia="zh-CN"/>
              </w:rPr>
              <w:t>分</w:t>
            </w:r>
          </w:p>
          <w:p>
            <w:pPr>
              <w:pStyle w:val="7"/>
              <w:keepNext w:val="0"/>
              <w:keepLines w:val="0"/>
              <w:suppressLineNumbers w:val="0"/>
              <w:spacing w:before="0" w:beforeAutospacing="0" w:afterAutospacing="0"/>
              <w:ind w:left="0" w:right="0"/>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体系认证：</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p>
          <w:p>
            <w:pPr>
              <w:pStyle w:val="7"/>
              <w:keepNext w:val="0"/>
              <w:keepLines w:val="0"/>
              <w:pageBreakBefore w:val="0"/>
              <w:widowControl w:val="0"/>
              <w:suppressLineNumbers w:val="0"/>
              <w:kinsoku/>
              <w:wordWrap/>
              <w:overflowPunct/>
              <w:topLinePunct w:val="0"/>
              <w:autoSpaceDE/>
              <w:autoSpaceDN/>
              <w:bidi w:val="0"/>
              <w:snapToGrid/>
              <w:spacing w:before="0" w:beforeAutospacing="0" w:afterAutospacing="0" w:line="240" w:lineRule="auto"/>
              <w:ind w:left="0" w:right="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lang w:val="en-US" w:eastAsia="zh-CN"/>
              </w:rPr>
              <w:t>企业荣誉：</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p>
          <w:p>
            <w:pPr>
              <w:pStyle w:val="7"/>
              <w:keepNext w:val="0"/>
              <w:keepLines w:val="0"/>
              <w:pageBreakBefore w:val="0"/>
              <w:widowControl w:val="0"/>
              <w:suppressLineNumbers w:val="0"/>
              <w:kinsoku/>
              <w:wordWrap/>
              <w:overflowPunct/>
              <w:topLinePunct w:val="0"/>
              <w:autoSpaceDE/>
              <w:autoSpaceDN/>
              <w:bidi w:val="0"/>
              <w:snapToGrid/>
              <w:spacing w:before="0" w:beforeLines="0" w:beforeAutospacing="0" w:afterLines="0" w:afterAutospacing="0" w:line="240" w:lineRule="auto"/>
              <w:ind w:left="0" w:right="0"/>
              <w:textAlignment w:val="auto"/>
              <w:rPr>
                <w:rFonts w:hint="default" w:ascii="宋体" w:hAnsi="宋体" w:cs="宋体"/>
                <w:sz w:val="21"/>
                <w:szCs w:val="21"/>
                <w:highlight w:val="none"/>
                <w:u w:val="single"/>
              </w:rPr>
            </w:pPr>
            <w:r>
              <w:rPr>
                <w:rFonts w:hint="eastAsia" w:ascii="宋体" w:hAnsi="宋体" w:cs="宋体"/>
                <w:sz w:val="21"/>
                <w:szCs w:val="21"/>
                <w:highlight w:val="none"/>
                <w:lang w:val="en-US" w:eastAsia="zh-CN"/>
              </w:rPr>
              <w:t>企业研发实力</w:t>
            </w:r>
            <w:r>
              <w:rPr>
                <w:rFonts w:hint="default" w:ascii="宋体" w:hAnsi="宋体" w:cs="宋体"/>
                <w:sz w:val="21"/>
                <w:szCs w:val="21"/>
                <w:highlight w:val="none"/>
                <w:u w:val="none"/>
              </w:rPr>
              <w:t>：</w:t>
            </w:r>
            <w:r>
              <w:rPr>
                <w:rFonts w:hint="eastAsia" w:ascii="宋体" w:hAnsi="宋体" w:cs="宋体"/>
                <w:sz w:val="21"/>
                <w:szCs w:val="21"/>
                <w:highlight w:val="none"/>
                <w:u w:val="single"/>
                <w:lang w:val="en-US" w:eastAsia="zh-CN"/>
              </w:rPr>
              <w:t xml:space="preserve">  3</w:t>
            </w:r>
            <w:r>
              <w:rPr>
                <w:rFonts w:hint="default" w:ascii="宋体" w:hAnsi="宋体" w:cs="宋体"/>
                <w:sz w:val="21"/>
                <w:szCs w:val="21"/>
                <w:highlight w:val="none"/>
                <w:u w:val="single"/>
              </w:rPr>
              <w:t xml:space="preserve">  </w:t>
            </w:r>
            <w:r>
              <w:rPr>
                <w:rFonts w:hint="default" w:ascii="宋体" w:hAnsi="宋体" w:cs="宋体"/>
                <w:sz w:val="21"/>
                <w:szCs w:val="21"/>
                <w:highlight w:val="none"/>
              </w:rPr>
              <w:t>分</w:t>
            </w:r>
          </w:p>
          <w:p>
            <w:pPr>
              <w:pStyle w:val="7"/>
              <w:keepNext w:val="0"/>
              <w:keepLines w:val="0"/>
              <w:pageBreakBefore w:val="0"/>
              <w:widowControl w:val="0"/>
              <w:suppressLineNumbers w:val="0"/>
              <w:kinsoku/>
              <w:wordWrap/>
              <w:overflowPunct/>
              <w:topLinePunct w:val="0"/>
              <w:autoSpaceDE/>
              <w:autoSpaceDN/>
              <w:bidi w:val="0"/>
              <w:snapToGrid/>
              <w:spacing w:before="0" w:beforeAutospacing="0" w:afterAutospacing="0" w:line="240" w:lineRule="auto"/>
              <w:ind w:left="0" w:right="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产品责任险：</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p>
          <w:p>
            <w:pPr>
              <w:pStyle w:val="7"/>
              <w:keepNext w:val="0"/>
              <w:keepLines w:val="0"/>
              <w:pageBreakBefore w:val="0"/>
              <w:widowControl w:val="0"/>
              <w:suppressLineNumbers w:val="0"/>
              <w:kinsoku/>
              <w:wordWrap/>
              <w:overflowPunct/>
              <w:topLinePunct w:val="0"/>
              <w:autoSpaceDE/>
              <w:autoSpaceDN/>
              <w:bidi w:val="0"/>
              <w:snapToGrid/>
              <w:spacing w:before="0" w:beforeAutospacing="0" w:afterAutospacing="0" w:line="240" w:lineRule="auto"/>
              <w:ind w:left="0" w:right="0"/>
              <w:textAlignment w:val="auto"/>
              <w:rPr>
                <w:rFonts w:hint="eastAsia" w:ascii="宋体" w:hAnsi="宋体" w:eastAsia="宋体" w:cs="宋体"/>
                <w:sz w:val="21"/>
                <w:szCs w:val="21"/>
                <w:highlight w:val="none"/>
                <w:u w:val="none"/>
                <w:lang w:val="en-US" w:eastAsia="zh-CN"/>
              </w:rPr>
            </w:pPr>
            <w:r>
              <w:rPr>
                <w:rFonts w:hint="default" w:ascii="宋体" w:hAnsi="宋体" w:cs="宋体"/>
                <w:szCs w:val="24"/>
                <w:highlight w:val="none"/>
              </w:rPr>
              <w:t>产品参数</w:t>
            </w:r>
            <w:r>
              <w:rPr>
                <w:rFonts w:hint="eastAsia" w:ascii="宋体" w:hAnsi="宋体" w:cs="宋体"/>
                <w:szCs w:val="24"/>
                <w:highlight w:val="none"/>
                <w:lang w:eastAsia="zh-CN"/>
              </w:rPr>
              <w:t>：</w:t>
            </w:r>
            <w:r>
              <w:rPr>
                <w:rFonts w:hint="eastAsia" w:ascii="宋体" w:hAnsi="宋体" w:cs="宋体"/>
                <w:szCs w:val="24"/>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u w:val="none"/>
                <w:lang w:val="en-US" w:eastAsia="zh-CN"/>
              </w:rPr>
              <w:t>分</w:t>
            </w:r>
          </w:p>
          <w:p>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right="0"/>
              <w:jc w:val="both"/>
              <w:textAlignment w:val="auto"/>
              <w:rPr>
                <w:rFonts w:hint="default"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lang w:val="en-US" w:eastAsia="zh-CN" w:bidi="ar-SA"/>
              </w:rPr>
              <w:t>售后及维护：</w:t>
            </w:r>
            <w:r>
              <w:rPr>
                <w:rFonts w:hint="eastAsia" w:ascii="宋体" w:hAnsi="宋体" w:eastAsia="宋体" w:cs="宋体"/>
                <w:kern w:val="2"/>
                <w:sz w:val="21"/>
                <w:szCs w:val="21"/>
                <w:highlight w:val="none"/>
                <w:u w:val="single"/>
                <w:lang w:val="en-US" w:eastAsia="zh-CN" w:bidi="ar-SA"/>
              </w:rPr>
              <w:t xml:space="preserve">  6  </w:t>
            </w:r>
            <w:r>
              <w:rPr>
                <w:rFonts w:hint="eastAsia" w:ascii="宋体" w:hAnsi="宋体" w:eastAsia="宋体" w:cs="宋体"/>
                <w:kern w:val="2"/>
                <w:sz w:val="21"/>
                <w:szCs w:val="21"/>
                <w:highlight w:val="none"/>
                <w:u w:val="none"/>
                <w:lang w:val="en-US" w:eastAsia="zh-CN" w:bidi="ar-SA"/>
              </w:rPr>
              <w:t>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供货方案：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16</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keepNext w:val="0"/>
              <w:keepLines w:val="0"/>
              <w:suppressLineNumbers w:val="0"/>
              <w:adjustRightInd w:val="0"/>
              <w:spacing w:before="0" w:beforeAutospacing="0" w:after="0" w:afterAutospacing="0" w:line="276" w:lineRule="auto"/>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报价文件评分分值构成：</w:t>
            </w:r>
            <w:r>
              <w:rPr>
                <w:rFonts w:hint="eastAsia" w:ascii="宋体" w:hAnsi="宋体" w:eastAsia="宋体" w:cs="宋体"/>
                <w:b/>
                <w:bCs/>
                <w:sz w:val="21"/>
                <w:szCs w:val="21"/>
                <w:highlight w:val="none"/>
                <w:u w:val="single"/>
                <w:lang w:val="en-US" w:eastAsia="zh-CN"/>
              </w:rPr>
              <w:t xml:space="preserve">  30  </w:t>
            </w:r>
            <w:r>
              <w:rPr>
                <w:rFonts w:hint="eastAsia" w:ascii="宋体" w:hAnsi="宋体" w:eastAsia="宋体" w:cs="宋体"/>
                <w:b/>
                <w:bCs/>
                <w:sz w:val="21"/>
                <w:szCs w:val="21"/>
                <w:highlight w:val="none"/>
              </w:rPr>
              <w:t>分</w:t>
            </w:r>
          </w:p>
          <w:p>
            <w:pPr>
              <w:keepNext w:val="0"/>
              <w:keepLines w:val="0"/>
              <w:suppressLineNumbers w:val="0"/>
              <w:adjustRightInd w:val="0"/>
              <w:spacing w:before="0" w:beforeAutospacing="0" w:after="0" w:afterAutospacing="0" w:line="276"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评标价：</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25" w:type="dxa"/>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8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评标基准价计算方法</w:t>
            </w:r>
          </w:p>
        </w:tc>
        <w:tc>
          <w:tcPr>
            <w:tcW w:w="6395" w:type="dxa"/>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 xml:space="preserve">）评标价的确定： </w:t>
            </w:r>
          </w:p>
          <w:p>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 xml:space="preserve">评标价＝投标函文字报价 </w:t>
            </w:r>
          </w:p>
          <w:p>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 xml:space="preserve">）评标价平均值 </w:t>
            </w:r>
            <w:r>
              <w:rPr>
                <w:rFonts w:hint="default" w:ascii="Times New Roman" w:hAnsi="Times New Roman" w:eastAsia="宋体" w:cs="Times New Roman"/>
                <w:color w:val="000000"/>
                <w:kern w:val="0"/>
                <w:sz w:val="21"/>
                <w:szCs w:val="21"/>
                <w:highlight w:val="none"/>
                <w:lang w:val="en-US" w:eastAsia="zh-CN" w:bidi="ar"/>
              </w:rPr>
              <w:t xml:space="preserve">Bi </w:t>
            </w:r>
            <w:r>
              <w:rPr>
                <w:rFonts w:hint="eastAsia" w:ascii="宋体" w:hAnsi="宋体" w:eastAsia="宋体" w:cs="宋体"/>
                <w:color w:val="000000"/>
                <w:kern w:val="0"/>
                <w:sz w:val="21"/>
                <w:szCs w:val="21"/>
                <w:highlight w:val="none"/>
                <w:lang w:val="en-US" w:eastAsia="zh-CN" w:bidi="ar"/>
              </w:rPr>
              <w:t xml:space="preserve">的计算： </w:t>
            </w:r>
          </w:p>
          <w:p>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除按第二章“供应商须知”项和</w:t>
            </w:r>
            <w:r>
              <w:rPr>
                <w:rFonts w:hint="default" w:ascii="宋体" w:hAnsi="宋体" w:eastAsia="宋体" w:cs="宋体"/>
                <w:color w:val="000000"/>
                <w:kern w:val="0"/>
                <w:sz w:val="21"/>
                <w:szCs w:val="21"/>
                <w:highlight w:val="none"/>
                <w:lang w:val="en-US" w:eastAsia="zh-CN" w:bidi="ar"/>
              </w:rPr>
              <w:t>评审办法前附表</w:t>
            </w:r>
            <w:r>
              <w:rPr>
                <w:rFonts w:hint="eastAsia" w:ascii="宋体" w:hAnsi="宋体" w:eastAsia="宋体" w:cs="宋体"/>
                <w:color w:val="000000"/>
                <w:kern w:val="0"/>
                <w:sz w:val="21"/>
                <w:szCs w:val="21"/>
                <w:highlight w:val="none"/>
                <w:lang w:val="en-US" w:eastAsia="zh-CN" w:bidi="ar"/>
              </w:rPr>
              <w:t>规定开标现场被宣布为不进入评标基准价计算的投标报价之外，取投标人第一个信封（商务及技术文件）评审得分前</w:t>
            </w:r>
            <w:r>
              <w:rPr>
                <w:rFonts w:hint="default" w:ascii="Times New Roman" w:hAnsi="Times New Roman" w:eastAsia="宋体" w:cs="Times New Roman"/>
                <w:color w:val="000000"/>
                <w:kern w:val="0"/>
                <w:sz w:val="21"/>
                <w:szCs w:val="21"/>
                <w:highlight w:val="none"/>
                <w:lang w:val="en-US" w:eastAsia="zh-CN" w:bidi="ar"/>
              </w:rPr>
              <w:t>N</w:t>
            </w:r>
            <w:r>
              <w:rPr>
                <w:rFonts w:hint="eastAsia" w:ascii="宋体" w:hAnsi="宋体" w:eastAsia="宋体" w:cs="宋体"/>
                <w:color w:val="000000"/>
                <w:kern w:val="0"/>
                <w:sz w:val="21"/>
                <w:szCs w:val="21"/>
                <w:highlight w:val="none"/>
                <w:lang w:val="en-US" w:eastAsia="zh-CN" w:bidi="ar"/>
              </w:rPr>
              <w:t xml:space="preserve">名的评标价分别去除最高值（由高到低）和最低值（由低到高），剩余投标人评标价的算术平均值为评标价平均值 </w:t>
            </w:r>
            <w:r>
              <w:rPr>
                <w:rFonts w:hint="default" w:ascii="Times New Roman" w:hAnsi="Times New Roman" w:eastAsia="宋体" w:cs="Times New Roman"/>
                <w:color w:val="000000"/>
                <w:kern w:val="0"/>
                <w:sz w:val="21"/>
                <w:szCs w:val="21"/>
                <w:highlight w:val="none"/>
                <w:lang w:val="en-US" w:eastAsia="zh-CN" w:bidi="ar"/>
              </w:rPr>
              <w:t>Bi</w:t>
            </w:r>
            <w:r>
              <w:rPr>
                <w:rFonts w:hint="eastAsia" w:ascii="宋体" w:hAnsi="宋体" w:eastAsia="宋体" w:cs="宋体"/>
                <w:color w:val="000000"/>
                <w:kern w:val="0"/>
                <w:sz w:val="21"/>
                <w:szCs w:val="21"/>
                <w:highlight w:val="none"/>
                <w:lang w:val="en-US" w:eastAsia="zh-CN" w:bidi="ar"/>
              </w:rPr>
              <w:t xml:space="preserve">（如果 </w:t>
            </w:r>
            <w:r>
              <w:rPr>
                <w:rFonts w:hint="default" w:ascii="Times New Roman" w:hAnsi="Times New Roman" w:eastAsia="宋体" w:cs="Times New Roman"/>
                <w:color w:val="000000"/>
                <w:kern w:val="0"/>
                <w:sz w:val="21"/>
                <w:szCs w:val="21"/>
                <w:highlight w:val="none"/>
                <w:lang w:val="en-US" w:eastAsia="zh-CN" w:bidi="ar"/>
              </w:rPr>
              <w:t>N</w:t>
            </w:r>
            <w:r>
              <w:rPr>
                <w:rFonts w:hint="eastAsia" w:ascii="宋体" w:hAnsi="宋体" w:eastAsia="宋体" w:cs="宋体"/>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 xml:space="preserve">5 </w:t>
            </w:r>
            <w:r>
              <w:rPr>
                <w:rFonts w:hint="eastAsia" w:ascii="宋体" w:hAnsi="宋体" w:eastAsia="宋体" w:cs="宋体"/>
                <w:color w:val="000000"/>
                <w:kern w:val="0"/>
                <w:sz w:val="21"/>
                <w:szCs w:val="21"/>
                <w:highlight w:val="none"/>
                <w:lang w:val="en-US" w:eastAsia="zh-CN" w:bidi="ar"/>
              </w:rPr>
              <w:t>时，则计算评标价平均值时不去掉最高值和最低值）。</w:t>
            </w:r>
            <w:r>
              <w:rPr>
                <w:rFonts w:hint="default" w:ascii="Times New Roman" w:hAnsi="Times New Roman" w:eastAsia="宋体" w:cs="Times New Roman"/>
                <w:color w:val="000000"/>
                <w:kern w:val="0"/>
                <w:sz w:val="21"/>
                <w:szCs w:val="21"/>
                <w:highlight w:val="none"/>
                <w:lang w:val="en-US" w:eastAsia="zh-CN" w:bidi="ar"/>
              </w:rPr>
              <w:t xml:space="preserve">N </w:t>
            </w:r>
            <w:r>
              <w:rPr>
                <w:rFonts w:hint="eastAsia" w:ascii="宋体" w:hAnsi="宋体" w:eastAsia="宋体" w:cs="宋体"/>
                <w:color w:val="000000"/>
                <w:kern w:val="0"/>
                <w:sz w:val="21"/>
                <w:szCs w:val="21"/>
                <w:highlight w:val="none"/>
                <w:lang w:val="en-US" w:eastAsia="zh-CN" w:bidi="ar"/>
              </w:rPr>
              <w:t xml:space="preserve">值取值范围详见下表：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lang w:val="en-US" w:eastAsia="zh-CN" w:bidi="ar"/>
              </w:rPr>
            </w:pPr>
            <w:r>
              <w:rPr>
                <w:rFonts w:hint="eastAsia"/>
                <w:highlight w:val="none"/>
                <w:lang w:val="en-US" w:eastAsia="zh-CN"/>
              </w:rPr>
              <w:t xml:space="preserve">     </w:t>
            </w:r>
            <w:r>
              <w:rPr>
                <w:rFonts w:hint="default"/>
                <w:highlight w:val="none"/>
              </w:rPr>
              <w:drawing>
                <wp:inline distT="0" distB="0" distL="114300" distR="114300">
                  <wp:extent cx="3771900" cy="1743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771900" cy="1743075"/>
                          </a:xfrm>
                          <a:prstGeom prst="rect">
                            <a:avLst/>
                          </a:prstGeom>
                          <a:noFill/>
                          <a:ln>
                            <a:noFill/>
                          </a:ln>
                        </pic:spPr>
                      </pic:pic>
                    </a:graphicData>
                  </a:graphic>
                </wp:inline>
              </w:drawing>
            </w:r>
          </w:p>
          <w:p>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说明：</w:t>
            </w:r>
            <w:r>
              <w:rPr>
                <w:rFonts w:hint="default" w:ascii="Times New Roman" w:hAnsi="Times New Roman" w:eastAsia="宋体" w:cs="Times New Roman"/>
                <w:color w:val="000000"/>
                <w:kern w:val="0"/>
                <w:sz w:val="21"/>
                <w:szCs w:val="21"/>
                <w:highlight w:val="none"/>
                <w:lang w:val="en-US" w:eastAsia="zh-CN" w:bidi="ar"/>
              </w:rPr>
              <w:t xml:space="preserve">N </w:t>
            </w:r>
            <w:r>
              <w:rPr>
                <w:rFonts w:hint="eastAsia" w:ascii="宋体" w:hAnsi="宋体" w:eastAsia="宋体" w:cs="宋体"/>
                <w:color w:val="000000"/>
                <w:kern w:val="0"/>
                <w:sz w:val="21"/>
                <w:szCs w:val="21"/>
                <w:highlight w:val="none"/>
                <w:lang w:val="en-US" w:eastAsia="zh-CN" w:bidi="ar"/>
              </w:rPr>
              <w:t xml:space="preserve">去小数位取整数，不四舍五入。如出现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p>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 xml:space="preserve">）评标基准价的确定：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评标价的算术平均值 </w:t>
            </w:r>
            <w:r>
              <w:rPr>
                <w:rFonts w:hint="default" w:ascii="宋体" w:hAnsi="宋体" w:eastAsia="宋体" w:cs="宋体"/>
                <w:color w:val="000000"/>
                <w:kern w:val="0"/>
                <w:sz w:val="21"/>
                <w:szCs w:val="21"/>
                <w:highlight w:val="none"/>
                <w:lang w:val="en-US" w:eastAsia="zh-CN" w:bidi="ar"/>
              </w:rPr>
              <w:t xml:space="preserve">Bi </w:t>
            </w:r>
            <w:r>
              <w:rPr>
                <w:rFonts w:hint="eastAsia" w:ascii="宋体" w:hAnsi="宋体" w:eastAsia="宋体" w:cs="宋体"/>
                <w:color w:val="000000"/>
                <w:kern w:val="0"/>
                <w:sz w:val="21"/>
                <w:szCs w:val="21"/>
                <w:highlight w:val="none"/>
                <w:lang w:val="en-US" w:eastAsia="zh-CN" w:bidi="ar"/>
              </w:rPr>
              <w:t>值即为评标基准价。</w:t>
            </w:r>
          </w:p>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在评标过程中，评标委员会应对招标人计算的评标基准价进行复核，存在计算错误的应予以修正并在评标报告中作出说明。除此之外，评标基准价在整个评标期间保持不变，不随任何因素发生变化。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25" w:type="dxa"/>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2.2.3</w:t>
            </w:r>
          </w:p>
        </w:tc>
        <w:tc>
          <w:tcPr>
            <w:tcW w:w="18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评标价的偏差率计算公式</w:t>
            </w:r>
          </w:p>
        </w:tc>
        <w:tc>
          <w:tcPr>
            <w:tcW w:w="6395" w:type="dxa"/>
            <w:vAlign w:val="center"/>
          </w:tcPr>
          <w:p>
            <w:pPr>
              <w:keepNext w:val="0"/>
              <w:keepLines w:val="0"/>
              <w:suppressLineNumbers w:val="0"/>
              <w:spacing w:before="0" w:beforeAutospacing="0" w:after="0" w:afterAutospacing="0" w:line="288"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偏差率=100% ×（投标人报价－评标基准价）/评标基准价</w:t>
            </w:r>
          </w:p>
          <w:p>
            <w:pPr>
              <w:keepNext w:val="0"/>
              <w:keepLines w:val="0"/>
              <w:suppressLineNumbers w:val="0"/>
              <w:adjustRightInd w:val="0"/>
              <w:spacing w:before="0" w:beforeAutospacing="0" w:after="0" w:afterAutospacing="0" w:line="276" w:lineRule="auto"/>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（%保留2位小数）</w:t>
            </w:r>
          </w:p>
        </w:tc>
      </w:tr>
    </w:tbl>
    <w:tbl>
      <w:tblPr>
        <w:tblStyle w:val="20"/>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09"/>
        <w:gridCol w:w="938"/>
        <w:gridCol w:w="1696"/>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1007" w:type="pct"/>
            <w:gridSpan w:val="2"/>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条款号</w:t>
            </w:r>
          </w:p>
        </w:tc>
        <w:tc>
          <w:tcPr>
            <w:tcW w:w="924" w:type="pc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tc>
        <w:tc>
          <w:tcPr>
            <w:tcW w:w="3068" w:type="pc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restart"/>
            <w:vAlign w:val="center"/>
          </w:tcPr>
          <w:p>
            <w:pPr>
              <w:pStyle w:val="7"/>
              <w:keepNext w:val="0"/>
              <w:keepLines w:val="0"/>
              <w:suppressLineNumbers w:val="0"/>
              <w:adjustRightInd w:val="0"/>
              <w:snapToGrid w:val="0"/>
              <w:spacing w:before="0" w:beforeAutospacing="0" w:afterAutospacing="0"/>
              <w:ind w:left="210" w:right="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924" w:type="pc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8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68" w:type="pct"/>
            <w:vAlign w:val="center"/>
          </w:tcPr>
          <w:p>
            <w:pPr>
              <w:pStyle w:val="7"/>
              <w:keepNext w:val="0"/>
              <w:keepLines w:val="0"/>
              <w:suppressLineNumbers w:val="0"/>
              <w:adjustRightInd w:val="0"/>
              <w:snapToGrid w:val="0"/>
              <w:spacing w:before="0" w:beforeAutospacing="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4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每提供一个100万元以上的充电桩供应业绩加</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lang w:val="en-US" w:eastAsia="zh-CN"/>
              </w:rPr>
              <w:t xml:space="preserve"> 8</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210" w:right="0" w:hanging="210" w:hangingChars="100"/>
              <w:rPr>
                <w:rFonts w:hint="eastAsia" w:ascii="宋体" w:hAnsi="宋体" w:eastAsia="宋体" w:cs="宋体"/>
                <w:sz w:val="21"/>
                <w:szCs w:val="21"/>
                <w:highlight w:val="none"/>
                <w:lang w:val="en-US" w:eastAsia="zh-CN"/>
              </w:rPr>
            </w:pPr>
          </w:p>
        </w:tc>
        <w:tc>
          <w:tcPr>
            <w:tcW w:w="924" w:type="pct"/>
            <w:vAlign w:val="center"/>
          </w:tcPr>
          <w:p>
            <w:pPr>
              <w:keepNext w:val="0"/>
              <w:keepLines w:val="0"/>
              <w:suppressLineNumbers w:val="0"/>
              <w:spacing w:before="0" w:beforeAutospacing="0" w:after="0" w:afterAutospacing="0"/>
              <w:ind w:left="0" w:right="0" w:firstLine="440" w:firstLineChars="200"/>
              <w:jc w:val="center"/>
              <w:rPr>
                <w:rFonts w:hint="default" w:ascii="宋体" w:hAnsi="宋体" w:cs="宋体"/>
                <w:bCs/>
                <w:snapToGrid w:val="0"/>
                <w:color w:val="auto"/>
                <w:sz w:val="22"/>
                <w:highlight w:val="none"/>
              </w:rPr>
            </w:pPr>
            <w:r>
              <w:rPr>
                <w:rFonts w:hint="default" w:ascii="宋体" w:hAnsi="宋体" w:cs="宋体"/>
                <w:bCs/>
                <w:snapToGrid w:val="0"/>
                <w:color w:val="auto"/>
                <w:sz w:val="22"/>
                <w:highlight w:val="none"/>
              </w:rPr>
              <w:t>体系认证</w:t>
            </w:r>
          </w:p>
          <w:p>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68" w:type="pct"/>
            <w:vAlign w:val="center"/>
          </w:tcPr>
          <w:p>
            <w:pPr>
              <w:keepNext w:val="0"/>
              <w:keepLines w:val="0"/>
              <w:suppressLineNumbers w:val="0"/>
              <w:spacing w:before="0" w:beforeAutospacing="0" w:after="0" w:afterAutospacing="0"/>
              <w:ind w:left="0" w:right="0"/>
              <w:rPr>
                <w:rFonts w:hint="eastAsia" w:eastAsiaTheme="minorEastAsia"/>
                <w:highlight w:val="none"/>
                <w:lang w:val="en-US" w:eastAsia="zh-CN"/>
              </w:rPr>
            </w:pPr>
            <w:r>
              <w:rPr>
                <w:rFonts w:hint="default" w:ascii="宋体" w:hAnsi="宋体"/>
                <w:szCs w:val="21"/>
                <w:highlight w:val="none"/>
              </w:rPr>
              <w:t>投标人具有有效期内的 ISO9001:2015 质量管理体系认证证书</w:t>
            </w:r>
            <w:r>
              <w:rPr>
                <w:rFonts w:hint="eastAsia" w:ascii="宋体" w:hAnsi="宋体"/>
                <w:szCs w:val="21"/>
                <w:highlight w:val="none"/>
                <w:lang w:eastAsia="zh-CN"/>
              </w:rPr>
              <w:t>；</w:t>
            </w:r>
            <w:r>
              <w:rPr>
                <w:rFonts w:hint="default" w:ascii="宋体" w:hAnsi="宋体"/>
                <w:szCs w:val="21"/>
                <w:highlight w:val="none"/>
              </w:rPr>
              <w:t>ISO14001:2015 环境管理体系认证证书</w:t>
            </w:r>
            <w:r>
              <w:rPr>
                <w:rFonts w:hint="eastAsia" w:ascii="宋体" w:hAnsi="宋体"/>
                <w:szCs w:val="21"/>
                <w:highlight w:val="none"/>
                <w:lang w:eastAsia="zh-CN"/>
              </w:rPr>
              <w:t>；</w:t>
            </w:r>
            <w:r>
              <w:rPr>
                <w:rFonts w:hint="default" w:ascii="宋体" w:hAnsi="宋体"/>
                <w:szCs w:val="21"/>
                <w:highlight w:val="none"/>
              </w:rPr>
              <w:t>ISO45001:2018 职业健康安全管理体系认证证书</w:t>
            </w:r>
            <w:r>
              <w:rPr>
                <w:rFonts w:hint="eastAsia" w:ascii="宋体" w:hAnsi="宋体"/>
                <w:szCs w:val="21"/>
                <w:highlight w:val="none"/>
                <w:lang w:eastAsia="zh-CN"/>
              </w:rPr>
              <w:t>；</w:t>
            </w:r>
            <w:r>
              <w:rPr>
                <w:rFonts w:hint="eastAsia" w:ascii="宋体" w:hAnsi="宋体"/>
                <w:szCs w:val="21"/>
                <w:highlight w:val="none"/>
                <w:lang w:val="en-US" w:eastAsia="zh-CN"/>
              </w:rPr>
              <w:t>ISO/IEC27001：2013信息安全管理体系证书</w:t>
            </w:r>
            <w:r>
              <w:rPr>
                <w:rFonts w:hint="eastAsia" w:ascii="宋体" w:hAnsi="宋体"/>
                <w:szCs w:val="21"/>
                <w:highlight w:val="none"/>
                <w:lang w:eastAsia="zh-CN"/>
              </w:rPr>
              <w:t>；</w:t>
            </w:r>
            <w:r>
              <w:rPr>
                <w:rFonts w:hint="default" w:ascii="宋体" w:hAnsi="宋体"/>
                <w:szCs w:val="21"/>
                <w:highlight w:val="none"/>
                <w:lang w:val="en-US" w:eastAsia="zh-CN"/>
              </w:rPr>
              <w:t>IECQ QC080000电气与电子元件和产品有害物质过程控制管理体系认证</w:t>
            </w:r>
            <w:r>
              <w:rPr>
                <w:rFonts w:hint="eastAsia" w:ascii="宋体" w:hAnsi="宋体"/>
                <w:szCs w:val="21"/>
                <w:highlight w:val="none"/>
                <w:lang w:val="en-US" w:eastAsia="zh-CN"/>
              </w:rPr>
              <w:t>，</w:t>
            </w:r>
            <w:r>
              <w:rPr>
                <w:rFonts w:hint="default" w:ascii="宋体" w:hAnsi="宋体"/>
                <w:szCs w:val="21"/>
                <w:highlight w:val="none"/>
              </w:rPr>
              <w:t>每缺少一项扣</w:t>
            </w:r>
            <w:r>
              <w:rPr>
                <w:rFonts w:hint="eastAsia" w:ascii="宋体" w:hAnsi="宋体"/>
                <w:szCs w:val="21"/>
                <w:highlight w:val="none"/>
                <w:lang w:val="en-US" w:eastAsia="zh-CN"/>
              </w:rPr>
              <w:t>2</w:t>
            </w:r>
            <w:r>
              <w:rPr>
                <w:rFonts w:hint="default" w:ascii="宋体" w:hAnsi="宋体"/>
                <w:szCs w:val="21"/>
                <w:highlight w:val="none"/>
              </w:rPr>
              <w:t>分扣完为止，认证范围须包含汽车充电设备（</w:t>
            </w:r>
            <w:r>
              <w:rPr>
                <w:rFonts w:hint="eastAsia" w:ascii="宋体" w:hAnsi="宋体"/>
                <w:szCs w:val="21"/>
                <w:highlight w:val="none"/>
                <w:lang w:val="en-US" w:eastAsia="zh-CN"/>
              </w:rPr>
              <w:t>须提供认证证书复印件和国家认证认可监督管理委员会查询的网站截图等相关证明材料，</w:t>
            </w:r>
            <w:r>
              <w:rPr>
                <w:rFonts w:hint="default" w:ascii="宋体" w:hAnsi="宋体"/>
                <w:szCs w:val="21"/>
                <w:highlight w:val="none"/>
              </w:rPr>
              <w:t>否则不得分）</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210" w:right="0" w:hanging="210" w:hangingChars="100"/>
              <w:rPr>
                <w:rFonts w:hint="eastAsia" w:ascii="宋体" w:hAnsi="宋体" w:eastAsia="宋体" w:cs="宋体"/>
                <w:sz w:val="21"/>
                <w:szCs w:val="21"/>
                <w:highlight w:val="none"/>
                <w:lang w:val="en-US" w:eastAsia="zh-CN"/>
              </w:rPr>
            </w:pPr>
          </w:p>
        </w:tc>
        <w:tc>
          <w:tcPr>
            <w:tcW w:w="924" w:type="pct"/>
            <w:vAlign w:val="center"/>
          </w:tcPr>
          <w:p>
            <w:pPr>
              <w:keepNext w:val="0"/>
              <w:keepLines w:val="0"/>
              <w:suppressLineNumbers w:val="0"/>
              <w:spacing w:before="0" w:beforeAutospacing="0" w:after="0" w:afterAutospacing="0"/>
              <w:ind w:left="0" w:right="0" w:firstLine="440" w:firstLineChars="200"/>
              <w:jc w:val="center"/>
              <w:rPr>
                <w:rFonts w:hint="eastAsia" w:ascii="宋体" w:hAnsi="宋体" w:cs="宋体" w:eastAsiaTheme="minorEastAsia"/>
                <w:bCs/>
                <w:snapToGrid w:val="0"/>
                <w:sz w:val="22"/>
                <w:highlight w:val="none"/>
                <w:lang w:eastAsia="zh-CN"/>
              </w:rPr>
            </w:pPr>
            <w:r>
              <w:rPr>
                <w:rFonts w:hint="eastAsia" w:ascii="宋体" w:hAnsi="宋体" w:cs="宋体"/>
                <w:bCs/>
                <w:snapToGrid w:val="0"/>
                <w:sz w:val="22"/>
                <w:highlight w:val="none"/>
                <w:lang w:val="en-US" w:eastAsia="zh-CN"/>
              </w:rPr>
              <w:t>企业荣誉</w:t>
            </w:r>
          </w:p>
          <w:p>
            <w:pPr>
              <w:keepNext w:val="0"/>
              <w:keepLines w:val="0"/>
              <w:suppressLineNumbers w:val="0"/>
              <w:spacing w:before="0" w:beforeAutospacing="0" w:after="0" w:afterAutospacing="0"/>
              <w:ind w:left="0" w:right="0"/>
              <w:jc w:val="center"/>
              <w:rPr>
                <w:rFonts w:hint="eastAsia" w:ascii="宋体" w:hAnsi="宋体" w:cs="宋体" w:eastAsiaTheme="minorEastAsia"/>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68" w:type="pct"/>
            <w:vAlign w:val="center"/>
          </w:tcPr>
          <w:p>
            <w:pPr>
              <w:keepNext w:val="0"/>
              <w:keepLines w:val="0"/>
              <w:suppressLineNumbers w:val="0"/>
              <w:spacing w:before="0" w:beforeAutospacing="0" w:after="0" w:afterAutospacing="0"/>
              <w:ind w:left="0" w:right="0"/>
              <w:rPr>
                <w:rFonts w:hint="default" w:ascii="宋体" w:hAnsi="宋体" w:eastAsiaTheme="minorEastAsia"/>
                <w:szCs w:val="21"/>
                <w:highlight w:val="none"/>
                <w:lang w:val="en-US" w:eastAsia="zh-CN"/>
              </w:rPr>
            </w:pPr>
            <w:r>
              <w:rPr>
                <w:rFonts w:hint="eastAsia" w:ascii="宋体" w:hAnsi="宋体" w:cs="宋体"/>
                <w:bCs/>
                <w:snapToGrid w:val="0"/>
                <w:szCs w:val="24"/>
                <w:highlight w:val="none"/>
                <w:lang w:val="en-US" w:eastAsia="zh-CN"/>
              </w:rPr>
              <w:t>投标人需具备优秀的工业设计能力，具有“国家认定企业技术中心”、“国家级工业设计中心”、“国家技术创新示范企业”的得6分，每缺少一项扣2分扣完为止（须提供证书复印件等相关证明材料）</w:t>
            </w:r>
            <w:r>
              <w:rPr>
                <w:rFonts w:hint="eastAsia" w:ascii="宋体" w:hAnsi="宋体" w:cs="宋体"/>
                <w:bCs/>
                <w:snapToGrid w:val="0"/>
                <w:szCs w:val="24"/>
                <w:highlight w:val="none"/>
                <w:lang w:eastAsia="zh-CN"/>
              </w:rPr>
              <w:t>。</w:t>
            </w:r>
            <w:r>
              <w:rPr>
                <w:rFonts w:hint="eastAsia" w:ascii="宋体" w:hAnsi="宋体" w:cs="宋体"/>
                <w:bCs/>
                <w:snapToGrid w:val="0"/>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210" w:right="0" w:hanging="210" w:hangingChars="100"/>
              <w:rPr>
                <w:rFonts w:hint="eastAsia" w:ascii="宋体" w:hAnsi="宋体" w:eastAsia="宋体" w:cs="宋体"/>
                <w:sz w:val="21"/>
                <w:szCs w:val="21"/>
                <w:highlight w:val="none"/>
                <w:lang w:val="en-US" w:eastAsia="zh-CN"/>
              </w:rPr>
            </w:pPr>
          </w:p>
        </w:tc>
        <w:tc>
          <w:tcPr>
            <w:tcW w:w="924" w:type="pct"/>
            <w:vAlign w:val="center"/>
          </w:tcPr>
          <w:p>
            <w:pPr>
              <w:keepNext w:val="0"/>
              <w:keepLines w:val="0"/>
              <w:suppressLineNumbers w:val="0"/>
              <w:spacing w:before="0" w:beforeAutospacing="0" w:after="0" w:afterAutospacing="0"/>
              <w:ind w:left="0" w:right="0" w:firstLine="210" w:firstLineChars="100"/>
              <w:jc w:val="center"/>
              <w:rPr>
                <w:rFonts w:hint="eastAsia" w:ascii="宋体" w:hAnsi="宋体" w:cs="宋体"/>
                <w:bCs/>
                <w:snapToGrid w:val="0"/>
                <w:szCs w:val="24"/>
                <w:highlight w:val="none"/>
                <w:lang w:val="en-US" w:eastAsia="zh-CN"/>
              </w:rPr>
            </w:pPr>
            <w:r>
              <w:rPr>
                <w:rFonts w:hint="eastAsia" w:ascii="宋体" w:hAnsi="宋体" w:cs="宋体"/>
                <w:bCs/>
                <w:snapToGrid w:val="0"/>
                <w:szCs w:val="24"/>
                <w:highlight w:val="none"/>
                <w:lang w:val="en-US" w:eastAsia="zh-CN"/>
              </w:rPr>
              <w:t>企业研发实力</w:t>
            </w:r>
          </w:p>
          <w:p>
            <w:pPr>
              <w:keepNext w:val="0"/>
              <w:keepLines w:val="0"/>
              <w:suppressLineNumbers w:val="0"/>
              <w:spacing w:before="0" w:beforeAutospacing="0" w:after="0" w:afterAutospacing="0"/>
              <w:ind w:left="0" w:right="0"/>
              <w:jc w:val="center"/>
              <w:rPr>
                <w:rFonts w:hint="eastAsia" w:ascii="宋体" w:hAnsi="宋体" w:cs="宋体"/>
                <w:bCs/>
                <w:snapToGrid w:val="0"/>
                <w:szCs w:val="24"/>
                <w:highlight w:val="none"/>
                <w:lang w:val="en-US" w:eastAsia="zh-CN"/>
              </w:rPr>
            </w:pPr>
            <w:r>
              <w:rPr>
                <w:rFonts w:hint="eastAsia" w:ascii="宋体" w:hAnsi="宋体" w:cs="宋体"/>
                <w:bCs/>
                <w:snapToGrid w:val="0"/>
                <w:szCs w:val="24"/>
                <w:highlight w:val="none"/>
                <w:lang w:val="en-US" w:eastAsia="zh-CN"/>
              </w:rPr>
              <w:t>（满分</w:t>
            </w:r>
            <w:r>
              <w:rPr>
                <w:rFonts w:hint="eastAsia" w:ascii="宋体" w:hAnsi="宋体" w:cs="宋体"/>
                <w:bCs/>
                <w:snapToGrid w:val="0"/>
                <w:szCs w:val="24"/>
                <w:highlight w:val="none"/>
                <w:u w:val="single"/>
                <w:lang w:val="en-US" w:eastAsia="zh-CN"/>
              </w:rPr>
              <w:t xml:space="preserve">  3  </w:t>
            </w:r>
            <w:r>
              <w:rPr>
                <w:rFonts w:hint="eastAsia" w:ascii="宋体" w:hAnsi="宋体" w:cs="宋体"/>
                <w:bCs/>
                <w:snapToGrid w:val="0"/>
                <w:szCs w:val="24"/>
                <w:highlight w:val="none"/>
                <w:lang w:val="en-US" w:eastAsia="zh-CN"/>
              </w:rPr>
              <w:t>分）</w:t>
            </w:r>
          </w:p>
        </w:tc>
        <w:tc>
          <w:tcPr>
            <w:tcW w:w="3068" w:type="pct"/>
            <w:vAlign w:val="center"/>
          </w:tcPr>
          <w:p>
            <w:pPr>
              <w:keepNext w:val="0"/>
              <w:keepLines w:val="0"/>
              <w:suppressLineNumbers w:val="0"/>
              <w:spacing w:before="0" w:beforeAutospacing="0" w:after="0" w:afterAutospacing="0"/>
              <w:ind w:left="0" w:right="0"/>
              <w:rPr>
                <w:rFonts w:hint="default" w:ascii="宋体" w:hAnsi="宋体" w:cs="宋体"/>
                <w:bCs/>
                <w:snapToGrid w:val="0"/>
                <w:szCs w:val="24"/>
                <w:highlight w:val="none"/>
              </w:rPr>
            </w:pPr>
            <w:r>
              <w:rPr>
                <w:rFonts w:hint="eastAsia" w:ascii="宋体" w:hAnsi="宋体" w:cs="宋体"/>
                <w:bCs/>
                <w:snapToGrid w:val="0"/>
                <w:szCs w:val="24"/>
                <w:highlight w:val="none"/>
                <w:lang w:val="en-US" w:eastAsia="zh-CN"/>
              </w:rPr>
              <w:t>投标人具有充电设备相关实验室，且实验室具备CNAS实验室资质认证的得2分（须提供由中国合格评定国家认可委员会授权的实验室认可证书和CNAS官网查询截图等相关证明材料）。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210" w:right="0" w:hanging="210" w:hangingChars="100"/>
              <w:rPr>
                <w:rFonts w:hint="eastAsia" w:ascii="宋体" w:hAnsi="宋体" w:eastAsia="宋体" w:cs="宋体"/>
                <w:sz w:val="21"/>
                <w:szCs w:val="21"/>
                <w:highlight w:val="none"/>
                <w:lang w:val="en-US" w:eastAsia="zh-CN"/>
              </w:rPr>
            </w:pPr>
          </w:p>
        </w:tc>
        <w:tc>
          <w:tcPr>
            <w:tcW w:w="924" w:type="pct"/>
            <w:vAlign w:val="center"/>
          </w:tcPr>
          <w:p>
            <w:pPr>
              <w:keepNext w:val="0"/>
              <w:keepLines w:val="0"/>
              <w:suppressLineNumbers w:val="0"/>
              <w:spacing w:before="0" w:beforeAutospacing="0" w:after="0" w:afterAutospacing="0"/>
              <w:ind w:left="0" w:right="0"/>
              <w:jc w:val="center"/>
              <w:rPr>
                <w:rFonts w:hint="eastAsia" w:ascii="宋体" w:hAnsi="宋体" w:cs="宋体"/>
                <w:bCs/>
                <w:snapToGrid w:val="0"/>
                <w:color w:val="auto"/>
                <w:szCs w:val="24"/>
                <w:highlight w:val="none"/>
                <w:lang w:val="en-US" w:eastAsia="zh-CN"/>
              </w:rPr>
            </w:pPr>
            <w:r>
              <w:rPr>
                <w:rFonts w:hint="eastAsia" w:ascii="宋体" w:hAnsi="宋体" w:cs="宋体"/>
                <w:bCs/>
                <w:snapToGrid w:val="0"/>
                <w:color w:val="auto"/>
                <w:szCs w:val="24"/>
                <w:highlight w:val="none"/>
                <w:lang w:val="en-US" w:eastAsia="zh-CN"/>
              </w:rPr>
              <w:t>产</w:t>
            </w:r>
            <w:r>
              <w:rPr>
                <w:rFonts w:hint="default" w:ascii="宋体" w:hAnsi="宋体" w:cs="宋体"/>
                <w:bCs/>
                <w:snapToGrid w:val="0"/>
                <w:color w:val="auto"/>
                <w:szCs w:val="24"/>
                <w:highlight w:val="none"/>
              </w:rPr>
              <w:t>品责任险</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68" w:type="pct"/>
            <w:vAlign w:val="center"/>
          </w:tcPr>
          <w:p>
            <w:pPr>
              <w:keepNext w:val="0"/>
              <w:keepLines w:val="0"/>
              <w:suppressLineNumbers w:val="0"/>
              <w:spacing w:before="0" w:beforeAutospacing="0" w:after="0" w:afterAutospacing="0"/>
              <w:ind w:left="0" w:right="0"/>
              <w:rPr>
                <w:rFonts w:hint="eastAsia" w:ascii="宋体" w:hAnsi="宋体" w:cs="宋体" w:eastAsiaTheme="minorEastAsia"/>
                <w:bCs/>
                <w:snapToGrid w:val="0"/>
                <w:color w:val="auto"/>
                <w:szCs w:val="24"/>
                <w:highlight w:val="none"/>
                <w:lang w:eastAsia="zh-CN"/>
              </w:rPr>
            </w:pPr>
            <w:r>
              <w:rPr>
                <w:rFonts w:hint="default" w:ascii="宋体" w:hAnsi="宋体" w:cs="宋体"/>
                <w:bCs/>
                <w:snapToGrid w:val="0"/>
                <w:color w:val="auto"/>
                <w:szCs w:val="24"/>
                <w:highlight w:val="none"/>
              </w:rPr>
              <w:t>投标人所投充电设备具有产品责任险的，保险范围中华人民共和国（除港澳台外），被保险产品为充电桩，且</w:t>
            </w:r>
            <w:r>
              <w:rPr>
                <w:rFonts w:hint="eastAsia" w:ascii="宋体" w:hAnsi="宋体" w:cs="宋体"/>
                <w:bCs/>
                <w:snapToGrid w:val="0"/>
                <w:color w:val="auto"/>
                <w:szCs w:val="24"/>
                <w:highlight w:val="none"/>
                <w:lang w:val="en-US" w:eastAsia="zh-CN"/>
              </w:rPr>
              <w:t>单次赔偿限额</w:t>
            </w:r>
            <w:r>
              <w:rPr>
                <w:rFonts w:hint="default" w:ascii="宋体" w:hAnsi="宋体" w:cs="宋体"/>
                <w:bCs/>
                <w:snapToGrid w:val="0"/>
                <w:color w:val="auto"/>
                <w:szCs w:val="24"/>
                <w:highlight w:val="none"/>
              </w:rPr>
              <w:t>达到</w:t>
            </w:r>
            <w:r>
              <w:rPr>
                <w:rFonts w:hint="eastAsia" w:ascii="宋体" w:hAnsi="宋体" w:cs="宋体"/>
                <w:bCs/>
                <w:snapToGrid w:val="0"/>
                <w:color w:val="auto"/>
                <w:szCs w:val="24"/>
                <w:highlight w:val="none"/>
                <w:lang w:val="en-US" w:eastAsia="zh-CN"/>
              </w:rPr>
              <w:t>1000</w:t>
            </w:r>
            <w:r>
              <w:rPr>
                <w:rFonts w:hint="default" w:ascii="宋体" w:hAnsi="宋体" w:cs="宋体"/>
                <w:bCs/>
                <w:snapToGrid w:val="0"/>
                <w:color w:val="auto"/>
                <w:szCs w:val="24"/>
                <w:highlight w:val="none"/>
              </w:rPr>
              <w:t>万</w:t>
            </w:r>
            <w:r>
              <w:rPr>
                <w:rFonts w:hint="eastAsia" w:ascii="宋体" w:hAnsi="宋体" w:cs="宋体"/>
                <w:bCs/>
                <w:snapToGrid w:val="0"/>
                <w:color w:val="auto"/>
                <w:szCs w:val="24"/>
                <w:highlight w:val="none"/>
                <w:lang w:val="en-US" w:eastAsia="zh-CN"/>
              </w:rPr>
              <w:t>人民币</w:t>
            </w:r>
            <w:r>
              <w:rPr>
                <w:rFonts w:hint="default" w:ascii="宋体" w:hAnsi="宋体" w:cs="宋体"/>
                <w:bCs/>
                <w:snapToGrid w:val="0"/>
                <w:color w:val="auto"/>
                <w:szCs w:val="24"/>
                <w:highlight w:val="none"/>
              </w:rPr>
              <w:t>（包含）及以上的得</w:t>
            </w:r>
            <w:r>
              <w:rPr>
                <w:rFonts w:hint="eastAsia" w:ascii="宋体" w:hAnsi="宋体" w:cs="宋体"/>
                <w:bCs/>
                <w:snapToGrid w:val="0"/>
                <w:color w:val="auto"/>
                <w:szCs w:val="24"/>
                <w:highlight w:val="none"/>
                <w:lang w:val="en-US" w:eastAsia="zh-CN"/>
              </w:rPr>
              <w:t>2</w:t>
            </w:r>
            <w:r>
              <w:rPr>
                <w:rFonts w:hint="default" w:ascii="宋体" w:hAnsi="宋体" w:cs="宋体"/>
                <w:bCs/>
                <w:snapToGrid w:val="0"/>
                <w:color w:val="auto"/>
                <w:szCs w:val="24"/>
                <w:highlight w:val="none"/>
              </w:rPr>
              <w:t>分；</w:t>
            </w:r>
            <w:r>
              <w:rPr>
                <w:rFonts w:hint="default" w:ascii="宋体" w:hAnsi="宋体" w:cs="宋体"/>
                <w:bCs/>
                <w:snapToGrid w:val="0"/>
                <w:color w:val="auto"/>
                <w:szCs w:val="24"/>
                <w:highlight w:val="none"/>
                <w:lang w:val="en-US" w:eastAsia="zh-CN"/>
              </w:rPr>
              <w:t>单次赔偿额</w:t>
            </w:r>
            <w:r>
              <w:rPr>
                <w:rFonts w:hint="default" w:ascii="宋体" w:hAnsi="宋体" w:cs="宋体"/>
                <w:bCs/>
                <w:snapToGrid w:val="0"/>
                <w:color w:val="auto"/>
                <w:szCs w:val="24"/>
                <w:highlight w:val="none"/>
              </w:rPr>
              <w:t>达到</w:t>
            </w:r>
            <w:r>
              <w:rPr>
                <w:rFonts w:hint="eastAsia" w:ascii="宋体" w:hAnsi="宋体" w:cs="宋体"/>
                <w:bCs/>
                <w:snapToGrid w:val="0"/>
                <w:color w:val="auto"/>
                <w:szCs w:val="24"/>
                <w:highlight w:val="none"/>
                <w:lang w:val="en-US" w:eastAsia="zh-CN"/>
              </w:rPr>
              <w:t>2</w:t>
            </w:r>
            <w:r>
              <w:rPr>
                <w:rFonts w:hint="default" w:ascii="宋体" w:hAnsi="宋体" w:cs="宋体"/>
                <w:bCs/>
                <w:snapToGrid w:val="0"/>
                <w:color w:val="auto"/>
                <w:szCs w:val="24"/>
                <w:highlight w:val="none"/>
              </w:rPr>
              <w:t>00</w:t>
            </w:r>
            <w:r>
              <w:rPr>
                <w:rFonts w:hint="eastAsia" w:ascii="宋体" w:hAnsi="宋体" w:cs="宋体"/>
                <w:bCs/>
                <w:snapToGrid w:val="0"/>
                <w:color w:val="auto"/>
                <w:szCs w:val="24"/>
                <w:highlight w:val="none"/>
                <w:lang w:val="en-US" w:eastAsia="zh-CN"/>
              </w:rPr>
              <w:t>0</w:t>
            </w:r>
            <w:r>
              <w:rPr>
                <w:rFonts w:hint="default" w:ascii="宋体" w:hAnsi="宋体" w:cs="宋体"/>
                <w:bCs/>
                <w:snapToGrid w:val="0"/>
                <w:color w:val="auto"/>
                <w:szCs w:val="24"/>
                <w:highlight w:val="none"/>
              </w:rPr>
              <w:t>万</w:t>
            </w:r>
            <w:r>
              <w:rPr>
                <w:rFonts w:hint="eastAsia" w:ascii="宋体" w:hAnsi="宋体" w:cs="宋体"/>
                <w:bCs/>
                <w:snapToGrid w:val="0"/>
                <w:color w:val="auto"/>
                <w:szCs w:val="24"/>
                <w:highlight w:val="none"/>
                <w:lang w:val="en-US" w:eastAsia="zh-CN"/>
              </w:rPr>
              <w:t>人民币</w:t>
            </w:r>
            <w:r>
              <w:rPr>
                <w:rFonts w:hint="default" w:ascii="宋体" w:hAnsi="宋体" w:cs="宋体"/>
                <w:bCs/>
                <w:snapToGrid w:val="0"/>
                <w:color w:val="auto"/>
                <w:szCs w:val="24"/>
                <w:highlight w:val="none"/>
              </w:rPr>
              <w:t>（包含）及以上的得</w:t>
            </w:r>
            <w:r>
              <w:rPr>
                <w:rFonts w:hint="eastAsia" w:ascii="宋体" w:hAnsi="宋体" w:cs="宋体"/>
                <w:bCs/>
                <w:snapToGrid w:val="0"/>
                <w:color w:val="auto"/>
                <w:szCs w:val="24"/>
                <w:highlight w:val="none"/>
                <w:lang w:val="en-US" w:eastAsia="zh-CN"/>
              </w:rPr>
              <w:t>4</w:t>
            </w:r>
            <w:r>
              <w:rPr>
                <w:rFonts w:hint="default" w:ascii="宋体" w:hAnsi="宋体" w:cs="宋体"/>
                <w:bCs/>
                <w:snapToGrid w:val="0"/>
                <w:color w:val="auto"/>
                <w:szCs w:val="24"/>
                <w:highlight w:val="none"/>
              </w:rPr>
              <w:t>分；</w:t>
            </w:r>
            <w:r>
              <w:rPr>
                <w:rFonts w:hint="default" w:ascii="宋体" w:hAnsi="宋体" w:cs="宋体"/>
                <w:bCs/>
                <w:snapToGrid w:val="0"/>
                <w:color w:val="auto"/>
                <w:szCs w:val="24"/>
                <w:highlight w:val="none"/>
                <w:lang w:val="en-US" w:eastAsia="zh-CN"/>
              </w:rPr>
              <w:t>单次赔偿额</w:t>
            </w:r>
            <w:r>
              <w:rPr>
                <w:rFonts w:hint="default" w:ascii="宋体" w:hAnsi="宋体" w:cs="宋体"/>
                <w:bCs/>
                <w:snapToGrid w:val="0"/>
                <w:color w:val="auto"/>
                <w:szCs w:val="24"/>
                <w:highlight w:val="none"/>
              </w:rPr>
              <w:t>达到</w:t>
            </w:r>
            <w:r>
              <w:rPr>
                <w:rFonts w:hint="eastAsia" w:ascii="宋体" w:hAnsi="宋体" w:cs="宋体"/>
                <w:bCs/>
                <w:snapToGrid w:val="0"/>
                <w:color w:val="auto"/>
                <w:szCs w:val="24"/>
                <w:highlight w:val="none"/>
                <w:lang w:val="en-US" w:eastAsia="zh-CN"/>
              </w:rPr>
              <w:t>3000</w:t>
            </w:r>
            <w:r>
              <w:rPr>
                <w:rFonts w:hint="default" w:ascii="宋体" w:hAnsi="宋体" w:cs="宋体"/>
                <w:bCs/>
                <w:snapToGrid w:val="0"/>
                <w:color w:val="auto"/>
                <w:szCs w:val="24"/>
                <w:highlight w:val="none"/>
              </w:rPr>
              <w:t>万</w:t>
            </w:r>
            <w:r>
              <w:rPr>
                <w:rFonts w:hint="eastAsia" w:ascii="宋体" w:hAnsi="宋体" w:cs="宋体"/>
                <w:bCs/>
                <w:snapToGrid w:val="0"/>
                <w:color w:val="auto"/>
                <w:szCs w:val="24"/>
                <w:highlight w:val="none"/>
                <w:lang w:val="en-US" w:eastAsia="zh-CN"/>
              </w:rPr>
              <w:t>人民币</w:t>
            </w:r>
            <w:r>
              <w:rPr>
                <w:rFonts w:hint="default" w:ascii="宋体" w:hAnsi="宋体" w:cs="宋体"/>
                <w:bCs/>
                <w:snapToGrid w:val="0"/>
                <w:color w:val="auto"/>
                <w:szCs w:val="24"/>
                <w:highlight w:val="none"/>
              </w:rPr>
              <w:t>（包含）及以上的得</w:t>
            </w:r>
            <w:r>
              <w:rPr>
                <w:rFonts w:hint="eastAsia" w:ascii="宋体" w:hAnsi="宋体" w:cs="宋体"/>
                <w:bCs/>
                <w:snapToGrid w:val="0"/>
                <w:color w:val="auto"/>
                <w:szCs w:val="24"/>
                <w:highlight w:val="none"/>
                <w:lang w:val="en-US" w:eastAsia="zh-CN"/>
              </w:rPr>
              <w:t>6</w:t>
            </w:r>
            <w:r>
              <w:rPr>
                <w:rFonts w:hint="default" w:ascii="宋体" w:hAnsi="宋体" w:cs="宋体"/>
                <w:bCs/>
                <w:snapToGrid w:val="0"/>
                <w:color w:val="auto"/>
                <w:szCs w:val="24"/>
                <w:highlight w:val="none"/>
              </w:rPr>
              <w:t>分</w:t>
            </w:r>
            <w:r>
              <w:rPr>
                <w:rFonts w:hint="eastAsia" w:ascii="宋体" w:hAnsi="宋体" w:cs="宋体"/>
                <w:bCs/>
                <w:snapToGrid w:val="0"/>
                <w:color w:val="auto"/>
                <w:szCs w:val="24"/>
                <w:highlight w:val="none"/>
                <w:lang w:eastAsia="zh-CN"/>
              </w:rPr>
              <w:t>，</w:t>
            </w:r>
            <w:r>
              <w:rPr>
                <w:rFonts w:hint="default" w:ascii="宋体" w:hAnsi="宋体" w:cs="宋体"/>
                <w:bCs/>
                <w:snapToGrid w:val="0"/>
                <w:color w:val="auto"/>
                <w:szCs w:val="24"/>
                <w:highlight w:val="none"/>
              </w:rPr>
              <w:t>其他不得分</w:t>
            </w:r>
            <w:r>
              <w:rPr>
                <w:rFonts w:hint="eastAsia" w:ascii="宋体" w:hAnsi="宋体" w:cs="宋体"/>
                <w:bCs/>
                <w:snapToGrid w:val="0"/>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textAlignment w:val="auto"/>
              <w:rPr>
                <w:rFonts w:hint="default" w:ascii="宋体" w:hAnsi="宋体" w:cs="宋体"/>
                <w:color w:val="auto"/>
                <w:szCs w:val="24"/>
                <w:highlight w:val="none"/>
              </w:rPr>
            </w:pPr>
            <w:r>
              <w:rPr>
                <w:rFonts w:hint="default" w:ascii="宋体" w:hAnsi="宋体" w:cs="宋体"/>
                <w:color w:val="auto"/>
                <w:szCs w:val="24"/>
                <w:highlight w:val="none"/>
              </w:rPr>
              <w:t>产品参数</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jc w:val="center"/>
              <w:textAlignment w:val="auto"/>
              <w:rPr>
                <w:rFonts w:hint="eastAsia" w:ascii="宋体" w:hAnsi="宋体" w:cs="宋体"/>
                <w:color w:val="auto"/>
                <w:szCs w:val="24"/>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u w:val="none"/>
                <w:lang w:val="en-US" w:eastAsia="zh-CN"/>
              </w:rPr>
              <w:t>分</w:t>
            </w:r>
            <w:r>
              <w:rPr>
                <w:rFonts w:hint="eastAsia" w:ascii="宋体" w:hAnsi="宋体" w:cs="宋体"/>
                <w:color w:val="auto"/>
                <w:szCs w:val="24"/>
                <w:highlight w:val="none"/>
                <w:lang w:eastAsia="zh-CN"/>
              </w:rPr>
              <w:t>）</w:t>
            </w:r>
          </w:p>
          <w:p>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jc w:val="center"/>
              <w:textAlignment w:val="auto"/>
              <w:rPr>
                <w:rFonts w:hint="eastAsia"/>
                <w:color w:val="auto"/>
                <w:highlight w:val="none"/>
                <w:lang w:eastAsia="zh-CN"/>
              </w:rPr>
            </w:pPr>
            <w:r>
              <w:rPr>
                <w:rFonts w:hint="eastAsia" w:ascii="宋体" w:hAnsi="宋体" w:cs="宋体" w:eastAsiaTheme="minorEastAsia"/>
                <w:color w:val="auto"/>
                <w:kern w:val="2"/>
                <w:sz w:val="21"/>
                <w:szCs w:val="24"/>
                <w:highlight w:val="none"/>
                <w:lang w:val="en-US" w:eastAsia="zh-CN" w:bidi="ar-SA"/>
              </w:rPr>
              <w:t>均需要提供型式试验报告扫描件证明，且检验报告具备CMA、CNAS认证标识</w:t>
            </w:r>
          </w:p>
        </w:tc>
        <w:tc>
          <w:tcPr>
            <w:tcW w:w="3068" w:type="pct"/>
            <w:vAlign w:val="center"/>
          </w:tcPr>
          <w:p>
            <w:pPr>
              <w:keepNext w:val="0"/>
              <w:keepLines w:val="0"/>
              <w:suppressLineNumbers w:val="0"/>
              <w:spacing w:before="0" w:beforeAutospacing="0" w:after="0" w:afterAutospacing="0"/>
              <w:ind w:left="0" w:right="0"/>
              <w:rPr>
                <w:rFonts w:hint="eastAsia" w:ascii="宋体" w:hAnsi="宋体" w:cs="宋体"/>
                <w:bCs/>
                <w:snapToGrid w:val="0"/>
                <w:color w:val="auto"/>
                <w:szCs w:val="24"/>
                <w:highlight w:val="none"/>
                <w:lang w:val="en-US" w:eastAsia="zh-CN"/>
              </w:rPr>
            </w:pPr>
            <w:r>
              <w:rPr>
                <w:rFonts w:hint="eastAsia" w:ascii="Times New Roman" w:hAnsi="Times New Roman" w:cs="Times New Roman"/>
                <w:color w:val="auto"/>
                <w:highlight w:val="none"/>
                <w:lang w:eastAsia="zh-CN"/>
              </w:rPr>
              <w:t>投标直流充电设备满足20%≤输出功率≤100%时，功率因数≥0.98的得1分，功率因</w:t>
            </w:r>
            <w:r>
              <w:rPr>
                <w:rFonts w:hint="eastAsia" w:ascii="Times New Roman" w:hAnsi="Times New Roman" w:cs="Times New Roman"/>
                <w:color w:val="auto"/>
                <w:highlight w:val="none"/>
                <w:lang w:val="en-US" w:eastAsia="zh-CN"/>
              </w:rPr>
              <w:t>数</w:t>
            </w:r>
            <w:r>
              <w:rPr>
                <w:rFonts w:hint="eastAsia" w:ascii="Times New Roman" w:hAnsi="Times New Roman" w:cs="Times New Roman"/>
                <w:color w:val="auto"/>
                <w:highlight w:val="none"/>
                <w:lang w:eastAsia="zh-CN"/>
              </w:rPr>
              <w:t>≥0.99得2分。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continue"/>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rPr>
            </w:pPr>
          </w:p>
        </w:tc>
        <w:tc>
          <w:tcPr>
            <w:tcW w:w="3068" w:type="pct"/>
            <w:vAlign w:val="center"/>
          </w:tcPr>
          <w:p>
            <w:pPr>
              <w:keepNext w:val="0"/>
              <w:keepLines w:val="0"/>
              <w:suppressLineNumbers w:val="0"/>
              <w:spacing w:before="0" w:beforeAutospacing="0" w:after="0" w:afterAutospacing="0"/>
              <w:ind w:left="0" w:right="0"/>
              <w:rPr>
                <w:rFonts w:hint="eastAsia" w:ascii="宋体" w:hAnsi="宋体" w:cs="宋体"/>
                <w:bCs/>
                <w:snapToGrid w:val="0"/>
                <w:color w:val="auto"/>
                <w:szCs w:val="24"/>
                <w:highlight w:val="none"/>
                <w:lang w:val="en-US" w:eastAsia="zh-CN"/>
              </w:rPr>
            </w:pPr>
            <w:r>
              <w:rPr>
                <w:rFonts w:hint="eastAsia" w:ascii="宋体" w:hAnsi="宋体" w:cs="宋体"/>
                <w:bCs/>
                <w:snapToGrid w:val="0"/>
                <w:color w:val="auto"/>
                <w:szCs w:val="24"/>
                <w:highlight w:val="none"/>
                <w:lang w:val="en-US" w:eastAsia="zh-CN"/>
              </w:rPr>
              <w:t>投标直流充电设备防护等级≥IP54得1分，IP等级≥IP55得2分，IP等级≥IP65的得3分。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continue"/>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rPr>
            </w:pPr>
          </w:p>
        </w:tc>
        <w:tc>
          <w:tcPr>
            <w:tcW w:w="3068" w:type="pct"/>
            <w:vAlign w:val="center"/>
          </w:tcPr>
          <w:p>
            <w:pPr>
              <w:keepNext w:val="0"/>
              <w:keepLines w:val="0"/>
              <w:suppressLineNumbers w:val="0"/>
              <w:spacing w:before="0" w:beforeAutospacing="0" w:after="0" w:afterAutospacing="0"/>
              <w:ind w:left="0" w:right="0"/>
              <w:rPr>
                <w:rFonts w:hint="default" w:ascii="宋体" w:hAnsi="宋体" w:cs="宋体"/>
                <w:bCs/>
                <w:snapToGrid w:val="0"/>
                <w:color w:val="auto"/>
                <w:szCs w:val="24"/>
                <w:highlight w:val="none"/>
                <w:lang w:val="en-US" w:eastAsia="zh-CN"/>
              </w:rPr>
            </w:pPr>
            <w:r>
              <w:rPr>
                <w:rFonts w:hint="eastAsia" w:ascii="宋体" w:hAnsi="宋体" w:cs="宋体"/>
                <w:bCs/>
                <w:snapToGrid w:val="0"/>
                <w:color w:val="auto"/>
                <w:szCs w:val="24"/>
                <w:highlight w:val="none"/>
                <w:lang w:val="en-US" w:eastAsia="zh-CN"/>
              </w:rPr>
              <w:t>投标直流充电设备待机功耗≤50W得1分，待机功耗≤40W得2分，待机功耗≤30W得3分，待机功耗≤20W得4分。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continue"/>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rPr>
            </w:pPr>
          </w:p>
        </w:tc>
        <w:tc>
          <w:tcPr>
            <w:tcW w:w="3068" w:type="pct"/>
            <w:vAlign w:val="center"/>
          </w:tcPr>
          <w:p>
            <w:pPr>
              <w:keepNext w:val="0"/>
              <w:keepLines w:val="0"/>
              <w:suppressLineNumbers w:val="0"/>
              <w:spacing w:before="0" w:beforeAutospacing="0" w:after="0" w:afterAutospacing="0"/>
              <w:ind w:left="0" w:right="0"/>
              <w:rPr>
                <w:rFonts w:hint="default" w:ascii="宋体" w:hAnsi="宋体" w:cs="宋体"/>
                <w:bCs/>
                <w:snapToGrid w:val="0"/>
                <w:color w:val="auto"/>
                <w:szCs w:val="24"/>
                <w:highlight w:val="none"/>
                <w:lang w:val="en-US" w:eastAsia="zh-CN"/>
              </w:rPr>
            </w:pPr>
            <w:r>
              <w:rPr>
                <w:rFonts w:hint="eastAsia" w:ascii="宋体" w:hAnsi="宋体" w:cs="宋体"/>
                <w:bCs/>
                <w:snapToGrid w:val="0"/>
                <w:color w:val="auto"/>
                <w:szCs w:val="24"/>
                <w:highlight w:val="none"/>
                <w:lang w:val="en-US" w:eastAsia="zh-CN"/>
              </w:rPr>
              <w:t>投标直流充电设备输出电流误差≤±1 %，电流误差每降低0.1%得0.5分，最高得3分。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continue"/>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rPr>
            </w:pPr>
          </w:p>
        </w:tc>
        <w:tc>
          <w:tcPr>
            <w:tcW w:w="3068" w:type="pct"/>
            <w:vAlign w:val="center"/>
          </w:tcPr>
          <w:p>
            <w:pPr>
              <w:keepNext w:val="0"/>
              <w:keepLines w:val="0"/>
              <w:suppressLineNumbers w:val="0"/>
              <w:spacing w:before="0" w:beforeAutospacing="0" w:after="0" w:afterAutospacing="0"/>
              <w:ind w:left="0" w:right="0"/>
              <w:rPr>
                <w:rFonts w:hint="default" w:ascii="宋体" w:hAnsi="宋体" w:cs="宋体"/>
                <w:bCs/>
                <w:snapToGrid w:val="0"/>
                <w:color w:val="auto"/>
                <w:szCs w:val="24"/>
                <w:highlight w:val="none"/>
                <w:lang w:val="en-US" w:eastAsia="zh-CN"/>
              </w:rPr>
            </w:pPr>
            <w:r>
              <w:rPr>
                <w:rFonts w:hint="eastAsia" w:ascii="宋体" w:hAnsi="宋体" w:cs="宋体"/>
                <w:bCs/>
                <w:snapToGrid w:val="0"/>
                <w:color w:val="auto"/>
                <w:szCs w:val="24"/>
                <w:highlight w:val="none"/>
                <w:lang w:val="en-US" w:eastAsia="zh-CN"/>
              </w:rPr>
              <w:t>投标直流充电设备输出电压误差≤±0.5%，电压误差每降低0.1%得1分，最高得3分。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restar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售后及维护</w:t>
            </w:r>
          </w:p>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u w:val="none"/>
                <w:lang w:val="en-US" w:eastAsia="zh-CN"/>
              </w:rPr>
              <w:t>分</w:t>
            </w:r>
            <w:r>
              <w:rPr>
                <w:rFonts w:hint="eastAsia" w:ascii="宋体" w:hAnsi="宋体" w:cs="宋体"/>
                <w:color w:val="auto"/>
                <w:szCs w:val="24"/>
                <w:highlight w:val="none"/>
                <w:lang w:eastAsia="zh-CN"/>
              </w:rPr>
              <w:t>）</w:t>
            </w:r>
          </w:p>
        </w:tc>
        <w:tc>
          <w:tcPr>
            <w:tcW w:w="3068" w:type="pct"/>
            <w:vAlign w:val="center"/>
          </w:tcPr>
          <w:p>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投标人获得GB/T 27922-2011《商品售后服务评价体系》标准五星级及以上星级售后服务认证证书的得2分，其他不</w:t>
            </w:r>
            <w:r>
              <w:rPr>
                <w:rFonts w:hint="eastAsia"/>
                <w:color w:val="auto"/>
                <w:highlight w:val="none"/>
                <w:lang w:val="en-US" w:eastAsia="zh-CN"/>
              </w:rPr>
              <w:t>得</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continue"/>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rPr>
            </w:pPr>
          </w:p>
        </w:tc>
        <w:tc>
          <w:tcPr>
            <w:tcW w:w="3068" w:type="pct"/>
            <w:vAlign w:val="center"/>
          </w:tcPr>
          <w:p>
            <w:pPr>
              <w:keepNext w:val="0"/>
              <w:keepLines w:val="0"/>
              <w:suppressLineNumbers w:val="0"/>
              <w:spacing w:before="0" w:beforeAutospacing="0" w:after="0" w:afterAutospacing="0"/>
              <w:ind w:left="0" w:right="0"/>
              <w:rPr>
                <w:rFonts w:hint="default" w:ascii="宋体" w:hAnsi="宋体" w:cs="宋体"/>
                <w:bCs/>
                <w:snapToGrid w:val="0"/>
                <w:color w:val="auto"/>
                <w:szCs w:val="24"/>
                <w:highlight w:val="none"/>
                <w:lang w:val="en-US" w:eastAsia="zh-CN"/>
              </w:rPr>
            </w:pPr>
            <w:r>
              <w:rPr>
                <w:rFonts w:hint="eastAsia"/>
                <w:color w:val="auto"/>
                <w:highlight w:val="none"/>
              </w:rPr>
              <w:t>设备质保期5年，枪线质保1年</w:t>
            </w:r>
            <w:r>
              <w:rPr>
                <w:rFonts w:hint="eastAsia"/>
                <w:color w:val="auto"/>
                <w:highlight w:val="none"/>
                <w:lang w:eastAsia="zh-CN"/>
              </w:rPr>
              <w:t>，</w:t>
            </w:r>
            <w:r>
              <w:rPr>
                <w:rFonts w:hint="eastAsia"/>
                <w:color w:val="auto"/>
                <w:highlight w:val="none"/>
                <w:lang w:val="en-US" w:eastAsia="zh-CN"/>
              </w:rPr>
              <w:t>质保</w:t>
            </w:r>
            <w:r>
              <w:rPr>
                <w:rFonts w:hint="eastAsia" w:ascii="宋体" w:hAnsi="宋体" w:cs="宋体"/>
                <w:bCs/>
                <w:snapToGrid w:val="0"/>
                <w:color w:val="auto"/>
                <w:szCs w:val="24"/>
                <w:highlight w:val="none"/>
                <w:lang w:val="en-US" w:eastAsia="zh-CN"/>
              </w:rPr>
              <w:t>期内设备只换不修得2分。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Merge w:val="continue"/>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rPr>
            </w:pPr>
          </w:p>
        </w:tc>
        <w:tc>
          <w:tcPr>
            <w:tcW w:w="3068" w:type="pct"/>
            <w:vAlign w:val="center"/>
          </w:tcPr>
          <w:p>
            <w:pPr>
              <w:keepNext w:val="0"/>
              <w:keepLines w:val="0"/>
              <w:suppressLineNumbers w:val="0"/>
              <w:spacing w:before="0" w:beforeAutospacing="0" w:after="0" w:afterAutospacing="0"/>
              <w:ind w:left="0" w:right="0"/>
              <w:rPr>
                <w:rFonts w:hint="default" w:ascii="宋体" w:hAnsi="宋体" w:cs="宋体"/>
                <w:bCs/>
                <w:snapToGrid w:val="0"/>
                <w:color w:val="auto"/>
                <w:szCs w:val="24"/>
                <w:highlight w:val="none"/>
                <w:lang w:val="en-US" w:eastAsia="zh-CN"/>
              </w:rPr>
            </w:pPr>
            <w:r>
              <w:rPr>
                <w:rFonts w:hint="eastAsia" w:ascii="宋体" w:hAnsi="宋体" w:cs="宋体"/>
                <w:bCs/>
                <w:snapToGrid w:val="0"/>
                <w:color w:val="auto"/>
                <w:szCs w:val="24"/>
                <w:highlight w:val="none"/>
                <w:lang w:val="en-US" w:eastAsia="zh-CN"/>
              </w:rPr>
              <w:t>免费提供一年不少于两次的设备巡检保证设备使用功能正常，免费提供定期现场检查服务，包括但不仅限于设备风冷风扇清理，设备辅材（包括不仅限于防尘棉）更换，检查周期由运营商和厂家根据实际需求协商，检查频率不低于每季度一次，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trPr>
        <w:tc>
          <w:tcPr>
            <w:tcW w:w="496"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511" w:type="pct"/>
            <w:vMerge w:val="continue"/>
            <w:vAlign w:val="center"/>
          </w:tcPr>
          <w:p>
            <w:pPr>
              <w:pStyle w:val="7"/>
              <w:keepNext w:val="0"/>
              <w:keepLines w:val="0"/>
              <w:suppressLineNumbers w:val="0"/>
              <w:adjustRightInd w:val="0"/>
              <w:snapToGrid w:val="0"/>
              <w:spacing w:before="0" w:beforeAutospacing="0" w:afterAutospacing="0"/>
              <w:ind w:left="0" w:right="0"/>
              <w:rPr>
                <w:rFonts w:hint="eastAsia" w:ascii="宋体" w:hAnsi="宋体" w:eastAsia="宋体" w:cs="宋体"/>
                <w:sz w:val="21"/>
                <w:szCs w:val="21"/>
                <w:highlight w:val="none"/>
              </w:rPr>
            </w:pPr>
          </w:p>
        </w:tc>
        <w:tc>
          <w:tcPr>
            <w:tcW w:w="924" w:type="pc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供货方案</w:t>
            </w:r>
          </w:p>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16  </w:t>
            </w:r>
            <w:r>
              <w:rPr>
                <w:rFonts w:hint="eastAsia" w:ascii="宋体" w:hAnsi="宋体" w:eastAsia="宋体" w:cs="宋体"/>
                <w:sz w:val="21"/>
                <w:szCs w:val="21"/>
                <w:highlight w:val="none"/>
              </w:rPr>
              <w:t>分）</w:t>
            </w:r>
          </w:p>
        </w:tc>
        <w:tc>
          <w:tcPr>
            <w:tcW w:w="3068" w:type="pct"/>
            <w:vAlign w:val="center"/>
          </w:tcPr>
          <w:p>
            <w:pPr>
              <w:pStyle w:val="7"/>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1、针对本项目设施设备的生产、供货计划具体、详细，可行性最优，针对性强得4-3分；一般得2-1分，较差得基础分1分。</w:t>
            </w:r>
          </w:p>
          <w:p>
            <w:pPr>
              <w:pStyle w:val="7"/>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2、针对本项目的设施设备质量保证措施、运输、装卸及安装的安全保证措施，具体、详细，可行性最优，针对性强得4-3分；一般得2-1分，较差得基础分1分。</w:t>
            </w:r>
          </w:p>
          <w:p>
            <w:pPr>
              <w:pStyle w:val="7"/>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3、针对本项目的设施设备使用的技术服务与培训方案具体、详细，可行性最优，针对性强得4-3分；一般得2-1分，较差得基础分1分。</w:t>
            </w:r>
          </w:p>
          <w:p>
            <w:pPr>
              <w:pStyle w:val="7"/>
              <w:keepNext w:val="0"/>
              <w:keepLines w:val="0"/>
              <w:numPr>
                <w:ilvl w:val="0"/>
                <w:numId w:val="0"/>
              </w:numPr>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4、针对本项目售后服务方案（包括备品备件、设备损坏维修及更换、应急处理、售后服务响应等内容）具体、详细，可行性最优，针对性强得4-3分；一般得2-1分，较差得基础分1分。</w:t>
            </w:r>
            <w:r>
              <w:rPr>
                <w:rFonts w:hint="eastAsia" w:ascii="宋体" w:hAnsi="宋体" w:eastAsia="宋体" w:cs="宋体"/>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8" w:hRule="atLeast"/>
        </w:trPr>
        <w:tc>
          <w:tcPr>
            <w:tcW w:w="496" w:type="pc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2.2.5</w:t>
            </w:r>
          </w:p>
        </w:tc>
        <w:tc>
          <w:tcPr>
            <w:tcW w:w="511" w:type="pc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报价文件</w:t>
            </w:r>
          </w:p>
        </w:tc>
        <w:tc>
          <w:tcPr>
            <w:tcW w:w="924" w:type="pct"/>
            <w:vAlign w:val="center"/>
          </w:tcPr>
          <w:p>
            <w:pPr>
              <w:pStyle w:val="7"/>
              <w:keepNext w:val="0"/>
              <w:keepLines w:val="0"/>
              <w:suppressLineNumbers w:val="0"/>
              <w:adjustRightInd w:val="0"/>
              <w:snapToGrid w:val="0"/>
              <w:spacing w:before="0" w:beforeAutospacing="0" w:afterAutospacing="0"/>
              <w:ind w:left="210" w:right="0" w:hanging="210" w:hanging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 xml:space="preserve">文件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分）</w:t>
            </w:r>
          </w:p>
        </w:tc>
        <w:tc>
          <w:tcPr>
            <w:tcW w:w="3068" w:type="pct"/>
            <w:vAlign w:val="center"/>
          </w:tcPr>
          <w:p>
            <w:pPr>
              <w:keepNext w:val="0"/>
              <w:keepLines w:val="0"/>
              <w:suppressLineNumbers w:val="0"/>
              <w:spacing w:before="0" w:beforeAutospacing="0" w:after="0" w:afterAutospacing="0" w:line="288"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pPr>
              <w:keepNext w:val="0"/>
              <w:keepLines w:val="0"/>
              <w:suppressLineNumbers w:val="0"/>
              <w:spacing w:before="0" w:beforeAutospacing="0" w:after="0" w:afterAutospacing="0" w:line="288"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－偏差率×100×E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 xml:space="preserve">； </w:t>
            </w:r>
          </w:p>
          <w:p>
            <w:pPr>
              <w:keepNext w:val="0"/>
              <w:keepLines w:val="0"/>
              <w:suppressLineNumbers w:val="0"/>
              <w:spacing w:before="0" w:beforeAutospacing="0" w:after="0" w:afterAutospacing="0" w:line="288"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＋偏差率×100×E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pPr>
              <w:keepNext w:val="0"/>
              <w:keepLines w:val="0"/>
              <w:suppressLineNumbers w:val="0"/>
              <w:spacing w:before="0" w:beforeAutospacing="0" w:after="0" w:afterAutospacing="0" w:line="288"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其中：E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0.6  </w:t>
            </w:r>
            <w:r>
              <w:rPr>
                <w:rFonts w:hint="eastAsia" w:ascii="宋体" w:hAnsi="宋体" w:eastAsia="宋体" w:cs="宋体"/>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single"/>
                <w:lang w:val="en-US" w:eastAsia="zh-CN"/>
              </w:rPr>
              <w:t xml:space="preserve">  0.3   </w:t>
            </w:r>
            <w:r>
              <w:rPr>
                <w:rFonts w:hint="eastAsia" w:ascii="宋体" w:hAnsi="宋体" w:eastAsia="宋体" w:cs="宋体"/>
                <w:sz w:val="21"/>
                <w:szCs w:val="21"/>
                <w:highlight w:val="none"/>
              </w:rPr>
              <w:t>。</w:t>
            </w:r>
          </w:p>
        </w:tc>
      </w:tr>
    </w:tbl>
    <w:p>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本次评审采用综合评分法。</w:t>
      </w:r>
      <w:r>
        <w:rPr>
          <w:rFonts w:hint="eastAsia" w:ascii="Times New Roman" w:hAnsi="Times New Roman" w:cs="Times New Roman"/>
          <w:highlight w:val="none"/>
        </w:rPr>
        <w:t>评审小组</w:t>
      </w:r>
      <w:r>
        <w:rPr>
          <w:rFonts w:ascii="Times New Roman" w:hAnsi="Times New Roman" w:cs="Times New Roman"/>
          <w:highlight w:val="none"/>
        </w:rPr>
        <w:t>对满足询比文件实质性要求的响应文件按照本章规定的评分标准进行打分，按照得分由高到低依次推荐成交候选人。如得分相同的，按照评审办法前附表中的规定确定成交候选人顺序。</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技术性能</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2.2.2 评审基准价计算</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评审基准价计算方法：见评审办法前附表。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2.2.3 评审价的偏差率计算</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评审价的偏差率计算公式：见评审办法前附表。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2.2.4评分标准：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技术性能</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评审办法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rPr>
        <w:t>综合</w:t>
      </w:r>
      <w:r>
        <w:rPr>
          <w:rFonts w:ascii="Times New Roman" w:hAnsi="Times New Roman" w:cs="Times New Roman"/>
          <w:highlight w:val="none"/>
        </w:rPr>
        <w:t>评分情况</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pPr>
        <w:spacing w:line="440" w:lineRule="exact"/>
        <w:ind w:firstLine="420"/>
        <w:rPr>
          <w:rFonts w:hint="default" w:ascii="Times New Roman" w:hAnsi="Times New Roman" w:cs="Times New Roman"/>
          <w:color w:val="auto"/>
          <w:highlight w:val="none"/>
          <w:lang w:val="en-US" w:eastAsia="zh-CN"/>
        </w:rPr>
      </w:pPr>
    </w:p>
    <w:p>
      <w:pPr>
        <w:pStyle w:val="7"/>
        <w:rPr>
          <w:rFonts w:hint="default"/>
          <w:highlight w:val="none"/>
        </w:rPr>
      </w:pPr>
    </w:p>
    <w:p>
      <w:pPr>
        <w:rPr>
          <w:rFonts w:hint="default"/>
          <w:highlight w:val="none"/>
        </w:rPr>
      </w:pPr>
    </w:p>
    <w:p>
      <w:pPr>
        <w:pStyle w:val="2"/>
        <w:numPr>
          <w:ilvl w:val="0"/>
          <w:numId w:val="0"/>
        </w:numPr>
        <w:spacing w:before="312" w:after="312"/>
        <w:ind w:leftChars="0"/>
        <w:jc w:val="center"/>
        <w:rPr>
          <w:rFonts w:ascii="Times New Roman" w:hAnsi="Times New Roman" w:eastAsia="宋体" w:cs="Times New Roman"/>
          <w:highlight w:val="none"/>
        </w:rPr>
      </w:pPr>
      <w:bookmarkStart w:id="414" w:name="_Toc15787"/>
      <w:r>
        <w:rPr>
          <w:rFonts w:hint="eastAsia" w:ascii="Times New Roman" w:hAnsi="Times New Roman" w:eastAsia="宋体" w:cs="Times New Roman"/>
          <w:highlight w:val="none"/>
          <w:lang w:val="en-US" w:eastAsia="zh-CN"/>
        </w:rPr>
        <w:t xml:space="preserve">第五章 </w:t>
      </w:r>
      <w:r>
        <w:rPr>
          <w:rFonts w:ascii="Times New Roman" w:hAnsi="Times New Roman" w:eastAsia="宋体" w:cs="Times New Roman"/>
          <w:highlight w:val="none"/>
        </w:rPr>
        <w:t>合同内容</w:t>
      </w:r>
      <w:bookmarkEnd w:id="414"/>
    </w:p>
    <w:p>
      <w:pPr>
        <w:rPr>
          <w:highlight w:val="none"/>
        </w:rPr>
      </w:pPr>
    </w:p>
    <w:p>
      <w:pPr>
        <w:pStyle w:val="2"/>
        <w:numPr>
          <w:ilvl w:val="255"/>
          <w:numId w:val="0"/>
        </w:numPr>
        <w:spacing w:before="312" w:after="312"/>
        <w:ind w:left="402"/>
        <w:outlineLvl w:val="9"/>
        <w:rPr>
          <w:rFonts w:hint="eastAsia" w:ascii="Times New Roman" w:hAnsi="Times New Roman" w:eastAsia="宋体" w:cs="Times New Roman"/>
          <w:highlight w:val="none"/>
        </w:rPr>
      </w:pPr>
    </w:p>
    <w:p>
      <w:pPr>
        <w:rPr>
          <w:rFonts w:hint="eastAsia" w:ascii="Times New Roman" w:hAnsi="Times New Roman" w:eastAsia="宋体" w:cs="Times New Roman"/>
          <w:highlight w:val="none"/>
        </w:rPr>
      </w:pPr>
    </w:p>
    <w:p>
      <w:pPr>
        <w:pStyle w:val="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pStyle w:val="27"/>
        <w:rPr>
          <w:rFonts w:hint="eastAsia" w:ascii="Times New Roman" w:hAnsi="Times New Roman" w:eastAsia="宋体" w:cs="Times New Roman"/>
          <w:highlight w:val="none"/>
        </w:rPr>
      </w:pPr>
    </w:p>
    <w:p>
      <w:pPr>
        <w:spacing w:beforeLines="0" w:afterLines="0" w:line="560" w:lineRule="exact"/>
        <w:jc w:val="center"/>
        <w:rPr>
          <w:rFonts w:hint="eastAsia" w:ascii="宋体" w:hAnsi="宋体" w:eastAsia="宋体" w:cs="宋体"/>
          <w:color w:val="auto"/>
          <w:sz w:val="44"/>
          <w:szCs w:val="44"/>
          <w:highlight w:val="none"/>
        </w:rPr>
      </w:pPr>
      <w:permStart w:id="0" w:edGrp="everyone"/>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采购合同</w:t>
      </w:r>
    </w:p>
    <w:permEnd w:id="0"/>
    <w:p>
      <w:pPr>
        <w:spacing w:beforeLines="0" w:afterLines="0" w:line="560" w:lineRule="exact"/>
        <w:ind w:left="588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甲方（采购方）：</w:t>
      </w:r>
      <w:permStart w:id="1"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pPr>
        <w:tabs>
          <w:tab w:val="left" w:pos="5370"/>
        </w:tabs>
        <w:spacing w:beforeLines="0" w:afterLines="0" w:line="560" w:lineRule="exact"/>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乙方（供应方）：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pPr>
        <w:widowControl/>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依据《中华人民共和国民法典》及有关规定，甲、乙双方经过友好协商，</w:t>
      </w:r>
      <w:permStart w:id="3" w:edGrp="everyone"/>
      <w:r>
        <w:rPr>
          <w:rFonts w:hint="eastAsia" w:ascii="仿宋_GB2312" w:hAnsi="仿宋_GB2312" w:eastAsia="仿宋_GB2312" w:cs="仿宋_GB2312"/>
          <w:color w:val="auto"/>
          <w:sz w:val="28"/>
          <w:szCs w:val="28"/>
          <w:highlight w:val="none"/>
        </w:rPr>
        <w:t>现就甲方向乙方购买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用于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项目有关事宜，达成如下一致条款，以资双方共同遵照执行：</w:t>
      </w:r>
    </w:p>
    <w:p>
      <w:pPr>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第一条  合同价款</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1.本合同总价人民币大写：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ermEnd w:id="3"/>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spacing w:beforeLines="0" w:afterLines="0" w:line="560" w:lineRule="exact"/>
        <w:ind w:firstLine="560" w:firstLineChars="200"/>
        <w:rPr>
          <w:rFonts w:hint="eastAsia" w:ascii="宋体" w:hAnsi="宋体" w:eastAsia="宋体" w:cs="宋体"/>
          <w:b/>
          <w:color w:val="auto"/>
          <w:sz w:val="22"/>
          <w:szCs w:val="22"/>
          <w:highlight w:val="none"/>
        </w:rPr>
      </w:pPr>
      <w:r>
        <w:rPr>
          <w:rFonts w:hint="eastAsia" w:ascii="黑体" w:hAnsi="黑体" w:eastAsia="黑体" w:cs="黑体"/>
          <w:color w:val="auto"/>
          <w:sz w:val="28"/>
          <w:szCs w:val="28"/>
          <w:highlight w:val="none"/>
        </w:rPr>
        <w:t>第二条  交货方式、时间及地点</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1.交货方式：乙方负责运送至甲方指定地点。</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2.交货地点：甲方指定地点，乙方负责运送至甲方指定现场，并按甲方指定地点卸货。货物在验收合格并交付给甲方前的毁损、灭失，损失由乙方全额承担。</w:t>
      </w:r>
    </w:p>
    <w:p>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sz w:val="28"/>
          <w:szCs w:val="28"/>
          <w:highlight w:val="none"/>
        </w:rPr>
        <w:t>乙方确</w:t>
      </w:r>
    </w:p>
    <w:p>
      <w:pPr>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认其有效联系人姓名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，电话为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，联系地址为：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ermEnd w:id="4"/>
      <w:r>
        <w:rPr>
          <w:rFonts w:hint="eastAsia" w:ascii="仿宋_GB2312" w:hAnsi="仿宋_GB2312" w:eastAsia="仿宋_GB2312" w:cs="仿宋_GB2312"/>
          <w:color w:val="auto"/>
          <w:sz w:val="28"/>
          <w:szCs w:val="28"/>
          <w:highlight w:val="none"/>
        </w:rPr>
        <w:t>甲方以上述任一方式发出的通知均为合法有效的通知。</w:t>
      </w:r>
    </w:p>
    <w:p>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  验收</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1.乙方按约将货物送至现场后，需将货物卸至甲方指定地点，并经甲方签收确认。甲方指定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（联系方式为：</w:t>
      </w:r>
      <w:r>
        <w:rPr>
          <w:rFonts w:hint="eastAsia" w:ascii="仿宋_GB2312" w:hAnsi="仿宋_GB2312" w:eastAsia="仿宋_GB2312" w:cs="仿宋_GB2312"/>
          <w:color w:val="auto"/>
          <w:sz w:val="28"/>
          <w:szCs w:val="28"/>
          <w:highlight w:val="none"/>
          <w:u w:val="single"/>
        </w:rPr>
        <w:t xml:space="preserve">           </w:t>
      </w:r>
      <w:permEnd w:id="5"/>
      <w:r>
        <w:rPr>
          <w:rFonts w:hint="eastAsia" w:ascii="仿宋_GB2312" w:hAnsi="仿宋_GB2312" w:eastAsia="仿宋_GB2312" w:cs="仿宋_GB2312"/>
          <w:color w:val="auto"/>
          <w:sz w:val="28"/>
          <w:szCs w:val="28"/>
          <w:highlight w:val="none"/>
        </w:rPr>
        <w:t>）为货物签收确认人，并由其指定现场人员对货物进行签收。如果现场签收人员发生变更，甲方会通知乙方重新指定。</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3.在乙方将货物送至现场后，甲方有权在现场车上或货物堆放在指定地点后按物品的特性及行业惯例进行验收。如甲方认为乙方送货的数量与送货单记载数量不符的，则可以随时抽检。</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日内，异议经核实乙方应无条件补足或换货。</w:t>
      </w:r>
    </w:p>
    <w:p>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 产品质量和包装</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本合同产品机器质量保证期（以下简称质保期）为交工验收合格后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5  </w:t>
      </w:r>
      <w:r>
        <w:rPr>
          <w:rFonts w:hint="eastAsia" w:ascii="仿宋_GB2312" w:hAnsi="仿宋_GB2312" w:eastAsia="仿宋_GB2312" w:cs="仿宋_GB2312"/>
          <w:color w:val="auto"/>
          <w:sz w:val="28"/>
          <w:szCs w:val="28"/>
          <w:highlight w:val="none"/>
          <w:lang w:val="en-US" w:eastAsia="zh-CN"/>
        </w:rPr>
        <w:t>年，枪线质量保证期为交工验收合格后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none"/>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2.质保期满后，若有零部件或货物出现故障，经鉴定属于寿命异常问题（明显短于该零部件或货物正常寿命）时，则由乙方负责免费更换维修。质保期满后，乙方以优惠价格向甲方提供所需的零配件或货物。</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3.乙方必须提供合同标的中所有产品的合格证、产品说明书、检测报告、第三方检测报告（如有）、随机附件、工具（如有），货到现场后交给现场的收货人员。</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4.合同标的中若有进口产品，则乙方必须提供原产地证明、单机产品序列号、原生产厂商质量保证书、报关单等证明材料。</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5.产品包装应符合国家标准。乙方应承担由于其包装或其防护措施不妥而引起货物锈蚀、损坏和丢失等任何损失的责任或费用。产品在卸货后剥离包装物同时负责回收或送到包装清理指定地点。</w:t>
      </w:r>
    </w:p>
    <w:p>
      <w:pPr>
        <w:wordWrap w:val="0"/>
        <w:spacing w:beforeLines="0" w:afterLines="0" w:line="560" w:lineRule="exact"/>
        <w:ind w:firstLine="560" w:firstLineChars="200"/>
        <w:rPr>
          <w:rFonts w:hint="eastAsia" w:ascii="仿宋_GB2312" w:hAnsi="仿宋_GB2312" w:eastAsia="黑体" w:cs="仿宋_GB2312"/>
          <w:color w:val="auto"/>
          <w:sz w:val="28"/>
          <w:szCs w:val="28"/>
          <w:highlight w:val="none"/>
        </w:rPr>
      </w:pPr>
      <w:permStart w:id="6" w:edGrp="everyone"/>
      <w:r>
        <w:rPr>
          <w:rFonts w:hint="eastAsia" w:ascii="黑体" w:hAnsi="黑体" w:eastAsia="黑体" w:cs="黑体"/>
          <w:color w:val="auto"/>
          <w:sz w:val="28"/>
          <w:szCs w:val="28"/>
          <w:highlight w:val="none"/>
        </w:rPr>
        <w:t>第五条  价款结算及付款方式</w:t>
      </w:r>
    </w:p>
    <w:p>
      <w:pPr>
        <w:wordWrap w:val="0"/>
        <w:spacing w:beforeLines="0" w:afterLines="0"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1.合同签订后支付合同额的30%作为预付款，供货结束经验收合格付至合同额的97%，剩余3%作为质保金在2年缺陷责任期后无息退还（或提供质保金保函）。</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ermEnd w:id="6"/>
    <w:p>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第六条  违约责任</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3.乙方违反合同约定的其他自身义务时，给甲方造成损失的，甲方均有权解除合同，并有权要求乙方按上述第1、2项规定承担赔偿责任，支付违约金。</w:t>
      </w:r>
    </w:p>
    <w:p>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4.对于乙方因违反本合同约定需支付的违约金，甲方有权在应付货款中直接予以扣除。 </w:t>
      </w:r>
    </w:p>
    <w:p>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第七条  其他约定</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1.乙方送货车辆到甲方现场后，在行驶和卸货过程中，乙方驾驶人员应自行察看周围地形，乙方车辆在甲方现场若出现事故产生损失或造成对第三人侵权等其他情形，一切损失和责任均由乙方自行承担。</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2.乙方必须服从甲方指定项目部的全面协调管理工作，乙方在装卸中，严格遵守执行安全操作规范、防火规定、工艺规范等规范规定以及质量标准。</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第八条  争议解决方式</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在履行合同期间发生纠份，先由双方协商解决，协商不成，双方约定向甲方所在地人民法院提起诉讼。</w:t>
      </w:r>
    </w:p>
    <w:p>
      <w:pPr>
        <w:wordWrap w:val="0"/>
        <w:spacing w:beforeLines="0" w:afterLines="0" w:line="5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第九条</w:t>
      </w:r>
    </w:p>
    <w:p>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1.本合同未尽事宜，由双方另行协商解决并签订补充协议。</w:t>
      </w:r>
    </w:p>
    <w:p>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2.本合同自甲乙双方签字盖章之日起生效。</w:t>
      </w:r>
    </w:p>
    <w:p>
      <w:pPr>
        <w:pStyle w:val="7"/>
        <w:spacing w:beforeLines="0" w:after="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 xml:space="preserve"> 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pPr>
        <w:spacing w:beforeLines="0" w:afterLines="0"/>
        <w:rPr>
          <w:rFonts w:hint="eastAsia"/>
          <w:sz w:val="21"/>
          <w:szCs w:val="22"/>
          <w:highlight w:val="none"/>
        </w:rPr>
      </w:pP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附件：1.廉政合同</w:t>
      </w:r>
    </w:p>
    <w:p>
      <w:pPr>
        <w:pStyle w:val="19"/>
        <w:spacing w:beforeLines="0" w:afterLines="0" w:line="560" w:lineRule="exact"/>
        <w:ind w:left="0" w:firstLine="1400" w:firstLineChars="500"/>
        <w:rPr>
          <w:rFonts w:hint="eastAsia"/>
          <w:color w:val="auto"/>
          <w:sz w:val="21"/>
          <w:szCs w:val="20"/>
          <w:highlight w:val="none"/>
        </w:rPr>
      </w:pPr>
      <w:r>
        <w:rPr>
          <w:rFonts w:hint="eastAsia" w:ascii="仿宋_GB2312" w:hAnsi="仿宋_GB2312" w:eastAsia="仿宋_GB2312" w:cs="仿宋_GB2312"/>
          <w:color w:val="auto"/>
          <w:sz w:val="28"/>
          <w:szCs w:val="28"/>
          <w:highlight w:val="none"/>
        </w:rPr>
        <w:t>2.安全生产合同</w:t>
      </w:r>
    </w:p>
    <w:p>
      <w:pPr>
        <w:pStyle w:val="19"/>
        <w:spacing w:beforeLines="0" w:afterLines="0" w:line="560" w:lineRule="exact"/>
        <w:ind w:left="0" w:firstLine="1400" w:firstLineChars="5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3.报价清单</w:t>
      </w:r>
    </w:p>
    <w:p>
      <w:pPr>
        <w:spacing w:beforeLines="0" w:afterLines="0" w:line="560" w:lineRule="exact"/>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（以下无正文）</w:t>
      </w:r>
    </w:p>
    <w:p>
      <w:pPr>
        <w:spacing w:beforeLines="0" w:afterLines="0"/>
        <w:rPr>
          <w:rFonts w:hint="eastAsia"/>
          <w:sz w:val="21"/>
          <w:szCs w:val="22"/>
          <w:highlight w:val="none"/>
        </w:rPr>
      </w:pPr>
    </w:p>
    <w:p>
      <w:pPr>
        <w:spacing w:beforeLines="0" w:afterLines="0"/>
        <w:rPr>
          <w:rFonts w:hint="eastAsia"/>
          <w:sz w:val="21"/>
          <w:szCs w:val="22"/>
          <w:highlight w:val="none"/>
        </w:rPr>
      </w:pPr>
    </w:p>
    <w:p>
      <w:pPr>
        <w:spacing w:beforeLines="0" w:afterLines="0"/>
        <w:rPr>
          <w:rFonts w:hint="eastAsia"/>
          <w:sz w:val="21"/>
          <w:szCs w:val="22"/>
          <w:highlight w:val="none"/>
        </w:rPr>
      </w:pPr>
    </w:p>
    <w:p>
      <w:pPr>
        <w:spacing w:beforeLines="0" w:afterLines="0"/>
        <w:rPr>
          <w:rFonts w:hint="eastAsia"/>
          <w:sz w:val="21"/>
          <w:szCs w:val="22"/>
          <w:highlight w:val="none"/>
        </w:rPr>
      </w:pPr>
    </w:p>
    <w:p>
      <w:pPr>
        <w:spacing w:beforeLines="0" w:afterLines="0"/>
        <w:rPr>
          <w:rFonts w:hint="eastAsia"/>
          <w:sz w:val="21"/>
          <w:szCs w:val="22"/>
          <w:highlight w:val="none"/>
        </w:rPr>
      </w:pPr>
    </w:p>
    <w:p>
      <w:pPr>
        <w:spacing w:beforeLines="0" w:afterLines="0"/>
        <w:rPr>
          <w:rFonts w:hint="eastAsia"/>
          <w:sz w:val="21"/>
          <w:szCs w:val="22"/>
          <w:highlight w:val="none"/>
        </w:rPr>
      </w:pPr>
    </w:p>
    <w:p>
      <w:pPr>
        <w:spacing w:beforeLines="0" w:afterLines="0"/>
        <w:rPr>
          <w:rFonts w:hint="eastAsia"/>
          <w:sz w:val="21"/>
          <w:szCs w:val="22"/>
          <w:highlight w:val="none"/>
        </w:rPr>
      </w:pPr>
    </w:p>
    <w:p>
      <w:pPr>
        <w:wordWrap w:val="0"/>
        <w:spacing w:beforeLines="0" w:afterLines="0" w:line="560" w:lineRule="exact"/>
        <w:rPr>
          <w:rFonts w:hint="eastAsia"/>
          <w:color w:val="auto"/>
          <w:sz w:val="21"/>
          <w:szCs w:val="22"/>
          <w:highlight w:val="none"/>
        </w:rPr>
      </w:pPr>
      <w:permStart w:id="7" w:edGrp="everyone"/>
      <w:r>
        <w:rPr>
          <w:rFonts w:hint="eastAsia" w:ascii="仿宋_GB2312" w:hAnsi="仿宋_GB2312" w:eastAsia="仿宋_GB2312" w:cs="仿宋_GB2312"/>
          <w:color w:val="auto"/>
          <w:sz w:val="28"/>
          <w:szCs w:val="28"/>
          <w:highlight w:val="none"/>
        </w:rPr>
        <w:t xml:space="preserve">甲方：安徽省经工物资有限公司       乙方：  </w:t>
      </w:r>
    </w:p>
    <w:p>
      <w:pPr>
        <w:wordWrap w:val="0"/>
        <w:spacing w:beforeLines="0" w:afterLines="0" w:line="560" w:lineRule="exact"/>
        <w:ind w:firstLine="2800" w:firstLineChars="10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（盖章）                          （盖章）</w:t>
      </w:r>
    </w:p>
    <w:p>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法定代表人或</w:t>
      </w:r>
    </w:p>
    <w:p>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纳税识别号：91340100MA2MY6GA6E     纳税识别号:</w:t>
      </w:r>
    </w:p>
    <w:p>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地址：安徽省合肥市蜀山区甘泉路     地址：</w:t>
      </w:r>
    </w:p>
    <w:p>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398号                               </w:t>
      </w:r>
    </w:p>
    <w:p>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开户银行：工行合肥蜀山支行       开户银行：</w:t>
      </w:r>
    </w:p>
    <w:p>
      <w:pPr>
        <w:wordWrap w:val="0"/>
        <w:spacing w:beforeLines="0" w:afterLines="0"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账号：1302012119200034038          账号：</w:t>
      </w:r>
    </w:p>
    <w:p>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pStyle w:val="7"/>
        <w:spacing w:beforeLines="0" w:afterLines="0" w:line="560" w:lineRule="exact"/>
        <w:ind w:firstLine="420" w:firstLineChars="200"/>
        <w:rPr>
          <w:rFonts w:hint="eastAsia"/>
          <w:color w:val="auto"/>
          <w:sz w:val="21"/>
          <w:szCs w:val="22"/>
          <w:highlight w:val="none"/>
        </w:rPr>
        <w:sectPr>
          <w:headerReference r:id="rId6" w:type="default"/>
          <w:footerReference r:id="rId7" w:type="default"/>
          <w:footnotePr>
            <w:numFmt w:val="decimalEnclosedCircleChinese"/>
          </w:footnotePr>
          <w:pgSz w:w="11906" w:h="16838"/>
          <w:pgMar w:top="1723" w:right="1800" w:bottom="2120" w:left="1800" w:header="851" w:footer="992" w:gutter="0"/>
          <w:lnNumType w:countBy="0" w:distance="360"/>
          <w:pgNumType w:fmt="decimal" w:start="1"/>
          <w:cols w:space="720" w:num="1"/>
          <w:docGrid w:type="lines" w:linePitch="312" w:charSpace="0"/>
        </w:sectPr>
      </w:pPr>
    </w:p>
    <w:permEnd w:id="7"/>
    <w:p>
      <w:pPr>
        <w:numPr>
          <w:ilvl w:val="0"/>
          <w:numId w:val="0"/>
        </w:numPr>
        <w:spacing w:beforeLines="0" w:afterLines="0"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附件一：</w:t>
      </w:r>
    </w:p>
    <w:p>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廉 政 合 同</w:t>
      </w:r>
    </w:p>
    <w:p>
      <w:pPr>
        <w:pStyle w:val="7"/>
        <w:spacing w:beforeLines="0" w:afterLines="0" w:line="560" w:lineRule="exact"/>
        <w:ind w:firstLine="422" w:firstLineChars="200"/>
        <w:rPr>
          <w:rFonts w:hint="eastAsia"/>
          <w:b/>
          <w:color w:val="auto"/>
          <w:sz w:val="21"/>
          <w:szCs w:val="22"/>
          <w:highlight w:val="none"/>
        </w:rPr>
      </w:pPr>
    </w:p>
    <w:p>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为抓好物资设备等采购供应中的党风廉政建设，规范、约束采供双方行为，确保双方工作人员廉洁从业， </w:t>
      </w:r>
      <w:permStart w:id="8"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ermEnd w:id="8"/>
      <w:r>
        <w:rPr>
          <w:rFonts w:hint="eastAsia" w:ascii="仿宋_GB2312" w:hAnsi="仿宋_GB2312" w:eastAsia="仿宋_GB2312" w:cs="仿宋_GB2312"/>
          <w:color w:val="auto"/>
          <w:sz w:val="28"/>
          <w:szCs w:val="28"/>
          <w:highlight w:val="none"/>
        </w:rPr>
        <w:t>项目名称）的采购人</w:t>
      </w:r>
      <w:permStart w:id="9" w:edGrp="everyone"/>
      <w:r>
        <w:rPr>
          <w:rFonts w:hint="eastAsia" w:ascii="仿宋_GB2312" w:hAnsi="仿宋_GB2312" w:eastAsia="仿宋_GB2312" w:cs="仿宋_GB2312"/>
          <w:color w:val="auto"/>
          <w:sz w:val="28"/>
          <w:szCs w:val="28"/>
          <w:highlight w:val="none"/>
          <w:u w:val="single"/>
        </w:rPr>
        <w:t xml:space="preserve"> 安徽省经工物资有限公司  </w:t>
      </w:r>
      <w:permEnd w:id="9"/>
      <w:r>
        <w:rPr>
          <w:rFonts w:hint="eastAsia" w:ascii="仿宋_GB2312" w:hAnsi="仿宋_GB2312" w:eastAsia="仿宋_GB2312" w:cs="仿宋_GB2312"/>
          <w:color w:val="auto"/>
          <w:sz w:val="28"/>
          <w:szCs w:val="28"/>
          <w:highlight w:val="none"/>
        </w:rPr>
        <w:t>（采购人名称，以下简称甲方）与该项目的供货商</w:t>
      </w:r>
      <w:permStart w:id="10" w:edGrp="everyone"/>
      <w:r>
        <w:rPr>
          <w:rFonts w:hint="eastAsia" w:ascii="仿宋_GB2312" w:hAnsi="仿宋_GB2312" w:eastAsia="仿宋_GB2312" w:cs="仿宋_GB2312"/>
          <w:color w:val="auto"/>
          <w:sz w:val="28"/>
          <w:szCs w:val="28"/>
          <w:highlight w:val="none"/>
          <w:u w:val="single"/>
        </w:rPr>
        <w:t xml:space="preserve">               </w:t>
      </w:r>
      <w:permEnd w:id="10"/>
      <w:r>
        <w:rPr>
          <w:rFonts w:hint="eastAsia" w:ascii="仿宋_GB2312" w:hAnsi="仿宋_GB2312" w:eastAsia="仿宋_GB2312" w:cs="仿宋_GB2312"/>
          <w:color w:val="auto"/>
          <w:sz w:val="28"/>
          <w:szCs w:val="28"/>
          <w:highlight w:val="none"/>
        </w:rPr>
        <w:t>（供货商名称，以下简称乙方），特订立如下合同。</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1.甲乙双方的权利和义务</w:t>
      </w:r>
    </w:p>
    <w:p>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（1）严格遵守党的政策和国家有关法律法规的有关规定。</w:t>
      </w:r>
    </w:p>
    <w:p>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（2）严格执行</w:t>
      </w:r>
      <w:permStart w:id="11" w:edGrp="everyone"/>
      <w:r>
        <w:rPr>
          <w:rFonts w:hint="eastAsia" w:ascii="仿宋_GB2312" w:hAnsi="仿宋_GB2312" w:eastAsia="仿宋_GB2312" w:cs="仿宋_GB2312"/>
          <w:color w:val="auto"/>
          <w:sz w:val="28"/>
          <w:szCs w:val="28"/>
          <w:highlight w:val="none"/>
          <w:u w:val="single"/>
        </w:rPr>
        <w:t xml:space="preserve">                             </w:t>
      </w:r>
      <w:permEnd w:id="11"/>
      <w:r>
        <w:rPr>
          <w:rFonts w:hint="eastAsia" w:ascii="仿宋_GB2312" w:hAnsi="仿宋_GB2312" w:eastAsia="仿宋_GB2312" w:cs="仿宋_GB2312"/>
          <w:color w:val="auto"/>
          <w:sz w:val="28"/>
          <w:szCs w:val="28"/>
          <w:highlight w:val="none"/>
        </w:rPr>
        <w:t>（合同文件名称）合同文件，自觉按合同办事。</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（3）双方的业务活动坚持公开、公正、诚信、透明的原则（法律认定的商业秘密和合同文件另有规定除外），不得损害国家和集体利益。</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（4）建立健全廉政制度，开展廉政教育和廉洁文化建设，公布举报电话，监督并认真查处违规违纪违法行为。</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（5）发现对方在业务活动中有违反廉政规定的行为，有及时提醒对方纠正的权利和义务。</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（6）发现对方严重违反本合同义务条款的行为，有向有关部门举报、建议给予处理并要求告知处理结果的权利。</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2.甲方的义务</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（1）甲方及其工作人员不得利用职务之便索要或接受乙方的礼品、礼金、消费卡和有价证券、股权、其他金融产品等财物。</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（2）甲方及其工作人员不得在利用职务之便为乙方谋取利益之前或之后，约定在其离职后收受乙方财物，并在离职后收受。</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（3）甲方及其工作人员不得在乙方报销应由甲方或个人支付的费用等。</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（4）甲方及其工作人员不得要求或者接受乙方可能影响公正执行公务的宴请以及旅游、健身、娱乐等活动安排，不得要求和接受乙方提供的交通工具、通讯工具、高档办公用品等。</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（6）甲方及其工作人员不得要求乙方购买合同规定外的材料和设备。    </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（7）甲方及其工作人员不得有其他可能影响廉洁从业的行为。</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3.乙方的义务</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（1）乙方及其工作人员不得以任何形式向甲方及其工作人员行贿或馈赠礼品、礼金、消费卡和有价证券、股权、其他金融产品等财物，以及回扣、好处费、感谢费等。</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（2）乙方及其工作人员不得与甲方及其工作人员约定，甲方及其工作人员利用职务之便为乙方谋取利益，乙方在其离职后给予财物。</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（3）乙方不得以任何名义为甲方及其工作人员报销由甲方单位或个人支付的任何费用。</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（4）乙方及其工作人员不得以任何理由邀请甲方工作人员参与可能影响公正执行公务的宴请以及旅游、健身、娱乐等活动。不得为甲方单位和个人购置或提供通讯工具、交通工具和高档办公用品等。</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（5）乙方及其工作人员不得为甲方工作人员住房装修、婚丧嫁娶、出国出境、旅游等提供方便；不得为甲方工作人员的特定关系人以安排工作为名，使其不实际工作却获取薪酬。</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（6）乙方及其工作人员不得有其他可能影响廉洁从业的行为。</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4.违约责任</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（1）甲方及其工作人员违反本合同第1、2条，按管理权限，依据有关规定给予党纪政务处分和组织处理；涉嫌犯罪的，移交司法机关追究刑事责任；给乙方单位造成经济损失的，应予以赔偿。</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（2）乙方及其工作人员违反本合同第1、3条，按管理权限，依据有关规定，给予相关处理；给甲方单位造成经济损失的，应予以赔偿。</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5.本合同有效期为甲乙双方签署之日起至该供货合同履行完毕后止。</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6.本合同作为</w:t>
      </w:r>
      <w:permStart w:id="12" w:edGrp="everyone"/>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rPr>
        <w:t>（合同文件名称）的附件，与采购合同具有同等的法律效力，经合同双方签署立即生效。</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7.本合同一式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                  乙方（盖章）：</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                     法定代表或</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授权委托人（签字）：             授权委托人（签字）：</w:t>
      </w:r>
    </w:p>
    <w:p>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pPr>
        <w:spacing w:beforeLines="0" w:afterLines="0" w:line="560" w:lineRule="exact"/>
        <w:ind w:firstLine="562" w:firstLineChars="200"/>
        <w:rPr>
          <w:rFonts w:hint="eastAsia" w:ascii="仿宋_GB2312" w:hAnsi="仿宋_GB2312" w:eastAsia="仿宋_GB2312" w:cs="仿宋_GB2312"/>
          <w:b/>
          <w:color w:val="auto"/>
          <w:sz w:val="28"/>
          <w:szCs w:val="28"/>
          <w:highlight w:val="none"/>
        </w:rPr>
      </w:pPr>
    </w:p>
    <w:p>
      <w:pPr>
        <w:spacing w:beforeLines="0" w:afterLines="0" w:line="560" w:lineRule="exact"/>
        <w:ind w:firstLine="562" w:firstLineChars="200"/>
        <w:rPr>
          <w:rFonts w:hint="eastAsia" w:ascii="仿宋_GB2312" w:hAnsi="仿宋_GB2312" w:eastAsia="仿宋_GB2312" w:cs="仿宋_GB2312"/>
          <w:b/>
          <w:color w:val="auto"/>
          <w:sz w:val="28"/>
          <w:szCs w:val="28"/>
          <w:highlight w:val="none"/>
        </w:rPr>
      </w:pPr>
    </w:p>
    <w:p>
      <w:pPr>
        <w:spacing w:beforeLines="0" w:afterLines="0" w:line="560" w:lineRule="exact"/>
        <w:ind w:firstLine="562" w:firstLineChars="200"/>
        <w:rPr>
          <w:rFonts w:hint="eastAsia" w:ascii="仿宋_GB2312" w:hAnsi="仿宋_GB2312" w:eastAsia="仿宋_GB2312" w:cs="仿宋_GB2312"/>
          <w:b/>
          <w:color w:val="auto"/>
          <w:sz w:val="28"/>
          <w:szCs w:val="28"/>
          <w:highlight w:val="none"/>
        </w:rPr>
      </w:pPr>
    </w:p>
    <w:p>
      <w:pPr>
        <w:spacing w:beforeLines="0" w:afterLines="0"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pPr>
        <w:pStyle w:val="7"/>
        <w:spacing w:beforeLines="0" w:afterLines="0" w:line="560" w:lineRule="exact"/>
        <w:ind w:firstLine="420" w:firstLineChars="200"/>
        <w:rPr>
          <w:rFonts w:hint="eastAsia"/>
          <w:color w:val="auto"/>
          <w:sz w:val="21"/>
          <w:szCs w:val="22"/>
          <w:highlight w:val="none"/>
        </w:rPr>
      </w:pP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3" w:edGrp="everyone"/>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ermEnd w:id="13"/>
      <w:r>
        <w:rPr>
          <w:rFonts w:hint="eastAsia" w:ascii="仿宋_GB2312" w:hAnsi="仿宋_GB2312" w:eastAsia="仿宋_GB2312" w:cs="仿宋_GB2312"/>
          <w:color w:val="auto"/>
          <w:sz w:val="28"/>
          <w:szCs w:val="28"/>
          <w:highlight w:val="none"/>
        </w:rPr>
        <w:t xml:space="preserve">项目名称）的实施过程中创造安全、高效的施工环境，切实搞好本项目的安全管理工作，本项目采购人 </w:t>
      </w:r>
      <w:permStart w:id="14" w:edGrp="everyone"/>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安徽省经工物资有限公司    </w:t>
      </w:r>
      <w:permEnd w:id="14"/>
      <w:r>
        <w:rPr>
          <w:rFonts w:hint="eastAsia" w:ascii="仿宋_GB2312" w:hAnsi="仿宋_GB2312" w:eastAsia="仿宋_GB2312" w:cs="仿宋_GB2312"/>
          <w:color w:val="auto"/>
          <w:sz w:val="28"/>
          <w:szCs w:val="28"/>
          <w:highlight w:val="none"/>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rPr>
        <w:t xml:space="preserve">              </w:t>
      </w:r>
      <w:permEnd w:id="15"/>
      <w:r>
        <w:rPr>
          <w:rFonts w:hint="eastAsia" w:ascii="仿宋_GB2312" w:hAnsi="仿宋_GB2312" w:eastAsia="仿宋_GB2312" w:cs="仿宋_GB2312"/>
          <w:color w:val="auto"/>
          <w:sz w:val="28"/>
          <w:szCs w:val="28"/>
          <w:highlight w:val="none"/>
        </w:rPr>
        <w:t>（供货商名称，以下简称乙方）特此签订此安全生产合同：</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防止和减少安全事故，保障人民群众生命和财产安全，有效促进双方全面履行经营合同，维护双方的合法权益，依据《中华人民共和国民法典》、《中华人民共和道路交通安全法》、《中华人民共和国安全生产法》、《中华人民共和国环境保护法》等相关安全法律、行政法规和规章，在平等、自愿、公平和诚实信用的原则下，双方就材料供应、运输安全事项协商一致，双方达成如下协议：</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三、在甲方运输区域，乙方运输车辆必须服从甲方的统一管理、调度和指挥，严格遵守交通规则，保证道路的畅通和运输安全，不得乱停、乱靠、乱装、乱卸，不得争道抢行，不得超速超载。</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四、乙方对提供的运输车辆应当已取得国家道路运输的许可证，并确保车辆性能符合安全技术标准、防止带病上路运行，已依照国家法律政策规定购齐有关车辆保险。</w:t>
      </w:r>
    </w:p>
    <w:p>
      <w:pPr>
        <w:pStyle w:val="7"/>
        <w:spacing w:beforeLines="0" w:afterLines="0"/>
        <w:rPr>
          <w:rFonts w:hint="eastAsia"/>
          <w:sz w:val="21"/>
          <w:szCs w:val="22"/>
          <w:highlight w:val="none"/>
        </w:rPr>
      </w:pP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五、乙方应当设立安全管理人员，配备有专业知识、技能的人员并明确责任，建立、健全安全规章制度，为其雇佣的从业人员提供安全法规知识、安全规章制度、安全操作规程和安全操作技能教育和培训。</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六、乙方应确保货物在卸载过程中，装卸工有安全防护措施，发现不安全因素，及时处理。在甲方区域，禁止出现无证操作、无证驾驶现象。</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八、乙方在履行合同过程中，必须确保货物运输及供应安全，如发生各类人身、财产事故，造成的一切损失均由乙方负责承担，甲方概不负责。</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九、争议的解决 </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本合同在履行中如发生争议，双方应及时协商解决。协商不成的，任何一方均有权将合同争议事项向甲方公司注册所在地人民法院提起诉讼，通过法定程序解决。</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十、本协议一式</w:t>
      </w:r>
      <w:r>
        <w:rPr>
          <w:rFonts w:hint="eastAsia" w:ascii="仿宋_GB2312" w:hAnsi="仿宋_GB2312" w:eastAsia="仿宋_GB2312" w:cs="仿宋_GB2312"/>
          <w:color w:val="auto"/>
          <w:sz w:val="28"/>
          <w:szCs w:val="28"/>
          <w:highlight w:val="none"/>
          <w:u w:val="single"/>
        </w:rPr>
        <w:t xml:space="preserve">  叁 </w:t>
      </w:r>
      <w:r>
        <w:rPr>
          <w:rFonts w:hint="eastAsia" w:ascii="仿宋_GB2312" w:hAnsi="仿宋_GB2312" w:eastAsia="仿宋_GB2312" w:cs="仿宋_GB2312"/>
          <w:color w:val="auto"/>
          <w:sz w:val="28"/>
          <w:szCs w:val="28"/>
          <w:highlight w:val="none"/>
        </w:rPr>
        <w:t xml:space="preserve">份，甲方执 </w:t>
      </w:r>
      <w:r>
        <w:rPr>
          <w:rFonts w:hint="eastAsia" w:ascii="仿宋_GB2312" w:hAnsi="仿宋_GB2312" w:eastAsia="仿宋_GB2312" w:cs="仿宋_GB2312"/>
          <w:color w:val="auto"/>
          <w:sz w:val="28"/>
          <w:szCs w:val="28"/>
          <w:highlight w:val="none"/>
          <w:u w:val="single"/>
        </w:rPr>
        <w:t xml:space="preserve">  贰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份。</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甲方（盖章）：                  乙方（盖章）：</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                      法定代表人</w:t>
      </w:r>
    </w:p>
    <w:p>
      <w:pPr>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或授权委托人（签字）：          或授权委托人（签字）：</w:t>
      </w:r>
    </w:p>
    <w:p>
      <w:pPr>
        <w:spacing w:beforeLines="0" w:afterLines="0" w:line="560" w:lineRule="exact"/>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pPr>
        <w:spacing w:beforeLines="0" w:afterLines="0" w:line="560" w:lineRule="exact"/>
        <w:ind w:firstLine="562" w:firstLineChars="200"/>
        <w:rPr>
          <w:rFonts w:hint="eastAsia" w:ascii="仿宋_GB2312" w:hAnsi="仿宋_GB2312" w:eastAsia="仿宋_GB2312" w:cs="仿宋_GB2312"/>
          <w:b/>
          <w:color w:val="auto"/>
          <w:sz w:val="28"/>
          <w:szCs w:val="28"/>
          <w:highlight w:val="none"/>
        </w:rPr>
      </w:pPr>
      <w:permStart w:id="16" w:edGrp="everyone"/>
      <w:r>
        <w:rPr>
          <w:rFonts w:hint="eastAsia" w:ascii="仿宋_GB2312" w:hAnsi="仿宋_GB2312" w:eastAsia="仿宋_GB2312" w:cs="仿宋_GB2312"/>
          <w:b/>
          <w:color w:val="auto"/>
          <w:sz w:val="28"/>
          <w:szCs w:val="28"/>
          <w:highlight w:val="none"/>
        </w:rPr>
        <w:t>附件三：</w:t>
      </w:r>
    </w:p>
    <w:p>
      <w:pPr>
        <w:pStyle w:val="19"/>
        <w:spacing w:beforeLines="0" w:afterLines="0" w:line="560" w:lineRule="exact"/>
        <w:ind w:left="0" w:firstLine="883"/>
        <w:jc w:val="center"/>
        <w:rPr>
          <w:rFonts w:hint="eastAsia" w:eastAsia="等线"/>
          <w:color w:val="auto"/>
          <w:sz w:val="21"/>
          <w:szCs w:val="20"/>
          <w:highlight w:val="none"/>
        </w:rPr>
      </w:pPr>
      <w:r>
        <w:rPr>
          <w:rFonts w:hint="eastAsia" w:ascii="方正小标宋简体" w:hAnsi="方正小标宋简体" w:eastAsia="方正小标宋简体" w:cs="方正小标宋简体"/>
          <w:b/>
          <w:color w:val="auto"/>
          <w:sz w:val="44"/>
          <w:szCs w:val="44"/>
          <w:highlight w:val="none"/>
        </w:rPr>
        <w:t>报价清单</w:t>
      </w: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
      <w:pPr>
        <w:spacing w:beforeLines="0" w:afterLines="0"/>
        <w:rPr>
          <w:rFonts w:hint="eastAsia"/>
          <w:color w:val="auto"/>
          <w:sz w:val="21"/>
          <w:szCs w:val="22"/>
          <w:highlight w:val="none"/>
        </w:rPr>
      </w:pPr>
    </w:p>
    <w:permEnd w:id="16"/>
    <w:p>
      <w:pPr>
        <w:rPr>
          <w:highlight w:val="none"/>
        </w:rPr>
      </w:pPr>
    </w:p>
    <w:p>
      <w:pPr>
        <w:rPr>
          <w:highlight w:val="none"/>
        </w:rPr>
      </w:pPr>
    </w:p>
    <w:p>
      <w:pPr>
        <w:rPr>
          <w:highlight w:val="none"/>
        </w:rPr>
      </w:pPr>
    </w:p>
    <w:p>
      <w:pPr>
        <w:pStyle w:val="7"/>
        <w:rPr>
          <w:highlight w:val="none"/>
        </w:rPr>
      </w:pPr>
    </w:p>
    <w:p>
      <w:pPr>
        <w:pStyle w:val="2"/>
        <w:numPr>
          <w:ilvl w:val="255"/>
          <w:numId w:val="0"/>
        </w:numPr>
        <w:spacing w:before="312" w:after="312"/>
        <w:ind w:left="402"/>
        <w:rPr>
          <w:rFonts w:hint="eastAsia" w:ascii="Times New Roman" w:hAnsi="Times New Roman" w:eastAsia="宋体" w:cs="Times New Roman"/>
          <w:highlight w:val="none"/>
        </w:rPr>
      </w:pPr>
      <w:bookmarkStart w:id="415" w:name="_Toc26968"/>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bookmarkEnd w:id="415"/>
    </w:p>
    <w:p>
      <w:pPr>
        <w:jc w:val="left"/>
        <w:rPr>
          <w:rFonts w:ascii="Times New Roman" w:hAnsi="Times New Roman" w:eastAsia="宋体" w:cs="Times New Roman"/>
          <w:highlight w:val="none"/>
        </w:rPr>
      </w:pPr>
      <w:r>
        <w:rPr>
          <w:rFonts w:ascii="Times New Roman" w:hAnsi="Times New Roman" w:eastAsia="宋体" w:cs="Times New Roman"/>
          <w:highlight w:val="none"/>
        </w:rPr>
        <w:br w:type="page"/>
      </w:r>
    </w:p>
    <w:p>
      <w:pPr>
        <w:spacing w:line="440" w:lineRule="exact"/>
        <w:jc w:val="center"/>
        <w:rPr>
          <w:rFonts w:ascii="Times New Roman" w:hAnsi="Times New Roman" w:eastAsia="黑体" w:cs="Times New Roman"/>
          <w:sz w:val="36"/>
          <w:szCs w:val="36"/>
          <w:highlight w:val="none"/>
        </w:rPr>
      </w:pP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r>
        <w:rPr>
          <w:rFonts w:ascii="Times New Roman" w:hAnsi="Times New Roman" w:eastAsia="黑体" w:cs="Times New Roman"/>
          <w:sz w:val="36"/>
          <w:szCs w:val="36"/>
          <w:highlight w:val="none"/>
        </w:rPr>
        <w:t>询比</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bookmarkStart w:id="416" w:name="_Toc29687_WPSOffice_Level1"/>
      <w:bookmarkStart w:id="417" w:name="_Toc32044_WPSOffice_Level1"/>
      <w:bookmarkStart w:id="418" w:name="_Toc1914_WPSOffice_Level1"/>
      <w:bookmarkStart w:id="419" w:name="_Toc10484_WPSOffice_Level1"/>
      <w:bookmarkStart w:id="420" w:name="_Toc17394_WPSOffice_Level1"/>
      <w:r>
        <w:rPr>
          <w:rFonts w:ascii="Times New Roman" w:hAnsi="Times New Roman" w:eastAsia="黑体" w:cs="Times New Roman"/>
          <w:sz w:val="50"/>
          <w:szCs w:val="50"/>
          <w:highlight w:val="none"/>
        </w:rPr>
        <w:t>响  应  文  件</w:t>
      </w:r>
      <w:bookmarkEnd w:id="416"/>
      <w:bookmarkEnd w:id="417"/>
      <w:bookmarkEnd w:id="418"/>
      <w:bookmarkEnd w:id="419"/>
      <w:bookmarkEnd w:id="420"/>
    </w:p>
    <w:p>
      <w:pPr>
        <w:pStyle w:val="19"/>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（商务技术文件）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bookmarkStart w:id="421" w:name="_Toc5520_WPSOffice_Level2"/>
      <w:bookmarkStart w:id="422" w:name="_Toc25232_WPSOffice_Level2"/>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w:t>
      </w:r>
      <w:bookmarkEnd w:id="421"/>
      <w:bookmarkEnd w:id="422"/>
      <w:r>
        <w:rPr>
          <w:rFonts w:ascii="Times New Roman" w:hAnsi="Times New Roman" w:eastAsia="黑体" w:cs="Times New Roman"/>
          <w:sz w:val="28"/>
          <w:szCs w:val="28"/>
          <w:highlight w:val="none"/>
          <w:u w:val="single"/>
        </w:rPr>
        <w:t xml:space="preserve">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bookmarkStart w:id="423" w:name="_Toc20076_WPSOffice_Level2"/>
      <w:bookmarkStart w:id="424" w:name="_Toc31577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423"/>
      <w:bookmarkEnd w:id="424"/>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425" w:name="_Toc22351_WPSOffice_Level2"/>
      <w:bookmarkStart w:id="426" w:name="_Toc21974_WPSOffice_Level2"/>
      <w:r>
        <w:rPr>
          <w:rFonts w:ascii="Times New Roman" w:hAnsi="Times New Roman" w:eastAsia="黑体" w:cs="Times New Roman"/>
          <w:sz w:val="28"/>
          <w:szCs w:val="28"/>
          <w:highlight w:val="none"/>
        </w:rPr>
        <w:t>目     录</w:t>
      </w:r>
      <w:bookmarkEnd w:id="425"/>
      <w:bookmarkEnd w:id="426"/>
    </w:p>
    <w:p>
      <w:pPr>
        <w:spacing w:line="440" w:lineRule="exact"/>
        <w:rPr>
          <w:rFonts w:ascii="Times New Roman" w:hAnsi="Times New Roman" w:eastAsia="黑体" w:cs="Times New Roman"/>
          <w:sz w:val="20"/>
          <w:szCs w:val="20"/>
          <w:highlight w:val="none"/>
        </w:rPr>
      </w:pPr>
    </w:p>
    <w:p>
      <w:pPr>
        <w:spacing w:line="440" w:lineRule="exact"/>
        <w:ind w:left="1619" w:leftChars="771"/>
        <w:rPr>
          <w:rFonts w:ascii="Times New Roman" w:hAnsi="Times New Roman" w:eastAsia="黑体" w:cs="Times New Roman"/>
          <w:sz w:val="24"/>
          <w:highlight w:val="none"/>
        </w:rPr>
      </w:pPr>
      <w:bookmarkStart w:id="427" w:name="_Toc5842_WPSOffice_Level1"/>
      <w:bookmarkStart w:id="428" w:name="_Toc11424_WPSOffice_Level1"/>
      <w:bookmarkStart w:id="429" w:name="_Toc30529_WPSOffice_Level1"/>
      <w:bookmarkStart w:id="430" w:name="_Toc23368_WPSOffice_Level1"/>
      <w:bookmarkStart w:id="431" w:name="_Toc6353_WPSOffice_Level1"/>
      <w:bookmarkStart w:id="432" w:name="_Toc12670_WPSOffice_Level1"/>
      <w:r>
        <w:rPr>
          <w:rFonts w:ascii="Times New Roman" w:hAnsi="Times New Roman" w:eastAsia="黑体" w:cs="Times New Roman"/>
          <w:sz w:val="24"/>
          <w:highlight w:val="none"/>
        </w:rPr>
        <w:t>一、</w:t>
      </w:r>
      <w:r>
        <w:rPr>
          <w:rFonts w:hint="eastAsia" w:ascii="Times New Roman" w:hAnsi="Times New Roman" w:eastAsia="黑体" w:cs="Times New Roman"/>
          <w:sz w:val="24"/>
          <w:highlight w:val="none"/>
          <w:lang w:val="en-US" w:eastAsia="zh-CN"/>
        </w:rPr>
        <w:t>响应</w:t>
      </w:r>
      <w:r>
        <w:rPr>
          <w:rFonts w:ascii="Times New Roman" w:hAnsi="Times New Roman" w:eastAsia="黑体" w:cs="Times New Roman"/>
          <w:sz w:val="24"/>
          <w:highlight w:val="none"/>
        </w:rPr>
        <w:t>函</w:t>
      </w:r>
      <w:bookmarkEnd w:id="427"/>
      <w:bookmarkEnd w:id="428"/>
      <w:bookmarkEnd w:id="429"/>
      <w:bookmarkEnd w:id="430"/>
      <w:bookmarkEnd w:id="431"/>
    </w:p>
    <w:p>
      <w:pPr>
        <w:spacing w:line="440" w:lineRule="exact"/>
        <w:ind w:left="1619" w:leftChars="771"/>
        <w:rPr>
          <w:rFonts w:ascii="Times New Roman" w:hAnsi="Times New Roman" w:eastAsia="黑体" w:cs="Times New Roman"/>
          <w:sz w:val="24"/>
          <w:highlight w:val="none"/>
        </w:rPr>
      </w:pPr>
      <w:bookmarkStart w:id="433" w:name="_Toc32729_WPSOffice_Level1"/>
      <w:bookmarkStart w:id="434" w:name="_Toc5317_WPSOffice_Level1"/>
      <w:bookmarkStart w:id="435" w:name="_Toc21229_WPSOffice_Level1"/>
      <w:bookmarkStart w:id="436" w:name="_Toc31927_WPSOffice_Level1"/>
      <w:bookmarkStart w:id="437" w:name="_Toc30428_WPSOffice_Level1"/>
      <w:r>
        <w:rPr>
          <w:rFonts w:ascii="Times New Roman" w:hAnsi="Times New Roman" w:eastAsia="黑体" w:cs="Times New Roman"/>
          <w:sz w:val="24"/>
          <w:highlight w:val="none"/>
        </w:rPr>
        <w:t>二、法定代表人身份证明及授权委托书</w:t>
      </w:r>
      <w:bookmarkEnd w:id="433"/>
      <w:bookmarkEnd w:id="434"/>
      <w:bookmarkEnd w:id="435"/>
      <w:bookmarkEnd w:id="436"/>
      <w:bookmarkEnd w:id="437"/>
    </w:p>
    <w:p>
      <w:pPr>
        <w:spacing w:line="440" w:lineRule="exact"/>
        <w:ind w:left="1619" w:leftChars="771"/>
        <w:rPr>
          <w:rFonts w:ascii="Times New Roman" w:hAnsi="Times New Roman" w:eastAsia="黑体" w:cs="Times New Roman"/>
          <w:sz w:val="24"/>
          <w:highlight w:val="none"/>
        </w:rPr>
      </w:pPr>
      <w:bookmarkStart w:id="438" w:name="_Toc25965_WPSOffice_Level1"/>
      <w:bookmarkStart w:id="439" w:name="_Toc4728_WPSOffice_Level1"/>
      <w:bookmarkStart w:id="440" w:name="_Toc23356_WPSOffice_Level1"/>
      <w:bookmarkStart w:id="441" w:name="_Toc29085_WPSOffice_Level1"/>
      <w:bookmarkStart w:id="442" w:name="_Toc21853_WPSOffice_Level1"/>
      <w:r>
        <w:rPr>
          <w:rFonts w:hint="eastAsia" w:ascii="Times New Roman" w:hAnsi="Times New Roman" w:eastAsia="黑体" w:cs="Times New Roman"/>
          <w:sz w:val="24"/>
          <w:highlight w:val="none"/>
        </w:rPr>
        <w:t>三</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供应商基本情况</w:t>
      </w:r>
    </w:p>
    <w:bookmarkEnd w:id="438"/>
    <w:bookmarkEnd w:id="439"/>
    <w:bookmarkEnd w:id="440"/>
    <w:bookmarkEnd w:id="441"/>
    <w:bookmarkEnd w:id="442"/>
    <w:p>
      <w:pPr>
        <w:spacing w:line="440" w:lineRule="exact"/>
        <w:ind w:left="1619" w:leftChars="771"/>
        <w:rPr>
          <w:rFonts w:hint="eastAsia" w:ascii="Times New Roman" w:hAnsi="Times New Roman" w:eastAsia="黑体" w:cs="Times New Roman"/>
          <w:sz w:val="24"/>
          <w:highlight w:val="none"/>
        </w:rPr>
      </w:pPr>
      <w:bookmarkStart w:id="443" w:name="_Toc10608_WPSOffice_Level1"/>
      <w:bookmarkStart w:id="444" w:name="_Toc7453_WPSOffice_Level1"/>
      <w:bookmarkStart w:id="445" w:name="_Toc18964_WPSOffice_Level1"/>
      <w:bookmarkStart w:id="446" w:name="_Toc29870_WPSOffice_Level1"/>
      <w:bookmarkStart w:id="447" w:name="_Toc23744_WPSOffice_Level1"/>
      <w:r>
        <w:rPr>
          <w:rFonts w:hint="eastAsia" w:ascii="Times New Roman" w:hAnsi="Times New Roman" w:eastAsia="黑体" w:cs="Times New Roman"/>
          <w:sz w:val="24"/>
          <w:highlight w:val="none"/>
        </w:rPr>
        <w:t>四</w:t>
      </w:r>
      <w:r>
        <w:rPr>
          <w:rFonts w:ascii="Times New Roman" w:hAnsi="Times New Roman" w:eastAsia="黑体" w:cs="Times New Roman"/>
          <w:sz w:val="24"/>
          <w:highlight w:val="none"/>
        </w:rPr>
        <w:t>、</w:t>
      </w:r>
      <w:bookmarkEnd w:id="443"/>
      <w:bookmarkEnd w:id="444"/>
      <w:bookmarkEnd w:id="445"/>
      <w:bookmarkEnd w:id="446"/>
      <w:bookmarkEnd w:id="447"/>
      <w:bookmarkStart w:id="448" w:name="_Toc24262_WPSOffice_Level1"/>
      <w:bookmarkStart w:id="449" w:name="_Toc12459_WPSOffice_Level1"/>
      <w:r>
        <w:rPr>
          <w:rFonts w:hint="eastAsia" w:ascii="Times New Roman" w:hAnsi="Times New Roman" w:eastAsia="黑体" w:cs="Times New Roman"/>
          <w:sz w:val="24"/>
          <w:highlight w:val="none"/>
        </w:rPr>
        <w:t>近年类似业绩情况</w:t>
      </w:r>
    </w:p>
    <w:p>
      <w:pPr>
        <w:spacing w:line="440" w:lineRule="exact"/>
        <w:ind w:left="1619" w:leftChars="771"/>
        <w:rPr>
          <w:rFonts w:hint="eastAsia"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五</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信誉情况</w:t>
      </w:r>
    </w:p>
    <w:p>
      <w:pPr>
        <w:spacing w:line="440" w:lineRule="exact"/>
        <w:ind w:left="1619" w:leftChars="771"/>
        <w:rPr>
          <w:rFonts w:hint="eastAsia" w:ascii="Times New Roman" w:hAnsi="Times New Roman" w:eastAsia="黑体" w:cs="Times New Roman"/>
          <w:sz w:val="24"/>
          <w:highlight w:val="none"/>
        </w:rPr>
      </w:pPr>
      <w:bookmarkStart w:id="450" w:name="_Toc20930_WPSOffice_Level1"/>
      <w:bookmarkStart w:id="451" w:name="_Toc927_WPSOffice_Level1"/>
      <w:bookmarkStart w:id="452" w:name="_Toc32220_WPSOffice_Level1"/>
      <w:r>
        <w:rPr>
          <w:rFonts w:hint="eastAsia" w:ascii="Times New Roman" w:hAnsi="Times New Roman" w:eastAsia="黑体" w:cs="Times New Roman"/>
          <w:sz w:val="24"/>
          <w:highlight w:val="none"/>
        </w:rPr>
        <w:t>六</w:t>
      </w:r>
      <w:r>
        <w:rPr>
          <w:rFonts w:ascii="Times New Roman" w:hAnsi="Times New Roman" w:eastAsia="黑体" w:cs="Times New Roman"/>
          <w:sz w:val="24"/>
          <w:highlight w:val="none"/>
        </w:rPr>
        <w:t>、</w:t>
      </w:r>
      <w:bookmarkEnd w:id="448"/>
      <w:bookmarkEnd w:id="449"/>
      <w:bookmarkEnd w:id="450"/>
      <w:bookmarkEnd w:id="451"/>
      <w:bookmarkEnd w:id="452"/>
      <w:r>
        <w:rPr>
          <w:rFonts w:hint="eastAsia" w:ascii="Times New Roman" w:hAnsi="Times New Roman" w:eastAsia="黑体" w:cs="Times New Roman"/>
          <w:sz w:val="24"/>
          <w:highlight w:val="none"/>
          <w:lang w:val="en-US" w:eastAsia="zh-CN"/>
        </w:rPr>
        <w:t>供货方案</w:t>
      </w:r>
    </w:p>
    <w:p>
      <w:pPr>
        <w:spacing w:line="440" w:lineRule="exact"/>
        <w:ind w:left="1619" w:leftChars="771"/>
        <w:rPr>
          <w:rFonts w:hint="eastAsia" w:ascii="Times New Roman" w:hAnsi="Times New Roman" w:eastAsia="黑体" w:cs="Times New Roman"/>
          <w:sz w:val="24"/>
          <w:highlight w:val="none"/>
        </w:rPr>
      </w:pPr>
      <w:bookmarkStart w:id="453" w:name="_Toc25973_WPSOffice_Level1"/>
      <w:bookmarkStart w:id="454" w:name="_Toc16988_WPSOffice_Level1"/>
      <w:bookmarkStart w:id="455" w:name="_Toc5885_WPSOffice_Level1"/>
      <w:r>
        <w:rPr>
          <w:rFonts w:hint="eastAsia" w:ascii="Times New Roman" w:hAnsi="Times New Roman" w:eastAsia="黑体" w:cs="Times New Roman"/>
          <w:sz w:val="24"/>
          <w:highlight w:val="none"/>
        </w:rPr>
        <w:t>七、其他材料</w:t>
      </w:r>
      <w:bookmarkEnd w:id="432"/>
      <w:bookmarkEnd w:id="453"/>
      <w:bookmarkEnd w:id="454"/>
      <w:bookmarkEnd w:id="455"/>
    </w:p>
    <w:p>
      <w:pPr>
        <w:pStyle w:val="19"/>
        <w:rPr>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br w:type="page"/>
      </w:r>
      <w:bookmarkStart w:id="456" w:name="_Toc1017_WPSOffice_Level1"/>
      <w:bookmarkStart w:id="457" w:name="_Toc18312_WPSOffice_Level1"/>
      <w:bookmarkStart w:id="458" w:name="_Toc2765_WPSOffice_Level1"/>
      <w:bookmarkStart w:id="459" w:name="_Toc3972_WPSOffice_Level1"/>
      <w:bookmarkStart w:id="460" w:name="_Toc1687_WPSOffice_Level1"/>
      <w:bookmarkStart w:id="461" w:name="_Toc1362_WPSOffice_Level1"/>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rPr>
        <w:t>响应函</w:t>
      </w:r>
    </w:p>
    <w:p>
      <w:pPr>
        <w:spacing w:beforeLines="0" w:afterLines="0" w:line="400" w:lineRule="exact"/>
        <w:rPr>
          <w:rFonts w:hint="eastAsia" w:ascii="Times New Roman" w:hAnsi="Times New Roman" w:eastAsiaTheme="minorEastAsia"/>
          <w:color w:val="auto"/>
          <w:sz w:val="24"/>
          <w:szCs w:val="24"/>
          <w:highlight w:val="none"/>
          <w:u w:val="single"/>
          <w:lang w:eastAsia="zh-CN"/>
        </w:rPr>
      </w:pPr>
      <w:r>
        <w:rPr>
          <w:rFonts w:hint="eastAsia" w:ascii="Times New Roman" w:hAnsi="Times New Roman"/>
          <w:color w:val="auto"/>
          <w:sz w:val="24"/>
          <w:szCs w:val="24"/>
          <w:highlight w:val="none"/>
          <w:u w:val="single"/>
        </w:rPr>
        <w:t xml:space="preserve"> 安徽交控建设工程集团有限公司</w:t>
      </w:r>
      <w:r>
        <w:rPr>
          <w:rFonts w:hint="eastAsia" w:ascii="Times New Roman" w:hAnsi="Times New Roman"/>
          <w:color w:val="auto"/>
          <w:sz w:val="24"/>
          <w:szCs w:val="24"/>
          <w:highlight w:val="none"/>
          <w:u w:val="single"/>
          <w:lang w:eastAsia="zh-CN"/>
        </w:rPr>
        <w:t>：</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宋体"/>
          <w:color w:val="auto"/>
          <w:sz w:val="24"/>
          <w:szCs w:val="24"/>
          <w:highlight w:val="none"/>
          <w:u w:val="single"/>
          <w:lang w:val="en-US" w:eastAsia="zh-CN"/>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项目名称)采购文件的全部内容(含补遗书第__号至第__号)，并对此无异议，愿意以人民币(大写)</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小写：¥</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的总报价按合同约定实施和完成本项目。</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3．如我方成交：</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我方承诺按照采购文件规定向你方递交履约担保（如有）。</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我方承诺在合同约定的期限内完成并移交全部合同项目。</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4．我方在此声明，所递交的响应文件及有关资料内容完整、真实和准确。</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5．在合同协议书正式签署生效之前，本报价函连同你方的成交通知书将构成我们双方之间共同遵守的文件，对双方具有约束力。</w:t>
      </w:r>
    </w:p>
    <w:p>
      <w:pPr>
        <w:spacing w:beforeLines="0" w:afterLines="0"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6</w:t>
      </w:r>
      <w:r>
        <w:rPr>
          <w:rFonts w:hint="eastAsia" w:ascii="Times New Roman" w:hAnsi="Times New Roman" w:eastAsia="Times New Roman"/>
          <w:color w:val="auto"/>
          <w:sz w:val="24"/>
          <w:szCs w:val="24"/>
          <w:highlight w:val="none"/>
        </w:rPr>
        <w:t>.____________</w:t>
      </w:r>
      <w:r>
        <w:rPr>
          <w:rFonts w:hint="eastAsia" w:ascii="Times New Roman" w:hAnsi="Times New Roman"/>
          <w:color w:val="auto"/>
          <w:sz w:val="24"/>
          <w:szCs w:val="24"/>
          <w:highlight w:val="none"/>
        </w:rPr>
        <w:t>。</w:t>
      </w:r>
    </w:p>
    <w:p>
      <w:pPr>
        <w:spacing w:beforeLines="0" w:afterLines="0" w:line="400" w:lineRule="exact"/>
        <w:ind w:firstLine="2880" w:firstLineChars="1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供应商：</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盖单位章)</w:t>
      </w:r>
    </w:p>
    <w:p>
      <w:pPr>
        <w:spacing w:beforeLines="0" w:afterLines="0" w:line="400" w:lineRule="exact"/>
        <w:ind w:firstLine="2880" w:firstLineChars="1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法定代表人或授权委托人：</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签名或盖章</w:t>
      </w:r>
      <w:r>
        <w:rPr>
          <w:rFonts w:hint="eastAsia" w:ascii="Times New Roman" w:hAnsi="Times New Roman" w:eastAsia="Times New Roman"/>
          <w:color w:val="auto"/>
          <w:sz w:val="24"/>
          <w:szCs w:val="24"/>
          <w:highlight w:val="none"/>
        </w:rPr>
        <w:t>)</w:t>
      </w:r>
    </w:p>
    <w:p>
      <w:pPr>
        <w:spacing w:beforeLines="0" w:afterLines="0" w:line="400" w:lineRule="exact"/>
        <w:ind w:firstLine="2880" w:firstLineChars="1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地址：</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 xml:space="preserve"> </w:t>
      </w:r>
    </w:p>
    <w:p>
      <w:pPr>
        <w:spacing w:beforeLines="0" w:afterLines="0" w:line="400" w:lineRule="exact"/>
        <w:ind w:firstLine="2880" w:firstLineChars="1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电话：</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 xml:space="preserve"> </w:t>
      </w:r>
    </w:p>
    <w:p>
      <w:pPr>
        <w:spacing w:beforeLines="0" w:afterLines="0" w:line="400" w:lineRule="exact"/>
        <w:ind w:firstLine="2880" w:firstLineChars="1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电子邮箱：</w:t>
      </w:r>
      <w:r>
        <w:rPr>
          <w:rFonts w:hint="eastAsia" w:ascii="Times New Roman" w:hAnsi="Times New Roman" w:eastAsia="Times New Roman"/>
          <w:color w:val="auto"/>
          <w:sz w:val="24"/>
          <w:szCs w:val="24"/>
          <w:highlight w:val="none"/>
          <w:u w:val="single"/>
        </w:rPr>
        <w:t xml:space="preserve">                                 </w:t>
      </w:r>
    </w:p>
    <w:p>
      <w:pPr>
        <w:spacing w:beforeLines="0" w:afterLines="0" w:line="400" w:lineRule="exact"/>
        <w:ind w:firstLine="4740" w:firstLineChars="1975"/>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年</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月</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日</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pStyle w:val="19"/>
        <w:rPr>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pStyle w:val="4"/>
        <w:outlineLvl w:val="9"/>
        <w:rPr>
          <w:rFonts w:ascii="Times New Roman" w:hAnsi="Times New Roman" w:eastAsia="黑体" w:cs="Times New Roman"/>
          <w:sz w:val="20"/>
          <w:szCs w:val="20"/>
          <w:highlight w:val="none"/>
        </w:rPr>
      </w:pPr>
    </w:p>
    <w:p>
      <w:pPr>
        <w:rPr>
          <w:rFonts w:ascii="Times New Roman" w:hAnsi="Times New Roman" w:eastAsia="黑体" w:cs="Times New Roman"/>
          <w:sz w:val="20"/>
          <w:szCs w:val="20"/>
          <w:highlight w:val="none"/>
        </w:rPr>
      </w:pPr>
    </w:p>
    <w:p>
      <w:pPr>
        <w:rPr>
          <w:rFonts w:ascii="Times New Roman" w:hAnsi="Times New Roman" w:eastAsia="黑体" w:cs="Times New Roman"/>
          <w:sz w:val="20"/>
          <w:szCs w:val="20"/>
          <w:highlight w:val="none"/>
        </w:rPr>
      </w:pPr>
    </w:p>
    <w:p>
      <w:pPr>
        <w:rPr>
          <w:rFonts w:ascii="Times New Roman" w:hAnsi="Times New Roman" w:eastAsia="黑体" w:cs="Times New Roman"/>
          <w:sz w:val="20"/>
          <w:szCs w:val="20"/>
          <w:highlight w:val="none"/>
        </w:rPr>
      </w:pPr>
    </w:p>
    <w:p>
      <w:pPr>
        <w:rPr>
          <w:rFonts w:ascii="Times New Roman" w:hAnsi="Times New Roman" w:eastAsia="黑体" w:cs="Times New Roman"/>
          <w:sz w:val="20"/>
          <w:szCs w:val="20"/>
          <w:highlight w:val="none"/>
        </w:rPr>
      </w:pPr>
    </w:p>
    <w:p>
      <w:pPr>
        <w:rPr>
          <w:rFonts w:ascii="Times New Roman" w:hAnsi="Times New Roman" w:eastAsia="黑体" w:cs="Times New Roman"/>
          <w:sz w:val="20"/>
          <w:szCs w:val="20"/>
          <w:highlight w:val="none"/>
        </w:rPr>
      </w:pPr>
    </w:p>
    <w:p>
      <w:pPr>
        <w:rPr>
          <w:highlight w:val="none"/>
        </w:rPr>
      </w:pPr>
    </w:p>
    <w:bookmarkEnd w:id="456"/>
    <w:bookmarkEnd w:id="457"/>
    <w:bookmarkEnd w:id="458"/>
    <w:bookmarkEnd w:id="459"/>
    <w:bookmarkEnd w:id="460"/>
    <w:bookmarkEnd w:id="461"/>
    <w:p>
      <w:pPr>
        <w:spacing w:line="440" w:lineRule="exact"/>
        <w:jc w:val="center"/>
        <w:rPr>
          <w:rFonts w:ascii="Times New Roman" w:hAnsi="Times New Roman" w:eastAsia="黑体" w:cs="Times New Roman"/>
          <w:sz w:val="28"/>
          <w:szCs w:val="28"/>
          <w:highlight w:val="none"/>
        </w:rPr>
      </w:pPr>
      <w:bookmarkStart w:id="462" w:name="_Toc4951_WPSOffice_Level1"/>
      <w:bookmarkStart w:id="463" w:name="_Toc32350_WPSOffice_Level1"/>
      <w:bookmarkStart w:id="464" w:name="_Toc1996_WPSOffice_Level1"/>
      <w:bookmarkStart w:id="465" w:name="_Toc14563_WPSOffice_Level1"/>
      <w:bookmarkStart w:id="466" w:name="_Toc18668_WPSOffice_Level1"/>
      <w:bookmarkStart w:id="467" w:name="_Toc21740_WPSOffice_Level1"/>
      <w:r>
        <w:rPr>
          <w:rFonts w:ascii="Times New Roman" w:hAnsi="Times New Roman" w:eastAsia="黑体" w:cs="Times New Roman"/>
          <w:sz w:val="28"/>
          <w:szCs w:val="28"/>
          <w:highlight w:val="none"/>
        </w:rPr>
        <w:t>二、法定代表人身份证明及授权委托书</w:t>
      </w:r>
      <w:bookmarkEnd w:id="462"/>
      <w:bookmarkEnd w:id="463"/>
      <w:bookmarkEnd w:id="464"/>
      <w:bookmarkEnd w:id="465"/>
      <w:bookmarkEnd w:id="466"/>
      <w:bookmarkEnd w:id="467"/>
    </w:p>
    <w:p>
      <w:pPr>
        <w:spacing w:line="440" w:lineRule="exact"/>
        <w:jc w:val="center"/>
        <w:rPr>
          <w:rFonts w:ascii="Times New Roman" w:hAnsi="Times New Roman" w:cs="Times New Roman"/>
          <w:sz w:val="28"/>
          <w:szCs w:val="28"/>
          <w:highlight w:val="none"/>
        </w:rPr>
      </w:pPr>
      <w:bookmarkStart w:id="468" w:name="_Toc5153_WPSOffice_Level2"/>
      <w:bookmarkStart w:id="469" w:name="_Toc20803_WPSOffice_Level2"/>
      <w:r>
        <w:rPr>
          <w:rFonts w:ascii="Times New Roman" w:hAnsi="Times New Roman" w:eastAsia="黑体" w:cs="Times New Roman"/>
          <w:bCs/>
          <w:sz w:val="28"/>
          <w:szCs w:val="28"/>
          <w:highlight w:val="none"/>
        </w:rPr>
        <w:t>2-1 法定代表人身份证明</w:t>
      </w:r>
      <w:bookmarkEnd w:id="468"/>
      <w:bookmarkEnd w:id="469"/>
    </w:p>
    <w:p>
      <w:pPr>
        <w:spacing w:line="440" w:lineRule="exact"/>
        <w:rPr>
          <w:rFonts w:ascii="Times New Roman" w:hAnsi="Times New Roman" w:cs="Times New Roman"/>
          <w:sz w:val="20"/>
          <w:szCs w:val="20"/>
          <w:highlight w:val="none"/>
        </w:rPr>
      </w:pP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rPr>
        <w:t>供应商名称：</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rPr>
        <w:t>单位性质：</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rPr>
        <w:t>地址：</w:t>
      </w:r>
      <w:r>
        <w:rPr>
          <w:rFonts w:hint="eastAsia" w:ascii="Times New Roman" w:hAnsi="Times New Roman" w:eastAsia="Times New Roman"/>
          <w:sz w:val="24"/>
          <w:szCs w:val="24"/>
          <w:highlight w:val="none"/>
          <w:u w:val="single"/>
        </w:rPr>
        <w:t xml:space="preserve">                                   </w:t>
      </w: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rPr>
        <w:t>成立时间：</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年</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月</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日</w:t>
      </w: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rPr>
        <w:t>经营期限：</w:t>
      </w:r>
      <w:r>
        <w:rPr>
          <w:rFonts w:hint="eastAsia" w:ascii="Times New Roman" w:hAnsi="Times New Roman" w:eastAsia="Times New Roman"/>
          <w:sz w:val="24"/>
          <w:szCs w:val="24"/>
          <w:highlight w:val="none"/>
          <w:u w:val="single"/>
        </w:rPr>
        <w:t xml:space="preserve">                               </w:t>
      </w: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rPr>
        <w:t>姓名：</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性别：</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年龄：</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职务：</w:t>
      </w:r>
      <w:r>
        <w:rPr>
          <w:rFonts w:hint="eastAsia" w:ascii="Times New Roman" w:hAnsi="Times New Roman" w:eastAsia="Times New Roman"/>
          <w:sz w:val="24"/>
          <w:szCs w:val="24"/>
          <w:highlight w:val="none"/>
          <w:u w:val="single"/>
        </w:rPr>
        <w:t xml:space="preserve">        </w:t>
      </w: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rPr>
        <w:t>系</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供应商名称)的法定代表人。</w:t>
      </w:r>
    </w:p>
    <w:p>
      <w:pPr>
        <w:spacing w:beforeLines="0" w:afterLines="0" w:line="440" w:lineRule="exact"/>
        <w:ind w:firstLine="480" w:firstLineChars="200"/>
        <w:rPr>
          <w:rFonts w:hint="eastAsia" w:ascii="Times New Roman" w:hAnsi="Times New Roman" w:eastAsia="Times New Roman"/>
          <w:sz w:val="24"/>
          <w:szCs w:val="24"/>
          <w:highlight w:val="none"/>
        </w:rPr>
      </w:pPr>
    </w:p>
    <w:p>
      <w:pPr>
        <w:spacing w:beforeLines="0" w:afterLines="0" w:line="44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sz w:val="24"/>
          <w:szCs w:val="24"/>
          <w:highlight w:val="none"/>
        </w:rPr>
        <w:t>特此证明。</w:t>
      </w:r>
    </w:p>
    <w:p>
      <w:pPr>
        <w:spacing w:beforeLines="0" w:afterLines="0" w:line="440" w:lineRule="exact"/>
        <w:rPr>
          <w:rFonts w:hint="eastAsia" w:ascii="Times New Roman" w:hAnsi="Times New Roman" w:eastAsia="Times New Roman"/>
          <w:sz w:val="24"/>
          <w:szCs w:val="24"/>
          <w:highlight w:val="none"/>
        </w:rPr>
      </w:pPr>
    </w:p>
    <w:p>
      <w:pPr>
        <w:spacing w:beforeLines="0" w:afterLines="0" w:line="440" w:lineRule="exact"/>
        <w:rPr>
          <w:rFonts w:hint="eastAsia" w:ascii="Times New Roman" w:hAnsi="Times New Roman" w:eastAsia="Times New Roman"/>
          <w:sz w:val="24"/>
          <w:szCs w:val="24"/>
          <w:highlight w:val="none"/>
        </w:rPr>
      </w:pPr>
    </w:p>
    <w:p>
      <w:pPr>
        <w:spacing w:beforeLines="0" w:afterLines="0" w:line="440" w:lineRule="exact"/>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供应商：</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rPr>
        <w:t>盖单位章)</w:t>
      </w:r>
    </w:p>
    <w:p>
      <w:pPr>
        <w:spacing w:beforeLines="0" w:afterLines="0" w:line="440" w:lineRule="exact"/>
        <w:jc w:val="center"/>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eastAsia="Times New Roman"/>
          <w:sz w:val="24"/>
          <w:szCs w:val="24"/>
          <w:highlight w:val="none"/>
          <w:u w:val="single"/>
        </w:rPr>
        <w:t xml:space="preserve">     </w:t>
      </w:r>
      <w:r>
        <w:rPr>
          <w:rFonts w:hint="eastAsia" w:ascii="Times New Roman" w:hAnsi="Times New Roman" w:eastAsia="Times New Roman"/>
          <w:sz w:val="24"/>
          <w:szCs w:val="24"/>
          <w:highlight w:val="none"/>
        </w:rPr>
        <w:t xml:space="preserve"> </w:t>
      </w:r>
      <w:r>
        <w:rPr>
          <w:rFonts w:hint="eastAsia" w:ascii="Times New Roman" w:hAnsi="Times New Roman"/>
          <w:sz w:val="24"/>
          <w:szCs w:val="24"/>
          <w:highlight w:val="none"/>
        </w:rPr>
        <w:t xml:space="preserve">日  </w:t>
      </w: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ind w:left="315" w:hanging="315" w:hangingChars="150"/>
        <w:rPr>
          <w:rFonts w:ascii="Times New Roman" w:hAnsi="Times New Roman" w:eastAsia="黑体" w:cs="Times New Roman"/>
          <w:szCs w:val="21"/>
          <w:highlight w:val="none"/>
        </w:rPr>
      </w:pPr>
    </w:p>
    <w:p>
      <w:pPr>
        <w:topLinePunct/>
        <w:spacing w:line="440" w:lineRule="exact"/>
        <w:ind w:left="315" w:hanging="315" w:hangingChars="150"/>
        <w:rPr>
          <w:rFonts w:ascii="Times New Roman" w:hAnsi="Times New Roman" w:eastAsia="黑体" w:cs="Times New Roman"/>
          <w:bCs/>
          <w:szCs w:val="21"/>
          <w:highlight w:val="none"/>
        </w:rPr>
      </w:pPr>
    </w:p>
    <w:p>
      <w:pPr>
        <w:spacing w:line="440" w:lineRule="exact"/>
        <w:jc w:val="center"/>
        <w:rPr>
          <w:rFonts w:hint="default" w:ascii="Times New Roman" w:hAnsi="Times New Roman" w:eastAsia="黑体" w:cs="Times New Roman"/>
          <w:sz w:val="28"/>
          <w:szCs w:val="28"/>
          <w:highlight w:val="none"/>
          <w:lang w:val="en-US" w:eastAsia="zh-CN"/>
        </w:rPr>
      </w:pPr>
      <w:r>
        <w:rPr>
          <w:rFonts w:ascii="Times New Roman" w:hAnsi="Times New Roman" w:eastAsia="黑体" w:cs="Times New Roman"/>
          <w:sz w:val="24"/>
          <w:highlight w:val="none"/>
        </w:rPr>
        <w:br w:type="page"/>
      </w:r>
      <w:bookmarkStart w:id="470" w:name="_Toc19768_WPSOffice_Level2"/>
      <w:bookmarkStart w:id="471" w:name="_Toc12035_WPSOffice_Level2"/>
      <w:r>
        <w:rPr>
          <w:rFonts w:ascii="Times New Roman" w:hAnsi="Times New Roman" w:eastAsia="黑体" w:cs="Times New Roman"/>
          <w:bCs/>
          <w:sz w:val="28"/>
          <w:szCs w:val="28"/>
          <w:highlight w:val="none"/>
        </w:rPr>
        <w:t xml:space="preserve">2-2 </w:t>
      </w:r>
      <w:r>
        <w:rPr>
          <w:rFonts w:ascii="Times New Roman" w:hAnsi="Times New Roman" w:eastAsia="黑体" w:cs="Times New Roman"/>
          <w:sz w:val="28"/>
          <w:szCs w:val="28"/>
          <w:highlight w:val="none"/>
        </w:rPr>
        <w:t>授权委托书</w:t>
      </w:r>
      <w:bookmarkEnd w:id="470"/>
      <w:bookmarkEnd w:id="471"/>
      <w:r>
        <w:rPr>
          <w:rFonts w:hint="eastAsia" w:ascii="Times New Roman" w:hAnsi="Times New Roman" w:eastAsia="黑体" w:cs="Times New Roman"/>
          <w:sz w:val="28"/>
          <w:szCs w:val="28"/>
          <w:highlight w:val="none"/>
          <w:lang w:val="en-US" w:eastAsia="zh-CN"/>
        </w:rPr>
        <w:t>(如有)</w:t>
      </w:r>
    </w:p>
    <w:p>
      <w:pPr>
        <w:spacing w:line="440" w:lineRule="exact"/>
        <w:rPr>
          <w:rFonts w:ascii="Times New Roman" w:hAnsi="Times New Roman" w:eastAsia="黑体" w:cs="Times New Roman"/>
          <w:sz w:val="24"/>
          <w:highlight w:val="none"/>
        </w:rPr>
      </w:pPr>
    </w:p>
    <w:p>
      <w:pPr>
        <w:topLinePunct/>
        <w:spacing w:beforeLines="0" w:afterLines="0" w:line="440" w:lineRule="exact"/>
        <w:ind w:firstLine="480" w:firstLineChars="200"/>
        <w:rPr>
          <w:rFonts w:hint="eastAsia" w:ascii="Times New Roman" w:hAnsi="Times New Roman" w:eastAsia="Times New Roman"/>
          <w:color w:val="auto"/>
          <w:sz w:val="24"/>
          <w:szCs w:val="24"/>
          <w:highlight w:val="none"/>
        </w:rPr>
      </w:pPr>
      <w:bookmarkStart w:id="472" w:name="_Toc7738_WPSOffice_Level1"/>
      <w:bookmarkStart w:id="473" w:name="_Toc10646_WPSOffice_Level1"/>
      <w:bookmarkStart w:id="474" w:name="_Toc19015_WPSOffice_Level1"/>
      <w:bookmarkStart w:id="475" w:name="_Toc17124_WPSOffice_Level1"/>
      <w:bookmarkStart w:id="476" w:name="_Toc31445_WPSOffice_Level1"/>
      <w:bookmarkStart w:id="477" w:name="_Toc10436_WPSOffice_Level1"/>
      <w:r>
        <w:rPr>
          <w:rFonts w:hint="eastAsia" w:ascii="Times New Roman" w:hAnsi="Times New Roman"/>
          <w:color w:val="auto"/>
          <w:sz w:val="24"/>
          <w:szCs w:val="24"/>
          <w:highlight w:val="none"/>
        </w:rPr>
        <w:t>本人</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姓名)系</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供应商名称)的法定代表人，现委托</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姓名)</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为我方代理人。代理人根据授权，以我方名义签署、澄清、说明、补正、递交、撤回、修改</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项目名称)响应文件、签订合同和处理有关事宜，其法律后果由我方承担。</w:t>
      </w:r>
    </w:p>
    <w:p>
      <w:pPr>
        <w:spacing w:beforeLines="0" w:afterLines="0" w:line="440" w:lineRule="exac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 xml:space="preserve">    </w:t>
      </w:r>
      <w:r>
        <w:rPr>
          <w:rFonts w:hint="eastAsia" w:ascii="Times New Roman" w:hAnsi="Times New Roman"/>
          <w:color w:val="auto"/>
          <w:sz w:val="24"/>
          <w:szCs w:val="24"/>
          <w:highlight w:val="none"/>
        </w:rPr>
        <w:t>委托期限：</w:t>
      </w:r>
      <w:r>
        <w:rPr>
          <w:rFonts w:hint="eastAsia" w:ascii="Times New Roman" w:hAnsi="Times New Roman"/>
          <w:color w:val="auto"/>
          <w:sz w:val="24"/>
          <w:szCs w:val="24"/>
          <w:highlight w:val="none"/>
          <w:u w:val="single"/>
        </w:rPr>
        <w:t>自授权委托之日起至签订合同之日止</w:t>
      </w:r>
      <w:r>
        <w:rPr>
          <w:rFonts w:hint="eastAsia" w:ascii="Times New Roman" w:hAnsi="Times New Roman"/>
          <w:color w:val="auto"/>
          <w:sz w:val="24"/>
          <w:szCs w:val="24"/>
          <w:highlight w:val="none"/>
        </w:rPr>
        <w:t>。</w:t>
      </w:r>
    </w:p>
    <w:p>
      <w:pPr>
        <w:spacing w:beforeLines="0" w:afterLines="0" w:line="44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代理人无转委托权。</w:t>
      </w:r>
    </w:p>
    <w:p>
      <w:pPr>
        <w:spacing w:beforeLines="0" w:afterLines="0" w:line="440" w:lineRule="exact"/>
        <w:ind w:firstLine="480" w:firstLineChars="200"/>
        <w:rPr>
          <w:rFonts w:hint="eastAsia" w:ascii="Times New Roman" w:hAnsi="Times New Roman" w:eastAsia="Times New Roman"/>
          <w:color w:val="auto"/>
          <w:sz w:val="24"/>
          <w:szCs w:val="24"/>
          <w:highlight w:val="none"/>
        </w:rPr>
      </w:pPr>
    </w:p>
    <w:p>
      <w:pPr>
        <w:spacing w:beforeLines="0" w:afterLines="0" w:line="440" w:lineRule="exact"/>
        <w:rPr>
          <w:rFonts w:hint="eastAsia" w:ascii="Times New Roman" w:hAnsi="Times New Roman" w:eastAsia="Times New Roman"/>
          <w:color w:val="auto"/>
          <w:sz w:val="24"/>
          <w:szCs w:val="24"/>
          <w:highlight w:val="none"/>
        </w:rPr>
      </w:pPr>
    </w:p>
    <w:p>
      <w:pPr>
        <w:spacing w:beforeLines="0" w:afterLines="0"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供应商：</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盖单位章)</w:t>
      </w:r>
    </w:p>
    <w:p>
      <w:pPr>
        <w:spacing w:beforeLines="0" w:afterLines="0" w:line="440" w:lineRule="exact"/>
        <w:rPr>
          <w:rFonts w:hint="eastAsia" w:ascii="Times New Roman" w:hAnsi="Times New Roman" w:eastAsia="Times New Roman"/>
          <w:color w:val="auto"/>
          <w:sz w:val="24"/>
          <w:szCs w:val="24"/>
          <w:highlight w:val="none"/>
        </w:rPr>
      </w:pPr>
    </w:p>
    <w:p>
      <w:pPr>
        <w:spacing w:beforeLines="0" w:afterLines="0"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法定代表人：</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签名或盖章</w:t>
      </w:r>
      <w:r>
        <w:rPr>
          <w:rFonts w:hint="eastAsia" w:ascii="Times New Roman" w:hAnsi="Times New Roman" w:eastAsia="Times New Roman"/>
          <w:color w:val="auto"/>
          <w:sz w:val="24"/>
          <w:szCs w:val="24"/>
          <w:highlight w:val="none"/>
        </w:rPr>
        <w:t>)</w:t>
      </w:r>
    </w:p>
    <w:p>
      <w:pPr>
        <w:spacing w:beforeLines="0" w:afterLines="0" w:line="440" w:lineRule="exact"/>
        <w:rPr>
          <w:rFonts w:hint="eastAsia" w:ascii="Times New Roman" w:hAnsi="Times New Roman" w:eastAsia="Times New Roman"/>
          <w:color w:val="auto"/>
          <w:sz w:val="24"/>
          <w:szCs w:val="24"/>
          <w:highlight w:val="none"/>
        </w:rPr>
      </w:pPr>
    </w:p>
    <w:p>
      <w:pPr>
        <w:spacing w:beforeLines="0" w:afterLines="0"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p>
    <w:p>
      <w:pPr>
        <w:spacing w:beforeLines="0" w:afterLines="0" w:line="440" w:lineRule="exact"/>
        <w:rPr>
          <w:rFonts w:hint="eastAsia" w:ascii="Times New Roman" w:hAnsi="Times New Roman" w:eastAsia="Times New Roman"/>
          <w:color w:val="auto"/>
          <w:sz w:val="24"/>
          <w:szCs w:val="24"/>
          <w:highlight w:val="none"/>
        </w:rPr>
      </w:pPr>
    </w:p>
    <w:p>
      <w:pPr>
        <w:spacing w:beforeLines="0" w:afterLines="0"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委托代理人：</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签名</w:t>
      </w:r>
      <w:r>
        <w:rPr>
          <w:rFonts w:hint="eastAsia" w:ascii="Times New Roman" w:hAnsi="Times New Roman" w:eastAsia="Times New Roman"/>
          <w:color w:val="auto"/>
          <w:sz w:val="24"/>
          <w:szCs w:val="24"/>
          <w:highlight w:val="none"/>
        </w:rPr>
        <w:t>)</w:t>
      </w:r>
    </w:p>
    <w:p>
      <w:pPr>
        <w:spacing w:beforeLines="0" w:afterLines="0" w:line="440" w:lineRule="exact"/>
        <w:rPr>
          <w:rFonts w:hint="eastAsia" w:ascii="Times New Roman" w:hAnsi="Times New Roman" w:eastAsia="Times New Roman"/>
          <w:color w:val="auto"/>
          <w:sz w:val="24"/>
          <w:szCs w:val="24"/>
          <w:highlight w:val="none"/>
        </w:rPr>
      </w:pPr>
    </w:p>
    <w:p>
      <w:pPr>
        <w:spacing w:beforeLines="0" w:afterLines="0"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p>
    <w:p>
      <w:pPr>
        <w:spacing w:beforeLines="0" w:afterLines="0" w:line="440" w:lineRule="exact"/>
        <w:rPr>
          <w:rFonts w:hint="eastAsia" w:ascii="Times New Roman" w:hAnsi="Times New Roman" w:eastAsia="Times New Roman"/>
          <w:color w:val="auto"/>
          <w:sz w:val="24"/>
          <w:szCs w:val="24"/>
          <w:highlight w:val="none"/>
        </w:rPr>
      </w:pPr>
    </w:p>
    <w:p>
      <w:pPr>
        <w:spacing w:beforeLines="0" w:afterLines="0" w:line="440" w:lineRule="exact"/>
        <w:rPr>
          <w:rFonts w:hint="eastAsia" w:ascii="Times New Roman" w:hAnsi="Times New Roman" w:eastAsia="Times New Roman"/>
          <w:color w:val="auto"/>
          <w:sz w:val="24"/>
          <w:szCs w:val="24"/>
          <w:highlight w:val="none"/>
        </w:rPr>
      </w:pPr>
    </w:p>
    <w:p>
      <w:pPr>
        <w:spacing w:beforeLines="0" w:afterLines="0" w:line="440" w:lineRule="exact"/>
        <w:ind w:firstLine="1800" w:firstLineChars="75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 xml:space="preserve">年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月</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日</w:t>
      </w: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hint="eastAsia" w:ascii="Times New Roman" w:hAnsi="Times New Roman" w:eastAsia="黑体" w:cs="Times New Roman"/>
          <w:sz w:val="28"/>
          <w:szCs w:val="28"/>
          <w:highlight w:val="none"/>
          <w:lang w:val="en-US" w:eastAsia="zh-CN"/>
        </w:rPr>
      </w:pPr>
    </w:p>
    <w:p>
      <w:pPr>
        <w:topLinePunct/>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478" w:name="_Toc27600_WPSOffice_Level2"/>
      <w:bookmarkStart w:id="479" w:name="_Toc2807_WPSOffice_Level2"/>
      <w:r>
        <w:rPr>
          <w:rFonts w:ascii="Times New Roman" w:hAnsi="Times New Roman" w:eastAsia="黑体" w:cs="Times New Roman"/>
          <w:sz w:val="28"/>
          <w:szCs w:val="28"/>
          <w:highlight w:val="none"/>
        </w:rPr>
        <w:t>供应商基本情况</w:t>
      </w:r>
      <w:bookmarkEnd w:id="472"/>
      <w:bookmarkEnd w:id="473"/>
      <w:bookmarkEnd w:id="474"/>
      <w:bookmarkEnd w:id="475"/>
      <w:bookmarkEnd w:id="476"/>
      <w:bookmarkEnd w:id="477"/>
      <w:bookmarkEnd w:id="478"/>
      <w:bookmarkEnd w:id="479"/>
    </w:p>
    <w:p>
      <w:pPr>
        <w:topLinePunct/>
        <w:spacing w:line="440" w:lineRule="exact"/>
        <w:jc w:val="center"/>
        <w:rPr>
          <w:rFonts w:ascii="Times New Roman" w:hAnsi="Times New Roman" w:cs="Times New Roman"/>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hint="default"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p>
        </w:tc>
      </w:tr>
    </w:tbl>
    <w:p>
      <w:pPr>
        <w:widowControl/>
        <w:autoSpaceDE w:val="0"/>
        <w:autoSpaceDN w:val="0"/>
        <w:spacing w:line="360" w:lineRule="atLeast"/>
        <w:ind w:left="18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在本表后应附企业法人营业执照、</w:t>
      </w:r>
      <w:r>
        <w:rPr>
          <w:rFonts w:hint="eastAsia" w:ascii="Times New Roman" w:hAnsi="Times New Roman" w:eastAsia="黑体" w:cs="Times New Roman"/>
          <w:sz w:val="21"/>
          <w:szCs w:val="21"/>
          <w:highlight w:val="none"/>
          <w:lang w:val="en-US" w:eastAsia="zh-CN"/>
        </w:rPr>
        <w:t>相关</w:t>
      </w:r>
      <w:r>
        <w:rPr>
          <w:rFonts w:ascii="Times New Roman" w:hAnsi="Times New Roman" w:eastAsia="黑体" w:cs="Times New Roman"/>
          <w:sz w:val="21"/>
          <w:szCs w:val="21"/>
          <w:highlight w:val="none"/>
        </w:rPr>
        <w:t>证书、及资格审查要求的其他证件复印件。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highlight w:val="none"/>
        </w:rPr>
      </w:pPr>
    </w:p>
    <w:p>
      <w:pPr>
        <w:spacing w:line="360" w:lineRule="auto"/>
        <w:ind w:firstLine="2520" w:firstLineChars="1200"/>
        <w:rPr>
          <w:rFonts w:hint="eastAsia" w:hAnsi="宋体" w:cs="宋体"/>
          <w:bCs/>
          <w:color w:val="auto"/>
          <w:highlight w:val="none"/>
        </w:rPr>
      </w:pPr>
      <w:r>
        <w:rPr>
          <w:rFonts w:ascii="Times New Roman" w:hAnsi="Times New Roman" w:eastAsia="黑体" w:cs="Times New Roman"/>
          <w:szCs w:val="21"/>
          <w:highlight w:val="none"/>
        </w:rPr>
        <w:br w:type="page"/>
      </w:r>
    </w:p>
    <w:p>
      <w:pPr>
        <w:bidi w:val="0"/>
        <w:jc w:val="center"/>
        <w:rPr>
          <w:rFonts w:hint="eastAsia" w:ascii="黑体" w:hAnsi="黑体" w:eastAsia="黑体" w:cs="黑体"/>
          <w:sz w:val="28"/>
          <w:szCs w:val="28"/>
          <w:highlight w:val="none"/>
        </w:rPr>
      </w:pPr>
      <w:bookmarkStart w:id="480" w:name="_Toc19004_WPSOffice_Level1"/>
      <w:bookmarkStart w:id="481" w:name="_Toc3912"/>
      <w:bookmarkStart w:id="482" w:name="_Toc5072_WPSOffice_Level1"/>
      <w:bookmarkStart w:id="483" w:name="_Toc18547_WPSOffice_Level1"/>
      <w:bookmarkStart w:id="484" w:name="_Toc3772_WPSOffice_Level1"/>
      <w:bookmarkStart w:id="485" w:name="_Toc1452_WPSOffice_Level1"/>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、近年类似业绩情况</w:t>
      </w:r>
      <w:bookmarkEnd w:id="480"/>
      <w:bookmarkEnd w:id="481"/>
      <w:bookmarkEnd w:id="482"/>
      <w:bookmarkEnd w:id="483"/>
      <w:bookmarkEnd w:id="484"/>
      <w:bookmarkEnd w:id="485"/>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6258"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w:t>
            </w:r>
            <w:r>
              <w:rPr>
                <w:rFonts w:hint="default" w:ascii="Times New Roman" w:hAnsi="Times New Roman" w:cs="Times New Roman"/>
                <w:szCs w:val="21"/>
                <w:highlight w:val="none"/>
              </w:rPr>
              <w:t>名称</w:t>
            </w:r>
          </w:p>
        </w:tc>
        <w:tc>
          <w:tcPr>
            <w:tcW w:w="6258"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业主代表姓名</w:t>
            </w:r>
          </w:p>
        </w:tc>
        <w:tc>
          <w:tcPr>
            <w:tcW w:w="6258"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rPr>
              <w:t>业主代表</w:t>
            </w:r>
            <w:r>
              <w:rPr>
                <w:rFonts w:hint="default" w:ascii="Times New Roman" w:hAnsi="Times New Roman" w:cs="Times New Roman"/>
                <w:szCs w:val="21"/>
                <w:highlight w:val="none"/>
              </w:rPr>
              <w:t>电话</w:t>
            </w:r>
          </w:p>
        </w:tc>
        <w:tc>
          <w:tcPr>
            <w:tcW w:w="6258"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合同价格</w:t>
            </w:r>
          </w:p>
        </w:tc>
        <w:tc>
          <w:tcPr>
            <w:tcW w:w="6258"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供货</w:t>
            </w:r>
            <w:r>
              <w:rPr>
                <w:rFonts w:hint="eastAsia" w:ascii="Times New Roman" w:hAnsi="Times New Roman" w:cs="Times New Roman"/>
                <w:szCs w:val="21"/>
                <w:highlight w:val="none"/>
              </w:rPr>
              <w:t>内容</w:t>
            </w:r>
            <w:r>
              <w:rPr>
                <w:rFonts w:hint="default" w:ascii="Times New Roman" w:hAnsi="Times New Roman" w:cs="Times New Roman"/>
                <w:szCs w:val="21"/>
                <w:highlight w:val="none"/>
              </w:rPr>
              <w:t>描述</w:t>
            </w:r>
          </w:p>
        </w:tc>
        <w:tc>
          <w:tcPr>
            <w:tcW w:w="6258"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6258"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highlight w:val="none"/>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注：</w:t>
      </w:r>
    </w:p>
    <w:p>
      <w:pPr>
        <w:keepNext w:val="0"/>
        <w:keepLines w:val="0"/>
        <w:pageBreakBefore w:val="0"/>
        <w:widowControl/>
        <w:numPr>
          <w:ilvl w:val="0"/>
          <w:numId w:val="4"/>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none"/>
        </w:rPr>
      </w:pPr>
      <w:r>
        <w:rPr>
          <w:rFonts w:hint="eastAsia" w:ascii="黑体" w:hAnsi="黑体" w:eastAsia="黑体" w:cs="黑体"/>
          <w:sz w:val="21"/>
          <w:szCs w:val="21"/>
          <w:highlight w:val="none"/>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rPr>
        <w:t>2、业绩证明材料要求：</w:t>
      </w:r>
      <w:r>
        <w:rPr>
          <w:rFonts w:hint="eastAsia" w:ascii="黑体" w:hAnsi="黑体" w:eastAsia="黑体" w:cs="黑体"/>
          <w:sz w:val="21"/>
          <w:szCs w:val="21"/>
          <w:highlight w:val="none"/>
          <w:u w:val="single"/>
          <w:lang w:val="en-US" w:eastAsia="zh-CN"/>
        </w:rPr>
        <w:t>详见业绩最低要求</w:t>
      </w:r>
      <w:r>
        <w:rPr>
          <w:rFonts w:hint="eastAsia" w:ascii="黑体" w:hAnsi="黑体" w:eastAsia="黑体" w:cs="黑体"/>
          <w:sz w:val="21"/>
          <w:szCs w:val="21"/>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highlight w:val="none"/>
        </w:rPr>
      </w:pPr>
      <w:r>
        <w:rPr>
          <w:rFonts w:hint="eastAsia" w:ascii="黑体" w:hAnsi="黑体" w:eastAsia="黑体" w:cs="黑体"/>
          <w:sz w:val="21"/>
          <w:szCs w:val="21"/>
          <w:highlight w:val="none"/>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highlight w:val="none"/>
        </w:rPr>
        <w:br w:type="page"/>
      </w:r>
    </w:p>
    <w:p>
      <w:pPr>
        <w:bidi w:val="0"/>
        <w:jc w:val="center"/>
        <w:rPr>
          <w:rFonts w:ascii="Times New Roman" w:hAnsi="Times New Roman" w:cs="Times New Roman"/>
          <w:bCs/>
          <w:sz w:val="23"/>
          <w:szCs w:val="23"/>
          <w:highlight w:val="none"/>
        </w:rPr>
      </w:pPr>
      <w:bookmarkStart w:id="486" w:name="_Toc3893_WPSOffice_Level1"/>
      <w:bookmarkStart w:id="487" w:name="_Toc5889_WPSOffice_Level1"/>
      <w:bookmarkStart w:id="488" w:name="_Toc12019_WPSOffice_Level1"/>
      <w:bookmarkStart w:id="489" w:name="_Toc5403_WPSOffice_Level1"/>
      <w:bookmarkStart w:id="490" w:name="_Toc26594_WPSOffice_Level1"/>
      <w:bookmarkStart w:id="491" w:name="_Toc10810_WPSOffice_Level1"/>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、信誉情况</w:t>
      </w:r>
      <w:bookmarkEnd w:id="486"/>
      <w:bookmarkEnd w:id="487"/>
      <w:bookmarkEnd w:id="488"/>
      <w:bookmarkEnd w:id="489"/>
      <w:bookmarkEnd w:id="490"/>
      <w:bookmarkEnd w:id="491"/>
    </w:p>
    <w:p>
      <w:pPr>
        <w:topLinePunct/>
        <w:spacing w:line="440" w:lineRule="exact"/>
        <w:rPr>
          <w:rFonts w:ascii="Times New Roman" w:hAnsi="Times New Roman" w:cs="Times New Roman"/>
          <w:bCs/>
          <w:sz w:val="23"/>
          <w:szCs w:val="23"/>
          <w:highlight w:val="none"/>
        </w:rPr>
      </w:pPr>
    </w:p>
    <w:tbl>
      <w:tblPr>
        <w:tblStyle w:val="20"/>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default"/>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left"/>
              <w:rPr>
                <w:rFonts w:hint="default"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wordWrap w:val="0"/>
              <w:spacing w:before="0" w:beforeAutospacing="0" w:after="0" w:afterAutospacing="0" w:line="400" w:lineRule="exact"/>
              <w:ind w:left="0" w:right="0"/>
              <w:rPr>
                <w:rFonts w:hint="default"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rFonts w:hint="default"/>
                <w:sz w:val="22"/>
                <w:szCs w:val="22"/>
                <w:highlight w:val="none"/>
              </w:rPr>
              <w:fldChar w:fldCharType="begin"/>
            </w:r>
            <w:r>
              <w:rPr>
                <w:rFonts w:hint="default"/>
                <w:sz w:val="22"/>
                <w:szCs w:val="22"/>
                <w:highlight w:val="none"/>
              </w:rPr>
              <w:instrText xml:space="preserve"> HYPERLINK "http://www.creditchina.gov.cn/" </w:instrText>
            </w:r>
            <w:r>
              <w:rPr>
                <w:rFonts w:hint="default"/>
                <w:sz w:val="22"/>
                <w:szCs w:val="22"/>
                <w:highlight w:val="none"/>
              </w:rPr>
              <w:fldChar w:fldCharType="separate"/>
            </w:r>
            <w:r>
              <w:rPr>
                <w:rStyle w:val="24"/>
                <w:rFonts w:hint="default"/>
                <w:color w:val="auto"/>
                <w:sz w:val="22"/>
                <w:szCs w:val="22"/>
                <w:highlight w:val="none"/>
              </w:rPr>
              <w:t>在</w:t>
            </w:r>
            <w:r>
              <w:rPr>
                <w:rStyle w:val="24"/>
                <w:rFonts w:hint="eastAsia"/>
                <w:color w:val="auto"/>
                <w:sz w:val="22"/>
                <w:szCs w:val="22"/>
                <w:highlight w:val="none"/>
              </w:rPr>
              <w:t>“</w:t>
            </w:r>
            <w:r>
              <w:rPr>
                <w:rStyle w:val="24"/>
                <w:rFonts w:hint="default"/>
                <w:color w:val="auto"/>
                <w:sz w:val="22"/>
                <w:szCs w:val="22"/>
                <w:highlight w:val="none"/>
              </w:rPr>
              <w:t>信用中国</w:t>
            </w:r>
            <w:r>
              <w:rPr>
                <w:rStyle w:val="24"/>
                <w:rFonts w:hint="eastAsia"/>
                <w:color w:val="auto"/>
                <w:sz w:val="22"/>
                <w:szCs w:val="22"/>
                <w:highlight w:val="none"/>
              </w:rPr>
              <w:t>”</w:t>
            </w:r>
            <w:r>
              <w:rPr>
                <w:rStyle w:val="24"/>
                <w:rFonts w:hint="default"/>
                <w:color w:val="auto"/>
                <w:sz w:val="22"/>
                <w:szCs w:val="22"/>
                <w:highlight w:val="none"/>
              </w:rPr>
              <w:t>网站（http://w</w:t>
            </w:r>
            <w:r>
              <w:rPr>
                <w:rFonts w:hint="default"/>
                <w:sz w:val="22"/>
                <w:szCs w:val="22"/>
                <w:highlight w:val="none"/>
              </w:rPr>
              <w:fldChar w:fldCharType="end"/>
            </w:r>
            <w:r>
              <w:rPr>
                <w:rFonts w:hint="default"/>
                <w:sz w:val="22"/>
                <w:szCs w:val="22"/>
                <w:highlight w:val="none"/>
              </w:rPr>
              <w:t>w</w:t>
            </w:r>
            <w:r>
              <w:rPr>
                <w:rFonts w:hint="default"/>
                <w:sz w:val="22"/>
                <w:szCs w:val="22"/>
                <w:highlight w:val="none"/>
              </w:rPr>
              <w:fldChar w:fldCharType="begin"/>
            </w:r>
            <w:r>
              <w:rPr>
                <w:rFonts w:hint="default"/>
                <w:sz w:val="22"/>
                <w:szCs w:val="22"/>
                <w:highlight w:val="none"/>
              </w:rPr>
              <w:instrText xml:space="preserve"> HYPERLINK "http://www.creditchina.gov.cn/" </w:instrText>
            </w:r>
            <w:r>
              <w:rPr>
                <w:rFonts w:hint="default"/>
                <w:sz w:val="22"/>
                <w:szCs w:val="22"/>
                <w:highlight w:val="none"/>
              </w:rPr>
              <w:fldChar w:fldCharType="separate"/>
            </w:r>
            <w:r>
              <w:rPr>
                <w:rStyle w:val="24"/>
                <w:rFonts w:hint="default"/>
                <w:color w:val="auto"/>
                <w:sz w:val="22"/>
                <w:szCs w:val="22"/>
                <w:highlight w:val="none"/>
              </w:rPr>
              <w:t>w.creditchina.gov.c</w:t>
            </w:r>
            <w:r>
              <w:rPr>
                <w:rFonts w:hint="default"/>
                <w:sz w:val="22"/>
                <w:szCs w:val="22"/>
                <w:highlight w:val="none"/>
              </w:rPr>
              <w:fldChar w:fldCharType="end"/>
            </w:r>
            <w:r>
              <w:rPr>
                <w:rFonts w:hint="default"/>
                <w:sz w:val="22"/>
                <w:szCs w:val="22"/>
                <w:highlight w:val="none"/>
              </w:rPr>
              <w:t>n</w:t>
            </w:r>
            <w:r>
              <w:rPr>
                <w:rFonts w:hint="default"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sz w:val="22"/>
                <w:szCs w:val="22"/>
                <w:highlight w:val="none"/>
              </w:rPr>
            </w:pPr>
            <w:r>
              <w:rPr>
                <w:rFonts w:hint="eastAsia"/>
                <w:sz w:val="22"/>
                <w:szCs w:val="22"/>
                <w:highlight w:val="none"/>
              </w:rPr>
              <w:t>（6）</w:t>
            </w:r>
            <w:r>
              <w:rPr>
                <w:rFonts w:hint="default"/>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wordWrap w:val="0"/>
              <w:spacing w:before="0" w:beforeAutospacing="0" w:after="0" w:afterAutospacing="0"/>
              <w:ind w:left="0" w:right="0"/>
              <w:jc w:val="left"/>
              <w:rPr>
                <w:rFonts w:hint="default"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default"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2"/>
                <w:szCs w:val="22"/>
                <w:highlight w:val="none"/>
              </w:rPr>
            </w:pPr>
          </w:p>
        </w:tc>
      </w:tr>
    </w:tbl>
    <w:p>
      <w:pPr>
        <w:autoSpaceDE w:val="0"/>
        <w:snapToGrid w:val="0"/>
        <w:ind w:right="109" w:rightChars="52"/>
        <w:rPr>
          <w:rFonts w:hint="eastAsia" w:ascii="宋体" w:hAnsi="宋体"/>
          <w:szCs w:val="21"/>
          <w:highlight w:val="none"/>
        </w:rPr>
      </w:pPr>
      <w:r>
        <w:rPr>
          <w:rFonts w:ascii="宋体" w:hAnsi="宋体"/>
          <w:szCs w:val="21"/>
          <w:highlight w:val="none"/>
        </w:rPr>
        <w:t>注：1.本表后应附：</w:t>
      </w:r>
    </w:p>
    <w:p>
      <w:pPr>
        <w:autoSpaceDE w:val="0"/>
        <w:snapToGrid w:val="0"/>
        <w:ind w:right="109" w:rightChars="52" w:firstLine="420" w:firstLineChars="200"/>
        <w:rPr>
          <w:rFonts w:ascii="宋体" w:hAnsi="宋体"/>
          <w:szCs w:val="21"/>
          <w:highlight w:val="none"/>
        </w:rPr>
      </w:pPr>
      <w:r>
        <w:rPr>
          <w:rFonts w:ascii="宋体" w:hAnsi="宋体"/>
          <w:szCs w:val="21"/>
          <w:highlight w:val="none"/>
        </w:rPr>
        <w:t>（1）投标人在全国企业信用信息公示系统中未被列入严重违法失信企业名单的网页截图；</w:t>
      </w:r>
    </w:p>
    <w:p>
      <w:pPr>
        <w:autoSpaceDE w:val="0"/>
        <w:snapToGrid w:val="0"/>
        <w:ind w:right="109" w:rightChars="52" w:firstLine="420" w:firstLineChars="200"/>
        <w:rPr>
          <w:rFonts w:ascii="宋体" w:hAnsi="宋体"/>
          <w:szCs w:val="21"/>
          <w:highlight w:val="none"/>
        </w:rPr>
      </w:pPr>
      <w:r>
        <w:rPr>
          <w:rFonts w:ascii="宋体" w:hAnsi="宋体"/>
          <w:szCs w:val="21"/>
          <w:highlight w:val="none"/>
        </w:rPr>
        <w:t>（2）投标人在</w:t>
      </w:r>
      <w:r>
        <w:rPr>
          <w:rFonts w:ascii="宋体" w:hAnsi="宋体"/>
          <w:szCs w:val="21"/>
          <w:highlight w:val="none"/>
        </w:rPr>
        <w:fldChar w:fldCharType="begin"/>
      </w:r>
      <w:r>
        <w:rPr>
          <w:rFonts w:ascii="宋体" w:hAnsi="宋体"/>
          <w:szCs w:val="21"/>
          <w:highlight w:val="none"/>
        </w:rPr>
        <w:instrText xml:space="preserve"> HYPERLINK "http://www.creditchina.gov.cn/" </w:instrText>
      </w:r>
      <w:r>
        <w:rPr>
          <w:rFonts w:ascii="宋体" w:hAnsi="宋体"/>
          <w:szCs w:val="21"/>
          <w:highlight w:val="none"/>
        </w:rPr>
        <w:fldChar w:fldCharType="separate"/>
      </w:r>
      <w:r>
        <w:rPr>
          <w:rStyle w:val="24"/>
          <w:rFonts w:hint="eastAsia" w:ascii="宋体" w:hAnsi="宋体"/>
          <w:color w:val="auto"/>
          <w:szCs w:val="21"/>
          <w:highlight w:val="none"/>
          <w:u w:val="none"/>
        </w:rPr>
        <w:t>“</w:t>
      </w:r>
      <w:r>
        <w:rPr>
          <w:rStyle w:val="24"/>
          <w:rFonts w:ascii="宋体" w:hAnsi="宋体"/>
          <w:color w:val="auto"/>
          <w:szCs w:val="21"/>
          <w:highlight w:val="none"/>
          <w:u w:val="none"/>
        </w:rPr>
        <w:t>信用中国</w:t>
      </w:r>
      <w:r>
        <w:rPr>
          <w:rStyle w:val="24"/>
          <w:rFonts w:hint="eastAsia" w:ascii="宋体" w:hAnsi="宋体"/>
          <w:color w:val="auto"/>
          <w:szCs w:val="21"/>
          <w:highlight w:val="none"/>
          <w:u w:val="none"/>
        </w:rPr>
        <w:t>”</w:t>
      </w:r>
      <w:r>
        <w:rPr>
          <w:rStyle w:val="24"/>
          <w:rFonts w:ascii="宋体" w:hAnsi="宋体"/>
          <w:color w:val="auto"/>
          <w:szCs w:val="21"/>
          <w:highlight w:val="none"/>
          <w:u w:val="none"/>
        </w:rPr>
        <w:t>网站中未被列入失信被执行人名单的网页截图</w:t>
      </w:r>
      <w:r>
        <w:rPr>
          <w:rFonts w:ascii="宋体" w:hAnsi="宋体"/>
          <w:szCs w:val="21"/>
          <w:highlight w:val="none"/>
        </w:rPr>
        <w:fldChar w:fldCharType="end"/>
      </w:r>
      <w:r>
        <w:rPr>
          <w:rFonts w:ascii="宋体" w:hAnsi="宋体"/>
          <w:szCs w:val="21"/>
          <w:highlight w:val="none"/>
        </w:rPr>
        <w:t>；</w:t>
      </w:r>
    </w:p>
    <w:p>
      <w:pPr>
        <w:autoSpaceDE w:val="0"/>
        <w:snapToGrid w:val="0"/>
        <w:ind w:left="15" w:leftChars="7" w:right="109" w:rightChars="52" w:firstLine="403" w:firstLineChars="192"/>
        <w:jc w:val="left"/>
        <w:rPr>
          <w:rFonts w:hint="eastAsia" w:ascii="宋体" w:hAnsi="宋体" w:cs="宋体"/>
          <w:sz w:val="22"/>
          <w:szCs w:val="18"/>
          <w:highlight w:val="none"/>
        </w:rPr>
      </w:pPr>
      <w:r>
        <w:rPr>
          <w:rFonts w:ascii="宋体" w:hAnsi="宋体"/>
          <w:szCs w:val="21"/>
          <w:highlight w:val="none"/>
        </w:rPr>
        <w:t>2.投标人应如实填报，若经查实投标人存在瞒报行为，将取消其投标或中标资格。</w:t>
      </w:r>
    </w:p>
    <w:p>
      <w:pPr>
        <w:pStyle w:val="7"/>
        <w:jc w:val="right"/>
        <w:rPr>
          <w:rFonts w:ascii="Times New Roman" w:hAnsi="Times New Roman" w:cs="Times New Roman"/>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pPr>
        <w:pStyle w:val="7"/>
        <w:keepNext w:val="0"/>
        <w:keepLines w:val="0"/>
        <w:pageBreakBefore w:val="0"/>
        <w:widowControl w:val="0"/>
        <w:kinsoku/>
        <w:wordWrap/>
        <w:overflowPunct/>
        <w:topLinePunct w:val="0"/>
        <w:autoSpaceDE/>
        <w:autoSpaceDN/>
        <w:bidi w:val="0"/>
        <w:adjustRightInd/>
        <w:snapToGrid/>
        <w:spacing w:line="560" w:lineRule="exact"/>
        <w:jc w:val="right"/>
        <w:textAlignment w:val="auto"/>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pStyle w:val="7"/>
        <w:rPr>
          <w:highlight w:val="none"/>
        </w:rPr>
      </w:pPr>
    </w:p>
    <w:p>
      <w:pPr>
        <w:pStyle w:val="7"/>
        <w:spacing w:line="440" w:lineRule="exact"/>
        <w:rPr>
          <w:rFonts w:ascii="Times New Roman" w:hAnsi="Times New Roman" w:cs="Times New Roman"/>
          <w:sz w:val="24"/>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numPr>
          <w:ilvl w:val="0"/>
          <w:numId w:val="0"/>
        </w:numPr>
        <w:bidi w:val="0"/>
        <w:jc w:val="center"/>
        <w:rPr>
          <w:rFonts w:hint="eastAsia" w:ascii="Times New Roman"/>
          <w:color w:val="auto"/>
          <w:szCs w:val="24"/>
          <w:highlight w:val="none"/>
          <w:lang w:eastAsia="zh-CN"/>
        </w:rPr>
      </w:pPr>
      <w:bookmarkStart w:id="492" w:name="_Toc22303_WPSOffice_Level1"/>
      <w:bookmarkStart w:id="493" w:name="_Toc5957_WPSOffice_Level1"/>
      <w:bookmarkStart w:id="494" w:name="_Toc31963_WPSOffice_Level1"/>
      <w:bookmarkStart w:id="495" w:name="_Toc2428_WPSOffice_Level1"/>
      <w:bookmarkStart w:id="496" w:name="_Toc13165_WPSOffice_Level1"/>
      <w:bookmarkStart w:id="497" w:name="_Toc19034_WPSOffice_Level1"/>
      <w:r>
        <w:rPr>
          <w:rFonts w:hint="eastAsia" w:ascii="黑体" w:hAnsi="黑体" w:eastAsia="黑体" w:cs="黑体"/>
          <w:sz w:val="28"/>
          <w:szCs w:val="28"/>
          <w:highlight w:val="none"/>
          <w:lang w:val="en-US" w:eastAsia="zh-CN"/>
        </w:rPr>
        <w:t>六、供货方案</w:t>
      </w:r>
    </w:p>
    <w:p>
      <w:pPr>
        <w:numPr>
          <w:ilvl w:val="0"/>
          <w:numId w:val="0"/>
        </w:numPr>
        <w:bidi w:val="0"/>
        <w:jc w:val="both"/>
        <w:rPr>
          <w:rFonts w:hint="eastAsia" w:ascii="Times New Roman"/>
          <w:color w:val="auto"/>
          <w:sz w:val="24"/>
          <w:szCs w:val="24"/>
          <w:highlight w:val="none"/>
          <w:lang w:eastAsia="zh-CN"/>
        </w:rPr>
      </w:pPr>
      <w:r>
        <w:rPr>
          <w:rFonts w:hint="eastAsia" w:ascii="Times New Roman"/>
          <w:color w:val="auto"/>
          <w:sz w:val="24"/>
          <w:szCs w:val="24"/>
          <w:highlight w:val="none"/>
          <w:lang w:val="en-US" w:eastAsia="zh-CN"/>
        </w:rPr>
        <w:t>供应商应按项目特点编制供货方案</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文字宜精炼，内容具有可行性、针对性</w:t>
      </w:r>
      <w:r>
        <w:rPr>
          <w:rFonts w:hint="eastAsia" w:ascii="Times New Roman"/>
          <w:color w:val="auto"/>
          <w:sz w:val="24"/>
          <w:szCs w:val="24"/>
          <w:highlight w:val="none"/>
          <w:lang w:eastAsia="zh-CN"/>
        </w:rPr>
        <w:t>。</w:t>
      </w:r>
    </w:p>
    <w:p>
      <w:pPr>
        <w:pStyle w:val="19"/>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9"/>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9"/>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9"/>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9"/>
        <w:rPr>
          <w:rFonts w:hint="eastAsia" w:ascii="Times New Roman" w:hAnsi="Times New Roman" w:eastAsia="黑体" w:cs="Times New Roman"/>
          <w:sz w:val="28"/>
          <w:szCs w:val="28"/>
          <w:highlight w:val="none"/>
        </w:rPr>
      </w:pPr>
    </w:p>
    <w:p>
      <w:pPr>
        <w:rPr>
          <w:rFonts w:hint="eastAsia"/>
          <w:highlight w:val="none"/>
        </w:rPr>
      </w:pPr>
    </w:p>
    <w:p>
      <w:pPr>
        <w:pStyle w:val="19"/>
        <w:rPr>
          <w:rFonts w:hint="eastAsia"/>
          <w:highlight w:val="none"/>
        </w:rPr>
      </w:pPr>
    </w:p>
    <w:p>
      <w:pPr>
        <w:pStyle w:val="19"/>
        <w:rPr>
          <w:rFonts w:hint="eastAsia"/>
          <w:highlight w:val="none"/>
        </w:rPr>
      </w:pPr>
    </w:p>
    <w:p>
      <w:pPr>
        <w:rPr>
          <w:rFonts w:hint="eastAsia"/>
          <w:highlight w:val="none"/>
        </w:rPr>
      </w:pPr>
    </w:p>
    <w:p>
      <w:pPr>
        <w:pStyle w:val="19"/>
        <w:rPr>
          <w:rFonts w:hint="eastAsia"/>
          <w:highlight w:val="none"/>
        </w:rPr>
      </w:pPr>
    </w:p>
    <w:p>
      <w:pPr>
        <w:rPr>
          <w:rFonts w:hint="eastAsia"/>
          <w:highlight w:val="none"/>
        </w:rPr>
      </w:pPr>
    </w:p>
    <w:p>
      <w:pPr>
        <w:pStyle w:val="19"/>
        <w:rPr>
          <w:rFonts w:hint="eastAsia"/>
          <w:highlight w:val="none"/>
        </w:rPr>
      </w:pPr>
    </w:p>
    <w:p>
      <w:pPr>
        <w:rPr>
          <w:rFonts w:hint="eastAsia"/>
          <w:highlight w:val="none"/>
        </w:rPr>
      </w:pPr>
    </w:p>
    <w:p>
      <w:pPr>
        <w:pStyle w:val="19"/>
        <w:rPr>
          <w:rFonts w:hint="eastAsia"/>
          <w:highlight w:val="none"/>
        </w:rPr>
      </w:pPr>
    </w:p>
    <w:p>
      <w:pPr>
        <w:rPr>
          <w:rFonts w:hint="eastAsia"/>
          <w:highlight w:val="none"/>
        </w:rPr>
      </w:pPr>
    </w:p>
    <w:p>
      <w:pPr>
        <w:pStyle w:val="19"/>
        <w:rPr>
          <w:rFonts w:hint="eastAsia"/>
          <w:highlight w:val="none"/>
        </w:rPr>
      </w:pPr>
    </w:p>
    <w:p>
      <w:pPr>
        <w:rPr>
          <w:rFonts w:hint="eastAsia"/>
          <w:highlight w:val="none"/>
        </w:rPr>
      </w:pPr>
    </w:p>
    <w:p>
      <w:pPr>
        <w:pStyle w:val="7"/>
        <w:rPr>
          <w:rFonts w:hint="eastAsia"/>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七</w:t>
      </w:r>
      <w:r>
        <w:rPr>
          <w:rFonts w:ascii="Times New Roman" w:hAnsi="Times New Roman" w:eastAsia="黑体" w:cs="Times New Roman"/>
          <w:sz w:val="28"/>
          <w:szCs w:val="28"/>
          <w:highlight w:val="none"/>
        </w:rPr>
        <w:t>、其</w:t>
      </w:r>
      <w:bookmarkEnd w:id="492"/>
      <w:r>
        <w:rPr>
          <w:rFonts w:hint="eastAsia" w:ascii="Times New Roman" w:hAnsi="Times New Roman" w:eastAsia="黑体" w:cs="Times New Roman"/>
          <w:sz w:val="28"/>
          <w:szCs w:val="28"/>
          <w:highlight w:val="none"/>
          <w:lang w:val="en-US" w:eastAsia="zh-CN"/>
        </w:rPr>
        <w:t>他</w:t>
      </w:r>
      <w:r>
        <w:rPr>
          <w:rFonts w:ascii="Times New Roman" w:hAnsi="Times New Roman" w:eastAsia="黑体" w:cs="Times New Roman"/>
          <w:sz w:val="28"/>
          <w:szCs w:val="28"/>
          <w:highlight w:val="none"/>
        </w:rPr>
        <w:t>材料</w:t>
      </w:r>
      <w:bookmarkEnd w:id="493"/>
      <w:bookmarkEnd w:id="494"/>
      <w:bookmarkEnd w:id="495"/>
      <w:bookmarkEnd w:id="496"/>
      <w:bookmarkEnd w:id="497"/>
    </w:p>
    <w:p>
      <w:pPr>
        <w:pStyle w:val="27"/>
        <w:rPr>
          <w:rFonts w:hint="default" w:ascii="Times New Roman" w:hAnsi="Times New Roman"/>
          <w:color w:val="auto"/>
          <w:szCs w:val="28"/>
          <w:highlight w:val="none"/>
        </w:rPr>
      </w:pPr>
    </w:p>
    <w:p>
      <w:pPr>
        <w:pStyle w:val="27"/>
        <w:numPr>
          <w:ilvl w:val="0"/>
          <w:numId w:val="0"/>
        </w:numPr>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响应保证金的银行凭证（电汇回单）复印件等。</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36"/>
          <w:szCs w:val="36"/>
          <w:highlight w:val="none"/>
        </w:rPr>
      </w:pP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r>
        <w:rPr>
          <w:rFonts w:ascii="Times New Roman" w:hAnsi="Times New Roman" w:eastAsia="黑体" w:cs="Times New Roman"/>
          <w:sz w:val="36"/>
          <w:szCs w:val="36"/>
          <w:highlight w:val="none"/>
        </w:rPr>
        <w:t>询比</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pPr>
        <w:pStyle w:val="19"/>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（报价文件）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r>
        <w:rPr>
          <w:rFonts w:ascii="Times New Roman" w:hAnsi="Times New Roman" w:eastAsia="黑体" w:cs="Times New Roman"/>
          <w:sz w:val="28"/>
          <w:szCs w:val="28"/>
          <w:highlight w:val="none"/>
        </w:rPr>
        <w:t>目     录</w:t>
      </w:r>
    </w:p>
    <w:p>
      <w:pPr>
        <w:spacing w:line="440" w:lineRule="exact"/>
        <w:rPr>
          <w:rFonts w:ascii="Times New Roman" w:hAnsi="Times New Roman" w:eastAsia="黑体" w:cs="Times New Roman"/>
          <w:sz w:val="20"/>
          <w:szCs w:val="20"/>
          <w:highlight w:val="none"/>
        </w:rPr>
      </w:pP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一、报价函</w:t>
      </w: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二、已标价</w:t>
      </w:r>
      <w:r>
        <w:rPr>
          <w:rFonts w:hint="eastAsia" w:ascii="Times New Roman" w:hAnsi="Times New Roman" w:eastAsia="黑体" w:cs="Times New Roman"/>
          <w:sz w:val="24"/>
          <w:szCs w:val="24"/>
          <w:highlight w:val="none"/>
        </w:rPr>
        <w:t>的工程量</w:t>
      </w:r>
      <w:r>
        <w:rPr>
          <w:rFonts w:ascii="Times New Roman" w:hAnsi="Times New Roman" w:eastAsia="黑体" w:cs="Times New Roman"/>
          <w:sz w:val="24"/>
          <w:szCs w:val="24"/>
          <w:highlight w:val="none"/>
        </w:rPr>
        <w:t>清单</w:t>
      </w: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9"/>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9"/>
        <w:rPr>
          <w:highlight w:val="none"/>
        </w:rPr>
      </w:pPr>
    </w:p>
    <w:p>
      <w:pPr>
        <w:rPr>
          <w:highlight w:val="none"/>
        </w:rPr>
      </w:pPr>
    </w:p>
    <w:p>
      <w:pPr>
        <w:rPr>
          <w:highlight w:val="none"/>
        </w:rPr>
      </w:pPr>
    </w:p>
    <w:p>
      <w:pPr>
        <w:numPr>
          <w:ilvl w:val="0"/>
          <w:numId w:val="0"/>
        </w:numPr>
        <w:spacing w:line="440" w:lineRule="exact"/>
        <w:jc w:val="center"/>
        <w:rPr>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报价函</w:t>
      </w:r>
    </w:p>
    <w:p>
      <w:pPr>
        <w:pStyle w:val="19"/>
        <w:rPr>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1．我方已仔细研究了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(项目名称)询比文件的全部内容(含补遗书第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号至第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号)，愿意以人民币(大写)</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(小写：¥</w:t>
      </w:r>
      <w:r>
        <w:rPr>
          <w:rFonts w:ascii="Times New Roman" w:hAnsi="Times New Roman" w:cs="Times New Roman"/>
          <w:sz w:val="24"/>
          <w:highlight w:val="none"/>
          <w:u w:val="single"/>
        </w:rPr>
        <w:t xml:space="preserve">       </w:t>
      </w:r>
      <w:r>
        <w:rPr>
          <w:rFonts w:ascii="Times New Roman" w:hAnsi="Times New Roman" w:cs="Times New Roman"/>
          <w:sz w:val="24"/>
          <w:highlight w:val="none"/>
        </w:rPr>
        <w:t>)的总报价</w:t>
      </w:r>
      <w:r>
        <w:rPr>
          <w:rFonts w:hint="eastAsia" w:ascii="Times New Roman" w:hAnsi="Times New Roman" w:cs="Times New Roman"/>
          <w:sz w:val="24"/>
          <w:highlight w:val="none"/>
          <w:lang w:val="en-US" w:eastAsia="zh-CN"/>
        </w:rPr>
        <w:t>提供招标文件要求的货物、技术服务和质保售后服务，并按合同约定履行义务</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2．我方承诺在响应有效期内不修改、撤销响应文件。</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ascii="Times New Roman" w:hAnsi="Times New Roman" w:cs="Times New Roman"/>
          <w:sz w:val="24"/>
          <w:highlight w:val="none"/>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ascii="Times New Roman" w:hAnsi="Times New Roman" w:cs="Times New Roman"/>
          <w:sz w:val="24"/>
          <w:highlight w:val="none"/>
        </w:rPr>
        <w:t>．</w:t>
      </w:r>
      <w:r>
        <w:rPr>
          <w:rFonts w:hint="eastAsia" w:ascii="Times New Roman" w:hAnsi="Times New Roman" w:cs="Times New Roman"/>
          <w:sz w:val="24"/>
          <w:highlight w:val="none"/>
        </w:rPr>
        <w:t>我方已按招标文件要求详细审核并确认全部招标文件及有关附件，充分理解投标价格不得低于企业个别成本有关规定。我方经成本核算，所填报的投标报价不低于企业个别成本。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w:t>
      </w:r>
      <w:r>
        <w:rPr>
          <w:rFonts w:hint="eastAsia" w:ascii="Times New Roman" w:hAnsi="Times New Roman" w:cs="Times New Roman"/>
          <w:sz w:val="24"/>
          <w:highlight w:val="none"/>
        </w:rPr>
        <w:t>．除非另外达成协议并生效，你方的中标通知书和本投标文件以及招标文件、招标文件澄清、修改、补充文件将成为约束双方的合同文件的组成部分。</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6.其他补充说明：</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宋体" w:hAnsi="宋体" w:eastAsia="宋体" w:cs="宋体"/>
          <w:sz w:val="24"/>
          <w:highlight w:val="none"/>
        </w:rPr>
        <w:t>(盖单位章)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（签字或盖章）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网址：</w:t>
      </w:r>
      <w:r>
        <w:rPr>
          <w:rFonts w:ascii="Times New Roman" w:hAnsi="Times New Roman" w:cs="Times New Roman"/>
          <w:sz w:val="24"/>
          <w:highlight w:val="none"/>
          <w:u w:val="singl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电话：</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hint="eastAsia" w:ascii="Times New Roman" w:hAnsi="Times New Roman" w:cs="Times New Roman"/>
          <w:sz w:val="24"/>
          <w:highlight w:val="none"/>
        </w:rPr>
        <w:t>电子邮箱</w:t>
      </w:r>
      <w:r>
        <w:rPr>
          <w:rFonts w:ascii="Times New Roman" w:hAnsi="Times New Roman" w:cs="Times New Roman"/>
          <w:sz w:val="24"/>
          <w:highlight w:val="none"/>
        </w:rPr>
        <w:t>：</w:t>
      </w:r>
      <w:r>
        <w:rPr>
          <w:rFonts w:ascii="Times New Roman" w:hAnsi="Times New Roman" w:cs="Times New Roman"/>
          <w:sz w:val="24"/>
          <w:highlight w:val="none"/>
          <w:u w:val="single"/>
        </w:rPr>
        <w:t xml:space="preserve">                                  </w:t>
      </w:r>
    </w:p>
    <w:p>
      <w:pPr>
        <w:spacing w:line="400" w:lineRule="exact"/>
        <w:ind w:firstLine="4740" w:firstLineChars="1975"/>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rPr>
          <w:rFonts w:ascii="Times New Roman" w:hAnsi="Times New Roman" w:cs="Times New Roman"/>
          <w:sz w:val="24"/>
          <w:highlight w:val="none"/>
        </w:rPr>
      </w:pPr>
      <w:r>
        <w:rPr>
          <w:rFonts w:ascii="Times New Roman" w:hAnsi="Times New Roman" w:cs="Times New Roman"/>
          <w:sz w:val="24"/>
          <w:highlight w:val="none"/>
        </w:rPr>
        <w:br w:type="page"/>
      </w:r>
    </w:p>
    <w:p>
      <w:pPr>
        <w:numPr>
          <w:ilvl w:val="0"/>
          <w:numId w:val="0"/>
        </w:numPr>
        <w:spacing w:line="440" w:lineRule="exact"/>
        <w:jc w:val="center"/>
        <w:rPr>
          <w:rFonts w:hint="eastAsia" w:ascii="Times New Roman" w:hAnsi="Times New Roman" w:eastAsia="黑体" w:cs="Times New Roman"/>
          <w:sz w:val="28"/>
          <w:szCs w:val="28"/>
          <w:highlight w:val="none"/>
          <w:lang w:val="en-US" w:eastAsia="zh-CN"/>
        </w:rPr>
      </w:pPr>
      <w:bookmarkStart w:id="498" w:name="_Toc153421230"/>
      <w:bookmarkStart w:id="499" w:name="_Toc272486050"/>
      <w:bookmarkStart w:id="500" w:name="_Toc162490440"/>
      <w:r>
        <w:rPr>
          <w:rFonts w:hint="eastAsia" w:ascii="Times New Roman" w:hAnsi="Times New Roman" w:eastAsia="黑体" w:cs="Times New Roman"/>
          <w:sz w:val="28"/>
          <w:szCs w:val="28"/>
          <w:highlight w:val="none"/>
          <w:lang w:val="en-US" w:eastAsia="zh-CN"/>
        </w:rPr>
        <w:t>二、</w:t>
      </w:r>
      <w:bookmarkEnd w:id="498"/>
      <w:bookmarkEnd w:id="499"/>
      <w:bookmarkEnd w:id="500"/>
      <w:r>
        <w:rPr>
          <w:rFonts w:hint="eastAsia" w:ascii="Times New Roman" w:hAnsi="Times New Roman" w:eastAsia="黑体" w:cs="Times New Roman"/>
          <w:sz w:val="28"/>
          <w:szCs w:val="28"/>
          <w:highlight w:val="none"/>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sz w:val="22"/>
          <w:szCs w:val="21"/>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8"/>
        <w:jc w:val="right"/>
        <w:rPr>
          <w:rFonts w:hint="eastAsia"/>
          <w:highlight w:val="none"/>
          <w:lang w:val="en-US" w:eastAsia="zh-CN"/>
        </w:rPr>
      </w:pPr>
    </w:p>
    <w:p>
      <w:pPr>
        <w:pStyle w:val="18"/>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3"/>
        <w:numPr>
          <w:ilvl w:val="0"/>
          <w:numId w:val="0"/>
        </w:numPr>
        <w:ind w:left="417" w:leftChars="0"/>
        <w:jc w:val="center"/>
        <w:rPr>
          <w:rFonts w:hint="eastAsia" w:ascii="宋体" w:hAnsi="宋体" w:eastAsia="宋体" w:cs="宋体"/>
          <w:bCs/>
          <w:kern w:val="2"/>
          <w:sz w:val="28"/>
          <w:szCs w:val="28"/>
          <w:highlight w:val="none"/>
          <w:lang w:eastAsia="zh-CN"/>
        </w:rPr>
      </w:pPr>
      <w:r>
        <w:rPr>
          <w:rFonts w:hint="eastAsia" w:ascii="宋体" w:hAnsi="宋体" w:cs="宋体"/>
          <w:b w:val="0"/>
          <w:bCs/>
          <w:sz w:val="28"/>
          <w:szCs w:val="24"/>
          <w:highlight w:val="none"/>
        </w:rPr>
        <w:t xml:space="preserve">B. </w:t>
      </w:r>
      <w:r>
        <w:rPr>
          <w:rFonts w:hint="eastAsia" w:ascii="宋体" w:hAnsi="宋体" w:eastAsia="宋体" w:cs="宋体"/>
          <w:bCs/>
          <w:kern w:val="2"/>
          <w:sz w:val="28"/>
          <w:szCs w:val="28"/>
          <w:highlight w:val="none"/>
          <w:lang w:eastAsia="zh-CN"/>
        </w:rPr>
        <w:t>已标价工程量清单</w:t>
      </w:r>
    </w:p>
    <w:p>
      <w:pPr>
        <w:spacing w:line="360" w:lineRule="auto"/>
        <w:ind w:firstLine="480" w:firstLineChars="200"/>
        <w:rPr>
          <w:rFonts w:hint="eastAsia"/>
          <w:highlight w:val="none"/>
        </w:rPr>
      </w:pPr>
      <w:r>
        <w:rPr>
          <w:rFonts w:hint="eastAsia" w:ascii="宋体" w:hAnsi="宋体" w:cs="宋体"/>
          <w:bCs/>
          <w:sz w:val="24"/>
          <w:szCs w:val="24"/>
          <w:highlight w:val="none"/>
        </w:rPr>
        <w:t>投标人按照招标人提供的“工程量清单”的要求逐项填报工程量清单，包括但不限于工程量清单说明、投标报价说明及工程量清单各项表格。</w:t>
      </w:r>
    </w:p>
    <w:p>
      <w:pPr>
        <w:pStyle w:val="18"/>
        <w:rPr>
          <w:rFonts w:hint="eastAsia"/>
          <w:highlight w:val="none"/>
          <w:lang w:val="en-US" w:eastAsia="zh-CN"/>
        </w:rPr>
      </w:pPr>
    </w:p>
    <w:tbl>
      <w:tblPr>
        <w:tblStyle w:val="20"/>
        <w:tblW w:w="94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2220"/>
        <w:gridCol w:w="2685"/>
        <w:gridCol w:w="781"/>
        <w:gridCol w:w="1003"/>
        <w:gridCol w:w="1003"/>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7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序号</w:t>
            </w:r>
          </w:p>
        </w:tc>
        <w:tc>
          <w:tcPr>
            <w:tcW w:w="22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项目名称</w:t>
            </w:r>
          </w:p>
        </w:tc>
        <w:tc>
          <w:tcPr>
            <w:tcW w:w="26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项目特征描述</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计量单位</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工程量</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单价（元）</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1</w:t>
            </w:r>
          </w:p>
        </w:tc>
        <w:tc>
          <w:tcPr>
            <w:tcW w:w="22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充电设备</w:t>
            </w:r>
          </w:p>
        </w:tc>
        <w:tc>
          <w:tcPr>
            <w:tcW w:w="26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120KW直流快充桩，包含充电桩外观统一标识及张贴费用等</w:t>
            </w:r>
          </w:p>
        </w:tc>
        <w:tc>
          <w:tcPr>
            <w:tcW w:w="7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个</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12</w:t>
            </w: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p>
        </w:tc>
        <w:tc>
          <w:tcPr>
            <w:tcW w:w="10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2</w:t>
            </w:r>
          </w:p>
        </w:tc>
        <w:tc>
          <w:tcPr>
            <w:tcW w:w="22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合计</w:t>
            </w:r>
          </w:p>
        </w:tc>
        <w:tc>
          <w:tcPr>
            <w:tcW w:w="647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 w:eastAsia="仿宋_GB2312" w:cs="仿宋"/>
                <w:sz w:val="24"/>
                <w:szCs w:val="24"/>
                <w:highlight w:val="none"/>
                <w:lang w:val="en-US" w:eastAsia="zh-CN"/>
              </w:rPr>
            </w:pPr>
            <w:r>
              <w:rPr>
                <w:rFonts w:hint="eastAsia" w:ascii="仿宋_GB2312" w:hAnsi="仿宋" w:eastAsia="仿宋_GB2312" w:cs="仿宋"/>
                <w:sz w:val="24"/>
                <w:szCs w:val="24"/>
                <w:highlight w:val="none"/>
                <w:lang w:val="en-US" w:eastAsia="zh-CN"/>
              </w:rPr>
              <w:t>大写：               小写：¥</w:t>
            </w:r>
          </w:p>
        </w:tc>
      </w:tr>
    </w:tbl>
    <w:p>
      <w:pPr>
        <w:pStyle w:val="18"/>
        <w:rPr>
          <w:rFonts w:hint="eastAsia"/>
          <w:highlight w:val="none"/>
          <w:lang w:val="en-US" w:eastAsia="zh-CN"/>
        </w:rPr>
      </w:pPr>
    </w:p>
    <w:p>
      <w:pPr>
        <w:pStyle w:val="18"/>
        <w:rPr>
          <w:rFonts w:hint="eastAsia"/>
          <w:highlight w:val="none"/>
          <w:lang w:val="en-US" w:eastAsia="zh-CN"/>
        </w:rPr>
      </w:pPr>
    </w:p>
    <w:p>
      <w:pPr>
        <w:rPr>
          <w:highlight w:val="none"/>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5FBCE6-19AD-4D6C-9D0F-95A83D6FF5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E6DDB24-49A6-40AE-B56D-FBBF207F3B8E}"/>
  </w:font>
  <w:font w:name="仿宋">
    <w:panose1 w:val="02010609060101010101"/>
    <w:charset w:val="86"/>
    <w:family w:val="modern"/>
    <w:pitch w:val="default"/>
    <w:sig w:usb0="800002BF" w:usb1="38CF7CFA" w:usb2="00000016" w:usb3="00000000" w:csb0="00040001" w:csb1="00000000"/>
    <w:embedRegular r:id="rId3" w:fontKey="{105D905E-C3EB-4227-A3FD-347A12345EC6}"/>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4" w:fontKey="{758A38AE-FA8B-42E6-A32A-04E8172A3C0C}"/>
  </w:font>
  <w:font w:name="等线">
    <w:panose1 w:val="02010600030101010101"/>
    <w:charset w:val="86"/>
    <w:family w:val="auto"/>
    <w:pitch w:val="default"/>
    <w:sig w:usb0="A00002BF" w:usb1="38CF7CFA" w:usb2="00000016" w:usb3="00000000" w:csb0="0004000F" w:csb1="00000000"/>
    <w:embedRegular r:id="rId5" w:fontKey="{B0CD4F64-237F-4243-89EA-78D2A72D72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spacing w:beforeLines="0" w:afterLines="0"/>
                            <w:rPr>
                              <w:rFonts w:hint="eastAsia"/>
                              <w:sz w:val="18"/>
                              <w:szCs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0</w:t>
                          </w:r>
                          <w:r>
                            <w:rPr>
                              <w:rFonts w:hint="eastAsia"/>
                              <w:sz w:val="18"/>
                              <w:szCs w:val="18"/>
                            </w:rPr>
                            <w:fldChar w:fldCharType="end"/>
                          </w:r>
                          <w:r>
                            <w:rPr>
                              <w:rFonts w:hint="eastAsia"/>
                              <w:sz w:val="18"/>
                              <w:szCs w:val="18"/>
                            </w:rPr>
                            <w:t xml:space="preserve"> 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13</w:t>
                          </w:r>
                          <w:r>
                            <w:rPr>
                              <w:rFonts w:hint="eastAsia"/>
                              <w:sz w:val="18"/>
                              <w:szCs w:val="18"/>
                            </w:rPr>
                            <w:fldChar w:fldCharType="end"/>
                          </w:r>
                          <w:r>
                            <w:rPr>
                              <w:rFonts w:hint="eastAsia"/>
                              <w:sz w:val="18"/>
                              <w:szCs w:val="18"/>
                            </w:rPr>
                            <w:t xml:space="preserve"> 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NldFB5gEAAMkD&#10;AAAOAAAAAAAAAAEAIAAAAB8BAABkcnMvZTJvRG9jLnhtbFBLBQYAAAAABgAGAFkBAAB3BQAAAAA=&#10;">
              <v:fill on="f" focussize="0,0"/>
              <v:stroke on="f" weight="0.5pt"/>
              <v:imagedata o:title=""/>
              <o:lock v:ext="edit" aspectratio="f"/>
              <v:textbox inset="0mm,0mm,0mm,0mm" style="mso-fit-shape-to-text:t;">
                <w:txbxContent>
                  <w:p>
                    <w:pPr>
                      <w:pStyle w:val="12"/>
                      <w:spacing w:beforeLines="0" w:afterLines="0"/>
                      <w:rPr>
                        <w:rFonts w:hint="eastAsia"/>
                        <w:sz w:val="18"/>
                        <w:szCs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0</w:t>
                    </w:r>
                    <w:r>
                      <w:rPr>
                        <w:rFonts w:hint="eastAsia"/>
                        <w:sz w:val="18"/>
                        <w:szCs w:val="18"/>
                      </w:rPr>
                      <w:fldChar w:fldCharType="end"/>
                    </w:r>
                    <w:r>
                      <w:rPr>
                        <w:rFonts w:hint="eastAsia"/>
                        <w:sz w:val="18"/>
                        <w:szCs w:val="18"/>
                      </w:rPr>
                      <w:t xml:space="preserve"> 页 共 </w:t>
                    </w:r>
                    <w:r>
                      <w:rPr>
                        <w:rFonts w:hint="eastAsia"/>
                        <w:sz w:val="18"/>
                        <w:szCs w:val="18"/>
                      </w:rPr>
                      <w:fldChar w:fldCharType="begin"/>
                    </w:r>
                    <w:r>
                      <w:rPr>
                        <w:rFonts w:hint="eastAsia"/>
                        <w:sz w:val="18"/>
                        <w:szCs w:val="18"/>
                      </w:rPr>
                      <w:instrText xml:space="preserve"> NUMPAGES  \* MERGEFORMAT </w:instrText>
                    </w:r>
                    <w:r>
                      <w:rPr>
                        <w:rFonts w:hint="eastAsia"/>
                        <w:sz w:val="18"/>
                        <w:szCs w:val="18"/>
                      </w:rPr>
                      <w:fldChar w:fldCharType="separate"/>
                    </w:r>
                    <w:r>
                      <w:rPr>
                        <w:rFonts w:hint="eastAsia"/>
                        <w:sz w:val="18"/>
                        <w:szCs w:val="18"/>
                      </w:rPr>
                      <w:t>13</w:t>
                    </w:r>
                    <w:r>
                      <w:rPr>
                        <w:rFonts w:hint="eastAsia"/>
                        <w:sz w:val="18"/>
                        <w:szCs w:val="18"/>
                      </w:rPr>
                      <w:fldChar w:fldCharType="end"/>
                    </w:r>
                    <w:r>
                      <w:rPr>
                        <w:rFonts w:hint="eastAsia"/>
                        <w:sz w:val="18"/>
                        <w:szCs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ckThinSmallGap" w:color="auto" w:sz="12" w:space="1"/>
      </w:pBdr>
      <w:spacing w:beforeLines="0" w:afterLines="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multilevel"/>
    <w:tmpl w:val="AF0C7C81"/>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00172A27"/>
    <w:rsid w:val="0022317B"/>
    <w:rsid w:val="00302DB5"/>
    <w:rsid w:val="00302F3A"/>
    <w:rsid w:val="005607D6"/>
    <w:rsid w:val="00653222"/>
    <w:rsid w:val="00691F7C"/>
    <w:rsid w:val="00724BD4"/>
    <w:rsid w:val="007C6E94"/>
    <w:rsid w:val="00E8570D"/>
    <w:rsid w:val="023E3C6A"/>
    <w:rsid w:val="028D5673"/>
    <w:rsid w:val="02D346A3"/>
    <w:rsid w:val="038863C7"/>
    <w:rsid w:val="03A9557F"/>
    <w:rsid w:val="041241B3"/>
    <w:rsid w:val="043079EB"/>
    <w:rsid w:val="04701D1E"/>
    <w:rsid w:val="04E034BC"/>
    <w:rsid w:val="05F94BA8"/>
    <w:rsid w:val="06341F34"/>
    <w:rsid w:val="068727A0"/>
    <w:rsid w:val="07063EDC"/>
    <w:rsid w:val="071719AF"/>
    <w:rsid w:val="076958CF"/>
    <w:rsid w:val="09210464"/>
    <w:rsid w:val="0A2E7496"/>
    <w:rsid w:val="0A466107"/>
    <w:rsid w:val="0A7005A2"/>
    <w:rsid w:val="0A941F2B"/>
    <w:rsid w:val="0BDD422F"/>
    <w:rsid w:val="0DBD0BDC"/>
    <w:rsid w:val="0DE02F17"/>
    <w:rsid w:val="0EBA46A3"/>
    <w:rsid w:val="0EBB2DAD"/>
    <w:rsid w:val="0F6F4854"/>
    <w:rsid w:val="0F9F0794"/>
    <w:rsid w:val="0FBE1FCA"/>
    <w:rsid w:val="103E486A"/>
    <w:rsid w:val="106D5B52"/>
    <w:rsid w:val="1090350E"/>
    <w:rsid w:val="10944070"/>
    <w:rsid w:val="10A6372F"/>
    <w:rsid w:val="10DA535D"/>
    <w:rsid w:val="110D2AFF"/>
    <w:rsid w:val="110E5FD8"/>
    <w:rsid w:val="11DF30C9"/>
    <w:rsid w:val="12630DF6"/>
    <w:rsid w:val="129325F3"/>
    <w:rsid w:val="12FA3B2F"/>
    <w:rsid w:val="13E11194"/>
    <w:rsid w:val="14464682"/>
    <w:rsid w:val="144A391D"/>
    <w:rsid w:val="15133F2C"/>
    <w:rsid w:val="163D1F3A"/>
    <w:rsid w:val="174E701E"/>
    <w:rsid w:val="17786D5B"/>
    <w:rsid w:val="17FC3132"/>
    <w:rsid w:val="188C4113"/>
    <w:rsid w:val="191A46EE"/>
    <w:rsid w:val="19647370"/>
    <w:rsid w:val="19DE1C05"/>
    <w:rsid w:val="1A3C6E09"/>
    <w:rsid w:val="1A657CD8"/>
    <w:rsid w:val="1AA97D25"/>
    <w:rsid w:val="1B87260E"/>
    <w:rsid w:val="1C0C5403"/>
    <w:rsid w:val="1C511068"/>
    <w:rsid w:val="1CD07137"/>
    <w:rsid w:val="1CF12CD2"/>
    <w:rsid w:val="1D3772E3"/>
    <w:rsid w:val="1D3F5364"/>
    <w:rsid w:val="1D9C6C71"/>
    <w:rsid w:val="1DD02C25"/>
    <w:rsid w:val="1E7E7378"/>
    <w:rsid w:val="1F6F2FB6"/>
    <w:rsid w:val="1F93095F"/>
    <w:rsid w:val="1FB449F5"/>
    <w:rsid w:val="1FC01B05"/>
    <w:rsid w:val="20220D88"/>
    <w:rsid w:val="202D724A"/>
    <w:rsid w:val="20CE712B"/>
    <w:rsid w:val="20E701EC"/>
    <w:rsid w:val="2211172D"/>
    <w:rsid w:val="22806203"/>
    <w:rsid w:val="22A243CB"/>
    <w:rsid w:val="23610B8C"/>
    <w:rsid w:val="23663648"/>
    <w:rsid w:val="241D716E"/>
    <w:rsid w:val="24281F5D"/>
    <w:rsid w:val="244A6AC8"/>
    <w:rsid w:val="248751A0"/>
    <w:rsid w:val="24A7216D"/>
    <w:rsid w:val="2613091A"/>
    <w:rsid w:val="265909F3"/>
    <w:rsid w:val="27621A0B"/>
    <w:rsid w:val="279E7B84"/>
    <w:rsid w:val="27B103DE"/>
    <w:rsid w:val="285445B2"/>
    <w:rsid w:val="28D24D9C"/>
    <w:rsid w:val="28FE7045"/>
    <w:rsid w:val="2941798C"/>
    <w:rsid w:val="294C5129"/>
    <w:rsid w:val="295C70D0"/>
    <w:rsid w:val="29AA0009"/>
    <w:rsid w:val="2A8F70B0"/>
    <w:rsid w:val="2AE43776"/>
    <w:rsid w:val="2B1D5459"/>
    <w:rsid w:val="2CC548F1"/>
    <w:rsid w:val="2D141CF6"/>
    <w:rsid w:val="2D984126"/>
    <w:rsid w:val="2E0A4375"/>
    <w:rsid w:val="2E2A3B5A"/>
    <w:rsid w:val="2E6740D2"/>
    <w:rsid w:val="2ED8288A"/>
    <w:rsid w:val="300246FB"/>
    <w:rsid w:val="30617398"/>
    <w:rsid w:val="30793AE8"/>
    <w:rsid w:val="319B3695"/>
    <w:rsid w:val="32036508"/>
    <w:rsid w:val="32332253"/>
    <w:rsid w:val="324271A8"/>
    <w:rsid w:val="32620C95"/>
    <w:rsid w:val="32623FBE"/>
    <w:rsid w:val="333F226C"/>
    <w:rsid w:val="33A12A69"/>
    <w:rsid w:val="33C26030"/>
    <w:rsid w:val="35201A23"/>
    <w:rsid w:val="35843E04"/>
    <w:rsid w:val="361938E0"/>
    <w:rsid w:val="36C144C3"/>
    <w:rsid w:val="38894DE3"/>
    <w:rsid w:val="388C7CC2"/>
    <w:rsid w:val="38B92676"/>
    <w:rsid w:val="39D25EB8"/>
    <w:rsid w:val="39F257E0"/>
    <w:rsid w:val="3AAD339E"/>
    <w:rsid w:val="3B096510"/>
    <w:rsid w:val="3B414529"/>
    <w:rsid w:val="3B47240E"/>
    <w:rsid w:val="3B7C2F21"/>
    <w:rsid w:val="3B8A41D3"/>
    <w:rsid w:val="3BC00DC4"/>
    <w:rsid w:val="3C651D50"/>
    <w:rsid w:val="3CF7310E"/>
    <w:rsid w:val="3DAA3839"/>
    <w:rsid w:val="3E103B9E"/>
    <w:rsid w:val="3E2829E9"/>
    <w:rsid w:val="3E5113D8"/>
    <w:rsid w:val="3FB452E6"/>
    <w:rsid w:val="3FF744E4"/>
    <w:rsid w:val="403D54CD"/>
    <w:rsid w:val="408028ED"/>
    <w:rsid w:val="40A26B3A"/>
    <w:rsid w:val="41212AAF"/>
    <w:rsid w:val="4178455B"/>
    <w:rsid w:val="41B873F1"/>
    <w:rsid w:val="41BB6E00"/>
    <w:rsid w:val="41CE6B33"/>
    <w:rsid w:val="41CF3C5E"/>
    <w:rsid w:val="41FB71FC"/>
    <w:rsid w:val="426A68F1"/>
    <w:rsid w:val="426B29F2"/>
    <w:rsid w:val="42707BEA"/>
    <w:rsid w:val="42ED38B0"/>
    <w:rsid w:val="436D237B"/>
    <w:rsid w:val="44623B29"/>
    <w:rsid w:val="44CB7E92"/>
    <w:rsid w:val="44D53D34"/>
    <w:rsid w:val="45E82159"/>
    <w:rsid w:val="460C19D8"/>
    <w:rsid w:val="46767799"/>
    <w:rsid w:val="475036EC"/>
    <w:rsid w:val="476304E5"/>
    <w:rsid w:val="48407E8B"/>
    <w:rsid w:val="48941C0A"/>
    <w:rsid w:val="48F03833"/>
    <w:rsid w:val="48F7696F"/>
    <w:rsid w:val="4A304D72"/>
    <w:rsid w:val="4ADA08DD"/>
    <w:rsid w:val="4B302190"/>
    <w:rsid w:val="4BFC1FBA"/>
    <w:rsid w:val="4C0D05F0"/>
    <w:rsid w:val="4C312198"/>
    <w:rsid w:val="4C6063F0"/>
    <w:rsid w:val="4CFD71B3"/>
    <w:rsid w:val="4D237C5B"/>
    <w:rsid w:val="4DB33731"/>
    <w:rsid w:val="4DB34E9F"/>
    <w:rsid w:val="4F0478A8"/>
    <w:rsid w:val="4F570614"/>
    <w:rsid w:val="4F717CA8"/>
    <w:rsid w:val="5051384E"/>
    <w:rsid w:val="50932863"/>
    <w:rsid w:val="50C64757"/>
    <w:rsid w:val="51801680"/>
    <w:rsid w:val="51D605E7"/>
    <w:rsid w:val="528B597C"/>
    <w:rsid w:val="55CE5FAF"/>
    <w:rsid w:val="568D4A8B"/>
    <w:rsid w:val="5787376C"/>
    <w:rsid w:val="58340631"/>
    <w:rsid w:val="588621CE"/>
    <w:rsid w:val="58AC03AC"/>
    <w:rsid w:val="58B3037A"/>
    <w:rsid w:val="598F3C15"/>
    <w:rsid w:val="5A1256BA"/>
    <w:rsid w:val="5AB51CCA"/>
    <w:rsid w:val="5AB57322"/>
    <w:rsid w:val="5BC0596D"/>
    <w:rsid w:val="5BE5635E"/>
    <w:rsid w:val="5BF03F10"/>
    <w:rsid w:val="5C03587B"/>
    <w:rsid w:val="5C072331"/>
    <w:rsid w:val="5C4805D9"/>
    <w:rsid w:val="5DA53F1B"/>
    <w:rsid w:val="5DC63FF9"/>
    <w:rsid w:val="5FC627A0"/>
    <w:rsid w:val="5FD076A0"/>
    <w:rsid w:val="60CC0666"/>
    <w:rsid w:val="61DA4AD9"/>
    <w:rsid w:val="629D4803"/>
    <w:rsid w:val="62AE498D"/>
    <w:rsid w:val="63167544"/>
    <w:rsid w:val="63D57455"/>
    <w:rsid w:val="63FF44D2"/>
    <w:rsid w:val="64AB0CD1"/>
    <w:rsid w:val="64D84E1A"/>
    <w:rsid w:val="65675ED4"/>
    <w:rsid w:val="676E5CC7"/>
    <w:rsid w:val="67E14BAB"/>
    <w:rsid w:val="67EE0AE5"/>
    <w:rsid w:val="67F71E56"/>
    <w:rsid w:val="684C44B3"/>
    <w:rsid w:val="68880F3A"/>
    <w:rsid w:val="690F1726"/>
    <w:rsid w:val="6A2D5CB0"/>
    <w:rsid w:val="6AF83B5E"/>
    <w:rsid w:val="6BB90159"/>
    <w:rsid w:val="6C031C78"/>
    <w:rsid w:val="6C111246"/>
    <w:rsid w:val="6C124248"/>
    <w:rsid w:val="6C5B268C"/>
    <w:rsid w:val="6C6B059F"/>
    <w:rsid w:val="6CA00B62"/>
    <w:rsid w:val="6CFE27E3"/>
    <w:rsid w:val="6D274D94"/>
    <w:rsid w:val="6D955447"/>
    <w:rsid w:val="6DC2253B"/>
    <w:rsid w:val="6DD01AB0"/>
    <w:rsid w:val="6DEB139F"/>
    <w:rsid w:val="6E596222"/>
    <w:rsid w:val="6E8B3FD1"/>
    <w:rsid w:val="6E9D5013"/>
    <w:rsid w:val="6F4D02A4"/>
    <w:rsid w:val="6FDB7D0C"/>
    <w:rsid w:val="701F03D6"/>
    <w:rsid w:val="706B3710"/>
    <w:rsid w:val="70784F6A"/>
    <w:rsid w:val="70B2470E"/>
    <w:rsid w:val="71943263"/>
    <w:rsid w:val="71B80224"/>
    <w:rsid w:val="720B21A0"/>
    <w:rsid w:val="725D01F5"/>
    <w:rsid w:val="72775B5D"/>
    <w:rsid w:val="72E163D5"/>
    <w:rsid w:val="730651BF"/>
    <w:rsid w:val="751540E3"/>
    <w:rsid w:val="757762DF"/>
    <w:rsid w:val="76085468"/>
    <w:rsid w:val="764861AD"/>
    <w:rsid w:val="772B58B2"/>
    <w:rsid w:val="77822AD2"/>
    <w:rsid w:val="7846297D"/>
    <w:rsid w:val="79487052"/>
    <w:rsid w:val="79E06FD9"/>
    <w:rsid w:val="7A2B3BCE"/>
    <w:rsid w:val="7AC3206E"/>
    <w:rsid w:val="7AFF6ACD"/>
    <w:rsid w:val="7B436E21"/>
    <w:rsid w:val="7B982017"/>
    <w:rsid w:val="7CAA6238"/>
    <w:rsid w:val="7D777784"/>
    <w:rsid w:val="7DA02855"/>
    <w:rsid w:val="7DC73E5B"/>
    <w:rsid w:val="7DC73F51"/>
    <w:rsid w:val="7E134C71"/>
    <w:rsid w:val="7F210F90"/>
    <w:rsid w:val="7F2760C3"/>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rPr>
      <w:rFonts w:eastAsia="Calibri"/>
      <w:kern w:val="0"/>
      <w:sz w:val="22"/>
      <w:lang w:eastAsia="en-US"/>
    </w:rPr>
  </w:style>
  <w:style w:type="paragraph" w:styleId="7">
    <w:name w:val="Body Text"/>
    <w:basedOn w:val="1"/>
    <w:next w:val="8"/>
    <w:qFormat/>
    <w:uiPriority w:val="0"/>
    <w:pPr>
      <w:spacing w:after="120"/>
    </w:pPr>
  </w:style>
  <w:style w:type="paragraph" w:styleId="8">
    <w:name w:val="Title"/>
    <w:basedOn w:val="1"/>
    <w:next w:val="1"/>
    <w:qFormat/>
    <w:uiPriority w:val="0"/>
    <w:pPr>
      <w:tabs>
        <w:tab w:val="left" w:pos="450"/>
      </w:tabs>
      <w:ind w:left="450" w:hanging="450"/>
      <w:jc w:val="center"/>
    </w:pPr>
    <w:rPr>
      <w:rFonts w:ascii="黑体" w:eastAsia="黑体"/>
      <w:sz w:val="32"/>
      <w:szCs w:val="20"/>
    </w:rPr>
  </w:style>
  <w:style w:type="paragraph" w:styleId="9">
    <w:name w:val="Body Text Indent"/>
    <w:basedOn w:val="1"/>
    <w:next w:val="10"/>
    <w:link w:val="33"/>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34"/>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Body Text First Indent"/>
    <w:basedOn w:val="7"/>
    <w:qFormat/>
    <w:uiPriority w:val="99"/>
    <w:pPr>
      <w:ind w:firstLine="420" w:firstLineChars="100"/>
    </w:pPr>
  </w:style>
  <w:style w:type="paragraph" w:styleId="19">
    <w:name w:val="Body Text First Indent 2"/>
    <w:basedOn w:val="9"/>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5">
    <w:name w:val="footnote reference"/>
    <w:unhideWhenUsed/>
    <w:qFormat/>
    <w:uiPriority w:val="0"/>
    <w:rPr>
      <w:vertAlign w:val="superscript"/>
    </w:rPr>
  </w:style>
  <w:style w:type="paragraph" w:customStyle="1" w:styleId="26">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character" w:customStyle="1" w:styleId="29">
    <w:name w:val="font61"/>
    <w:basedOn w:val="22"/>
    <w:qFormat/>
    <w:uiPriority w:val="0"/>
    <w:rPr>
      <w:rFonts w:hint="eastAsia" w:ascii="宋体" w:hAnsi="宋体" w:eastAsia="宋体" w:cs="宋体"/>
      <w:color w:val="000000"/>
      <w:sz w:val="20"/>
      <w:szCs w:val="20"/>
      <w:u w:val="none"/>
    </w:rPr>
  </w:style>
  <w:style w:type="character" w:customStyle="1" w:styleId="30">
    <w:name w:val="font141"/>
    <w:basedOn w:val="22"/>
    <w:qFormat/>
    <w:uiPriority w:val="0"/>
    <w:rPr>
      <w:rFonts w:hint="eastAsia" w:ascii="宋体" w:hAnsi="宋体" w:eastAsia="宋体" w:cs="宋体"/>
      <w:color w:val="000000"/>
      <w:sz w:val="24"/>
      <w:szCs w:val="24"/>
      <w:u w:val="none"/>
      <w:vertAlign w:val="superscript"/>
    </w:rPr>
  </w:style>
  <w:style w:type="paragraph" w:customStyle="1" w:styleId="31">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2">
    <w:name w:val="List Paragraph"/>
    <w:basedOn w:val="1"/>
    <w:qFormat/>
    <w:uiPriority w:val="1"/>
    <w:pPr>
      <w:ind w:left="235" w:hanging="527"/>
    </w:pPr>
    <w:rPr>
      <w:rFonts w:ascii="宋体" w:hAnsi="宋体" w:eastAsia="宋体" w:cs="宋体"/>
      <w:lang w:val="zh-CN" w:eastAsia="zh-CN" w:bidi="zh-CN"/>
    </w:rPr>
  </w:style>
  <w:style w:type="character" w:customStyle="1" w:styleId="33">
    <w:name w:val="正文文本缩进 Char"/>
    <w:link w:val="9"/>
    <w:qFormat/>
    <w:uiPriority w:val="0"/>
  </w:style>
  <w:style w:type="character" w:customStyle="1" w:styleId="34">
    <w:name w:val="纯文本 Char"/>
    <w:link w:val="11"/>
    <w:qFormat/>
    <w:uiPriority w:val="0"/>
    <w:rPr>
      <w:rFonts w:ascii="宋体" w:hAnsi="Courier New"/>
      <w:szCs w:val="20"/>
    </w:rPr>
  </w:style>
  <w:style w:type="paragraph" w:customStyle="1" w:styleId="35">
    <w:name w:val="Table Paragraph"/>
    <w:basedOn w:val="1"/>
    <w:qFormat/>
    <w:uiPriority w:val="1"/>
    <w:rPr>
      <w:rFonts w:ascii="宋体" w:hAnsi="宋体" w:eastAsia="宋体" w:cs="宋体"/>
    </w:rPr>
  </w:style>
  <w:style w:type="table" w:customStyle="1" w:styleId="36">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37">
    <w:name w:val="font11"/>
    <w:basedOn w:val="2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27579</Words>
  <Characters>30525</Characters>
  <Lines>1</Lines>
  <Paragraphs>1</Paragraphs>
  <TotalTime>0</TotalTime>
  <ScaleCrop>false</ScaleCrop>
  <LinksUpToDate>false</LinksUpToDate>
  <CharactersWithSpaces>36063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2024-07-02T14:31:00Z</cp:lastPrinted>
  <dcterms:modified xsi:type="dcterms:W3CDTF">2024-07-02T15:17:53Z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07A895047B274B4C9D5F8F524490C22D_13</vt:lpwstr>
  </property>
</Properties>
</file>