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lang w:val="en-US" w:eastAsia="zh-CN"/>
        </w:rPr>
        <w:t>安徽省交通控股集团有限公司2024年度服务区综合改造提升工程（EPC）铝合金门窗采购项目</w:t>
      </w:r>
    </w:p>
    <w:p>
      <w:pPr>
        <w:pStyle w:val="2"/>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采</w:t>
      </w: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val="en-US" w:eastAsia="zh-CN"/>
        </w:rPr>
        <w:t>购</w:t>
      </w: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pPr>
        <w:pStyle w:val="25"/>
        <w:ind w:left="0" w:leftChars="0" w:firstLine="0" w:firstLineChars="0"/>
        <w:rPr>
          <w:rFonts w:ascii="Times New Roman" w:hAnsi="Times New Roman" w:cs="Times New Roman"/>
          <w:color w:val="auto"/>
          <w:szCs w:val="21"/>
          <w:highlight w:val="none"/>
        </w:rPr>
      </w:pPr>
    </w:p>
    <w:p>
      <w:pPr>
        <w:spacing w:line="540" w:lineRule="exact"/>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spacing w:line="440" w:lineRule="exact"/>
        <w:rPr>
          <w:rFonts w:eastAsia="黑体"/>
          <w:color w:val="auto"/>
          <w:sz w:val="20"/>
          <w:szCs w:val="20"/>
          <w:highlight w:val="none"/>
          <w:u w:val="none"/>
        </w:rPr>
      </w:pPr>
    </w:p>
    <w:p>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安徽交控建设工程集团有限公司</w:t>
      </w:r>
      <w:r>
        <w:rPr>
          <w:rFonts w:hint="eastAsia" w:eastAsia="黑体"/>
          <w:color w:val="auto"/>
          <w:sz w:val="28"/>
          <w:szCs w:val="28"/>
          <w:highlight w:val="none"/>
          <w:u w:val="single"/>
          <w:lang w:val="en-US" w:eastAsia="zh-CN"/>
        </w:rPr>
        <w:t xml:space="preserve">  </w:t>
      </w:r>
      <w:r>
        <w:rPr>
          <w:rFonts w:eastAsia="黑体"/>
          <w:color w:val="auto"/>
          <w:sz w:val="28"/>
          <w:szCs w:val="28"/>
          <w:highlight w:val="none"/>
          <w:u w:val="none"/>
        </w:rPr>
        <w:t xml:space="preserve"> </w:t>
      </w:r>
    </w:p>
    <w:p>
      <w:pPr>
        <w:spacing w:line="440" w:lineRule="exact"/>
        <w:rPr>
          <w:rFonts w:eastAsia="黑体"/>
          <w:color w:val="auto"/>
          <w:sz w:val="28"/>
          <w:szCs w:val="28"/>
          <w:highlight w:val="none"/>
          <w:u w:val="none"/>
        </w:rPr>
      </w:pPr>
    </w:p>
    <w:p>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7</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_Toc6562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_Toc15674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_Toc14098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_Toc31285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_Toc17056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p>
        <w:p>
          <w:pPr>
            <w:pStyle w:val="18"/>
            <w:tabs>
              <w:tab w:val="right" w:leader="dot" w:pos="8312"/>
            </w:tabs>
          </w:pP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rPr>
          <w:rFonts w:ascii="宋体" w:hAnsi="宋体" w:eastAsia="宋体"/>
        </w:rPr>
      </w:pPr>
    </w:p>
    <w:p>
      <w:pPr>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5"/>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3871"/>
      <w:bookmarkStart w:id="2" w:name="_Toc6496_WPSOffice_Level2"/>
      <w:bookmarkStart w:id="3" w:name="_Toc12765"/>
      <w:bookmarkStart w:id="4" w:name="_Toc4489_WPSOffice_Level2"/>
      <w:bookmarkStart w:id="5" w:name="_Toc10395_WPSOffice_Level2"/>
      <w:bookmarkStart w:id="6" w:name="_Toc24354_WPSOffice_Level2"/>
      <w:bookmarkStart w:id="7" w:name="_Toc525632585"/>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pPr>
        <w:pageBreakBefore w:val="0"/>
        <w:numPr>
          <w:ilvl w:val="1"/>
          <w:numId w:val="4"/>
        </w:numPr>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bookmarkStart w:id="8" w:name="_Toc23755_WPSOffice_Level2"/>
      <w:bookmarkStart w:id="9" w:name="_Toc10074_WPSOffice_Level2"/>
      <w:r>
        <w:rPr>
          <w:rFonts w:ascii="Times New Roman" w:hAnsi="Times New Roman" w:cs="Times New Roman"/>
          <w:color w:val="auto"/>
          <w:szCs w:val="22"/>
          <w:highlight w:val="none"/>
        </w:rPr>
        <w:t>项目名称：</w:t>
      </w:r>
      <w:bookmarkEnd w:id="8"/>
      <w:bookmarkEnd w:id="9"/>
      <w:bookmarkStart w:id="10" w:name="_Toc9705_WPSOffice_Level2"/>
      <w:bookmarkStart w:id="11" w:name="_Toc4396_WPSOffice_Level2"/>
      <w:r>
        <w:rPr>
          <w:rFonts w:hint="eastAsia" w:ascii="Times New Roman" w:hAnsi="Times New Roman" w:cs="Times New Roman"/>
          <w:color w:val="auto"/>
          <w:szCs w:val="22"/>
          <w:highlight w:val="none"/>
          <w:u w:val="single"/>
          <w:lang w:val="en-US" w:eastAsia="zh-CN"/>
        </w:rPr>
        <w:t>安徽省交通控股集团有限公司2024年度服务区综合改造提升工程（EPC）铝合金门窗采购项目</w:t>
      </w:r>
    </w:p>
    <w:p>
      <w:pPr>
        <w:pageBreakBefore w:val="0"/>
        <w:numPr>
          <w:ilvl w:val="0"/>
          <w:numId w:val="0"/>
        </w:numPr>
        <w:kinsoku/>
        <w:wordWrap/>
        <w:overflowPunct/>
        <w:topLinePunct w:val="0"/>
        <w:autoSpaceDE/>
        <w:autoSpaceDN/>
        <w:bidi w:val="0"/>
        <w:adjustRightInd/>
        <w:snapToGrid w:val="0"/>
        <w:spacing w:line="520" w:lineRule="exact"/>
        <w:ind w:left="0" w:leftChars="0" w:firstLine="420" w:firstLineChars="200"/>
        <w:jc w:val="left"/>
        <w:textAlignment w:val="auto"/>
        <w:rPr>
          <w:rFonts w:hint="default" w:ascii="Times New Roman" w:hAnsi="Times New Roman" w:cs="Times New Roman"/>
          <w:color w:val="auto"/>
          <w:szCs w:val="22"/>
          <w:highlight w:val="none"/>
          <w:lang w:val="en-US"/>
        </w:rPr>
      </w:pPr>
      <w:r>
        <w:rPr>
          <w:rFonts w:ascii="Times New Roman" w:hAnsi="Times New Roman" w:cs="Times New Roman"/>
          <w:color w:val="auto"/>
          <w:szCs w:val="22"/>
          <w:highlight w:val="none"/>
        </w:rPr>
        <w:t>1.2 采 购 人：</w:t>
      </w:r>
      <w:bookmarkEnd w:id="10"/>
      <w:bookmarkEnd w:id="11"/>
      <w:r>
        <w:rPr>
          <w:rFonts w:hint="eastAsia" w:ascii="Times New Roman" w:hAnsi="Times New Roman" w:cs="Times New Roman"/>
          <w:color w:val="auto"/>
          <w:szCs w:val="22"/>
          <w:highlight w:val="none"/>
          <w:u w:val="single"/>
          <w:lang w:eastAsia="zh-CN"/>
        </w:rPr>
        <w:t>本项目采购主体为安徽交控建设工程集团有限公司，合同主体为：安徽省经工物资有限公司。</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color w:val="auto"/>
          <w:szCs w:val="22"/>
          <w:highlight w:val="none"/>
          <w:u w:val="single"/>
        </w:rPr>
      </w:pPr>
      <w:bookmarkStart w:id="12" w:name="_Toc18704_WPSOffice_Level2"/>
      <w:bookmarkStart w:id="13" w:name="_Toc25273_WPSOffice_Level2"/>
      <w:r>
        <w:rPr>
          <w:rFonts w:ascii="Times New Roman" w:hAnsi="Times New Roman" w:cs="Times New Roman"/>
          <w:color w:val="auto"/>
          <w:szCs w:val="22"/>
          <w:highlight w:val="none"/>
        </w:rPr>
        <w:t>1.3 项目概况：</w:t>
      </w:r>
      <w:bookmarkEnd w:id="12"/>
      <w:bookmarkEnd w:id="13"/>
      <w:r>
        <w:rPr>
          <w:rFonts w:hint="eastAsia" w:ascii="Times New Roman" w:hAnsi="Times New Roman" w:cs="Times New Roman"/>
          <w:color w:val="auto"/>
          <w:szCs w:val="22"/>
          <w:highlight w:val="none"/>
          <w:u w:val="single"/>
          <w:lang w:val="en-US" w:eastAsia="zh-CN"/>
        </w:rPr>
        <w:t>安徽省交通控股集团有限公司2024年度服务区综合改造提升工程（EPC）铝合金门窗</w:t>
      </w:r>
      <w:r>
        <w:rPr>
          <w:rFonts w:hint="eastAsia" w:ascii="Times New Roman" w:hAnsi="Times New Roman" w:cs="Times New Roman"/>
          <w:color w:val="auto"/>
          <w:szCs w:val="22"/>
          <w:highlight w:val="none"/>
          <w:u w:val="single"/>
          <w:lang w:eastAsia="zh-CN"/>
        </w:rPr>
        <w:t>采购</w:t>
      </w:r>
      <w:r>
        <w:rPr>
          <w:rFonts w:hint="eastAsia" w:ascii="Times New Roman" w:hAnsi="Times New Roman" w:cs="Times New Roman"/>
          <w:color w:val="auto"/>
          <w:szCs w:val="22"/>
          <w:highlight w:val="none"/>
          <w:u w:val="single"/>
          <w:lang w:val="en-US" w:eastAsia="zh-CN"/>
        </w:rPr>
        <w:t>及安装</w:t>
      </w:r>
      <w:r>
        <w:rPr>
          <w:rFonts w:hint="eastAsia" w:cs="Times New Roman"/>
          <w:color w:val="auto"/>
          <w:sz w:val="21"/>
          <w:szCs w:val="22"/>
          <w:highlight w:val="none"/>
          <w:u w:val="single"/>
          <w:lang w:eastAsia="zh-CN"/>
        </w:rPr>
        <w:t>。</w:t>
      </w:r>
    </w:p>
    <w:p>
      <w:pPr>
        <w:pStyle w:val="6"/>
        <w:pageBreakBefore w:val="0"/>
        <w:numPr>
          <w:ilvl w:val="0"/>
          <w:numId w:val="3"/>
        </w:numPr>
        <w:kinsoku/>
        <w:wordWrap/>
        <w:overflowPunct/>
        <w:topLinePunct w:val="0"/>
        <w:autoSpaceDE/>
        <w:autoSpaceDN/>
        <w:bidi w:val="0"/>
        <w:adjustRightInd/>
        <w:snapToGrid w:val="0"/>
        <w:spacing w:before="120" w:after="120" w:line="520" w:lineRule="exact"/>
        <w:ind w:firstLine="403"/>
        <w:textAlignment w:val="auto"/>
        <w:rPr>
          <w:rFonts w:ascii="Times New Roman" w:hAnsi="Times New Roman" w:eastAsia="黑体" w:cs="Times New Roman"/>
          <w:bCs w:val="0"/>
          <w:color w:val="auto"/>
          <w:sz w:val="22"/>
          <w:szCs w:val="15"/>
          <w:highlight w:val="none"/>
        </w:rPr>
      </w:pPr>
      <w:bookmarkStart w:id="14" w:name="_Toc55466804"/>
      <w:bookmarkStart w:id="15" w:name="_Toc2938"/>
      <w:bookmarkStart w:id="16" w:name="_Toc1586"/>
      <w:bookmarkStart w:id="17" w:name="_Toc2127_WPSOffice_Level2"/>
      <w:r>
        <w:rPr>
          <w:rFonts w:ascii="Times New Roman" w:hAnsi="Times New Roman" w:eastAsia="黑体" w:cs="Times New Roman"/>
          <w:bCs w:val="0"/>
          <w:color w:val="auto"/>
          <w:sz w:val="22"/>
          <w:szCs w:val="15"/>
          <w:highlight w:val="none"/>
        </w:rPr>
        <w:t>采购说明</w:t>
      </w:r>
      <w:bookmarkEnd w:id="14"/>
      <w:bookmarkEnd w:id="15"/>
      <w:bookmarkEnd w:id="16"/>
      <w:bookmarkEnd w:id="17"/>
    </w:p>
    <w:p>
      <w:pPr>
        <w:pageBreakBefore w:val="0"/>
        <w:kinsoku/>
        <w:wordWrap/>
        <w:overflowPunct/>
        <w:topLinePunct w:val="0"/>
        <w:autoSpaceDE/>
        <w:autoSpaceDN/>
        <w:bidi w:val="0"/>
        <w:adjustRightInd/>
        <w:snapToGrid w:val="0"/>
        <w:spacing w:line="520" w:lineRule="exact"/>
        <w:ind w:firstLine="420" w:firstLineChars="200"/>
        <w:textAlignment w:val="auto"/>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pPr>
        <w:pageBreakBefore w:val="0"/>
        <w:kinsoku/>
        <w:wordWrap/>
        <w:overflowPunct/>
        <w:topLinePunct w:val="0"/>
        <w:autoSpaceDE/>
        <w:autoSpaceDN/>
        <w:bidi w:val="0"/>
        <w:adjustRightInd/>
        <w:snapToGrid w:val="0"/>
        <w:spacing w:line="520" w:lineRule="exac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pPr>
        <w:keepNext w:val="0"/>
        <w:keepLines w:val="0"/>
        <w:pageBreakBefore w:val="0"/>
        <w:widowControl/>
        <w:suppressLineNumbers w:val="0"/>
        <w:kinsoku/>
        <w:wordWrap/>
        <w:overflowPunct/>
        <w:topLinePunct w:val="0"/>
        <w:autoSpaceDE/>
        <w:autoSpaceDN/>
        <w:bidi w:val="0"/>
        <w:adjustRightInd/>
        <w:spacing w:line="520" w:lineRule="exact"/>
        <w:ind w:firstLine="420" w:firstLineChars="200"/>
        <w:jc w:val="left"/>
        <w:textAlignment w:val="auto"/>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lang w:eastAsia="zh-CN"/>
        </w:rPr>
        <w:t>断热铝合金门、铝合金百叶窗、金刚纱窗、断热铝合金中空玻璃窗（平开）</w:t>
      </w:r>
      <w:r>
        <w:rPr>
          <w:rFonts w:hint="eastAsia" w:ascii="Times New Roman" w:hAnsi="Times New Roman" w:cs="Times New Roman"/>
          <w:color w:val="auto"/>
          <w:szCs w:val="22"/>
          <w:highlight w:val="none"/>
          <w:u w:val="single"/>
          <w:lang w:val="en-US" w:eastAsia="zh-CN"/>
        </w:rPr>
        <w:t>等（具体详见清单）采购及安装</w:t>
      </w:r>
      <w:r>
        <w:rPr>
          <w:rFonts w:hint="eastAsia" w:cs="Times New Roman"/>
          <w:color w:val="auto"/>
          <w:sz w:val="21"/>
          <w:szCs w:val="22"/>
          <w:highlight w:val="none"/>
          <w:u w:val="single"/>
          <w:lang w:eastAsia="zh-CN"/>
        </w:rPr>
        <w:t>，</w:t>
      </w:r>
      <w:r>
        <w:rPr>
          <w:rFonts w:hint="eastAsia" w:cs="Times New Roman"/>
          <w:color w:val="auto"/>
          <w:sz w:val="21"/>
          <w:szCs w:val="22"/>
          <w:highlight w:val="none"/>
          <w:u w:val="single"/>
          <w:lang w:val="en-US" w:eastAsia="zh-CN"/>
        </w:rPr>
        <w:t>供货安装地点为安徽省驿达高速公路服务区经营管理有限公司所属服务区</w:t>
      </w:r>
      <w:r>
        <w:rPr>
          <w:rFonts w:hint="eastAsia" w:cs="Times New Roman"/>
          <w:color w:val="auto"/>
          <w:sz w:val="21"/>
          <w:szCs w:val="22"/>
          <w:highlight w:val="none"/>
          <w:u w:val="single"/>
          <w:lang w:eastAsia="zh-CN"/>
        </w:rPr>
        <w:t>。</w:t>
      </w:r>
    </w:p>
    <w:p>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详见第五章要求。</w:t>
      </w:r>
    </w:p>
    <w:p>
      <w:pPr>
        <w:pageBreakBefore w:val="0"/>
        <w:kinsoku/>
        <w:wordWrap/>
        <w:overflowPunct/>
        <w:topLinePunct w:val="0"/>
        <w:autoSpaceDE/>
        <w:autoSpaceDN/>
        <w:bidi w:val="0"/>
        <w:adjustRightInd/>
        <w:snapToGrid w:val="0"/>
        <w:spacing w:line="52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1个</w:t>
      </w:r>
      <w:bookmarkEnd w:id="21"/>
      <w:r>
        <w:rPr>
          <w:rFonts w:hint="eastAsia" w:ascii="Times New Roman" w:hAnsi="Times New Roman" w:cs="Times New Roman"/>
          <w:color w:val="auto"/>
          <w:szCs w:val="22"/>
          <w:highlight w:val="none"/>
          <w:u w:val="single"/>
          <w:lang w:val="en-US" w:eastAsia="zh-CN"/>
        </w:rPr>
        <w:t>包段</w:t>
      </w:r>
    </w:p>
    <w:p>
      <w:pPr>
        <w:snapToGrid w:val="0"/>
        <w:spacing w:line="440" w:lineRule="exact"/>
        <w:ind w:firstLine="420" w:firstLineChars="200"/>
        <w:rPr>
          <w:rFonts w:hint="eastAsia" w:ascii="Times New Roman" w:hAnsi="Times New Roman" w:cs="Times New Roman"/>
          <w:b/>
          <w:bCs/>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2.6</w:t>
      </w:r>
      <w:r>
        <w:rPr>
          <w:rFonts w:hint="eastAsia" w:ascii="Times New Roman" w:hAnsi="Times New Roman" w:cs="Times New Roman"/>
          <w:b/>
          <w:bCs/>
          <w:color w:val="auto"/>
          <w:szCs w:val="22"/>
          <w:highlight w:val="none"/>
          <w:lang w:val="en-US" w:eastAsia="zh-CN"/>
        </w:rPr>
        <w:t xml:space="preserve"> </w:t>
      </w:r>
      <w:r>
        <w:rPr>
          <w:rFonts w:ascii="Times New Roman" w:hAnsi="Times New Roman" w:cs="Times New Roman"/>
          <w:b/>
          <w:bCs/>
          <w:color w:val="auto"/>
          <w:szCs w:val="22"/>
          <w:highlight w:val="none"/>
        </w:rPr>
        <w:t>最高限价：</w:t>
      </w:r>
      <w:r>
        <w:rPr>
          <w:rFonts w:hint="eastAsia" w:ascii="Times New Roman" w:hAnsi="Times New Roman" w:cs="Times New Roman"/>
          <w:b/>
          <w:bCs/>
          <w:color w:val="auto"/>
          <w:szCs w:val="22"/>
          <w:highlight w:val="none"/>
          <w:u w:val="single"/>
          <w:lang w:val="en-US" w:eastAsia="zh-CN"/>
        </w:rPr>
        <w:t>110.2万元。</w:t>
      </w:r>
    </w:p>
    <w:p>
      <w:pPr>
        <w:snapToGrid w:val="0"/>
        <w:spacing w:line="440" w:lineRule="exact"/>
        <w:ind w:firstLine="420" w:firstLineChars="200"/>
        <w:rPr>
          <w:rFonts w:ascii="Times New Roman" w:hAnsi="Times New Roman" w:cs="Times New Roman"/>
          <w:color w:val="auto"/>
          <w:szCs w:val="22"/>
          <w:highlight w:val="non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交货及安装期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甲方通知乙方测量后，乙方须在3日内提供深化图纸、进度计划经甲方确认，确认后乙方须按进度节点实施。</w:t>
      </w:r>
      <w:r>
        <w:rPr>
          <w:rFonts w:ascii="Times New Roman" w:hAnsi="Times New Roman" w:cs="Times New Roman"/>
          <w:color w:val="auto"/>
          <w:szCs w:val="22"/>
          <w:highlight w:val="none"/>
          <w:u w:val="single"/>
        </w:rPr>
        <w:t xml:space="preserve"> </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26260_WPSOffice_Level2"/>
      <w:bookmarkStart w:id="24" w:name="_Toc6427"/>
      <w:bookmarkStart w:id="25" w:name="_Toc55466805"/>
      <w:bookmarkStart w:id="26" w:name="_Toc22521"/>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7" w:name="_Toc23061_WPSOffice_Level2"/>
      <w:bookmarkStart w:id="28"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独立法人资格，能提供所投品牌产品且具有安装能力的潜在供应商。</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u w:val="single"/>
        </w:rPr>
      </w:pPr>
      <w:bookmarkStart w:id="29" w:name="_Toc30884_WPSOffice_Level2"/>
      <w:bookmarkStart w:id="30" w:name="_Toc16936_WPSOffice_Level2"/>
      <w:r>
        <w:rPr>
          <w:rFonts w:hint="eastAsia" w:ascii="Times New Roman" w:hAnsi="Times New Roman" w:cs="Times New Roman"/>
          <w:color w:val="auto"/>
          <w:szCs w:val="21"/>
          <w:highlight w:val="none"/>
          <w:lang w:eastAsia="zh-CN"/>
        </w:rPr>
        <w:t>品牌</w:t>
      </w:r>
      <w:r>
        <w:rPr>
          <w:rFonts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eastAsia="zh-CN"/>
        </w:rPr>
        <w:t>：</w:t>
      </w:r>
      <w:bookmarkEnd w:id="29"/>
      <w:bookmarkEnd w:id="30"/>
      <w:r>
        <w:rPr>
          <w:rFonts w:hint="eastAsia" w:ascii="Times New Roman" w:hAnsi="Times New Roman" w:cs="Times New Roman"/>
          <w:color w:val="auto"/>
          <w:szCs w:val="21"/>
          <w:highlight w:val="none"/>
          <w:u w:val="single"/>
          <w:lang w:val="en-US" w:eastAsia="zh-CN"/>
        </w:rPr>
        <w:t>符合采购文件采购需求及清单要求品牌或相当于推荐品牌产品</w:t>
      </w:r>
      <w:r>
        <w:rPr>
          <w:rFonts w:hint="eastAsia" w:ascii="Times New Roman" w:hAnsi="Times New Roman" w:cs="Times New Roman"/>
          <w:szCs w:val="22"/>
          <w:highlight w:val="none"/>
          <w:u w:val="single"/>
          <w:lang w:val="en-US" w:eastAsia="zh-CN"/>
        </w:rPr>
        <w:t>。</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31"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31"/>
      <w:r>
        <w:rPr>
          <w:rFonts w:hint="eastAsia" w:ascii="Times New Roman" w:hAnsi="Times New Roman" w:cs="Times New Roman"/>
          <w:b/>
          <w:bCs/>
          <w:color w:val="auto"/>
          <w:szCs w:val="21"/>
          <w:highlight w:val="none"/>
          <w:u w:val="single"/>
          <w:lang w:val="en-US" w:eastAsia="zh-CN"/>
        </w:rPr>
        <w:t>至少1个业绩证明（至少100万（含）门窗采购及安装业绩）。</w:t>
      </w:r>
      <w:r>
        <w:rPr>
          <w:rFonts w:hint="eastAsia" w:ascii="Times New Roman" w:hAnsi="Times New Roman" w:cs="Times New Roman"/>
          <w:color w:val="auto"/>
          <w:szCs w:val="21"/>
          <w:highlight w:val="none"/>
          <w:u w:val="single"/>
          <w:lang w:val="en-US" w:eastAsia="zh-CN"/>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（4）信誉要求最低要求：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2" w:name="_Toc22256"/>
      <w:bookmarkStart w:id="33" w:name="_Toc26312"/>
      <w:bookmarkStart w:id="34" w:name="_Toc9021_WPSOffice_Level2"/>
      <w:bookmarkStart w:id="35" w:name="_Toc55466806"/>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2"/>
      <w:bookmarkEnd w:id="33"/>
      <w:bookmarkEnd w:id="34"/>
      <w:bookmarkEnd w:id="35"/>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6" w:name="_Toc27599_WPSOffice_Level2"/>
      <w:bookmarkStart w:id="37" w:name="_Toc19495"/>
      <w:bookmarkStart w:id="38" w:name="_Toc19124"/>
      <w:bookmarkStart w:id="39" w:name="_Toc55466807"/>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招标信息</w:t>
      </w:r>
      <w:r>
        <w:rPr>
          <w:rFonts w:hint="eastAsia" w:ascii="Times New Roman" w:hAnsi="Times New Roman" w:cs="Times New Roman"/>
          <w:color w:val="000000" w:themeColor="text1"/>
          <w:szCs w:val="22"/>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auto"/>
          <w:sz w:val="21"/>
          <w:szCs w:val="22"/>
          <w:highlight w:val="none"/>
          <w:u w:val="none"/>
          <w:lang w:val="en-US" w:eastAsia="zh-CN"/>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壹万元整（</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：10000.00）</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递交截止时间：响应文件递交截止时间。</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名：安徽省经工物资有限公司</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开户银行：工行合肥蜀山支行</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付款备注：门窗采购项目</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（2）成交后，响应保证金自动转为履约保证金。</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6"/>
    </w:p>
    <w:p>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响应文件成册胶装，商务技术文件、报价文件分别密封，正副本密封在同一密封袋，封口处须密封并加盖企业公章</w:t>
      </w:r>
      <w:r>
        <w:rPr>
          <w:rFonts w:hint="eastAsia" w:ascii="Times New Roman" w:hAnsi="Times New Roman" w:cs="Times New Roman"/>
          <w:color w:val="auto"/>
          <w:highlight w:val="none"/>
          <w:lang w:val="en-US" w:eastAsia="zh-CN"/>
        </w:rPr>
        <w:t>。</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0" w:name="_Toc20535_WPSOffice_Level2"/>
      <w:r>
        <w:rPr>
          <w:rFonts w:ascii="Times New Roman" w:hAnsi="Times New Roman" w:eastAsia="黑体" w:cs="Times New Roman"/>
          <w:bCs w:val="0"/>
          <w:color w:val="auto"/>
          <w:sz w:val="22"/>
          <w:szCs w:val="15"/>
          <w:highlight w:val="none"/>
        </w:rPr>
        <w:t>响应文件的递交</w:t>
      </w:r>
      <w:bookmarkEnd w:id="37"/>
      <w:bookmarkEnd w:id="38"/>
      <w:bookmarkEnd w:id="39"/>
      <w:bookmarkEnd w:id="40"/>
    </w:p>
    <w:p>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7</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10</w:t>
      </w:r>
      <w:r>
        <w:rPr>
          <w:rFonts w:ascii="Times New Roman" w:hAnsi="Times New Roman" w:cs="Times New Roman"/>
          <w:color w:val="auto"/>
          <w:szCs w:val="22"/>
          <w:highlight w:val="none"/>
        </w:rPr>
        <w:t>日</w:t>
      </w:r>
      <w:r>
        <w:rPr>
          <w:rFonts w:hint="eastAsia" w:ascii="Times New Roman" w:hAnsi="Times New Roman" w:cs="Times New Roman"/>
          <w:color w:val="auto"/>
          <w:szCs w:val="22"/>
          <w:highlight w:val="none"/>
          <w:u w:val="single"/>
          <w:lang w:val="en-US" w:eastAsia="zh-CN"/>
        </w:rPr>
        <w:t>9</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，供应商的法定代表人或其授权代理人应于递交截止时间前将响应文件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32421"/>
      <w:bookmarkStart w:id="42" w:name="_Toc55466809"/>
      <w:bookmarkStart w:id="43" w:name="_Toc22486"/>
      <w:r>
        <w:rPr>
          <w:rFonts w:hint="eastAsia" w:ascii="Times New Roman" w:hAnsi="Times New Roman" w:eastAsia="黑体" w:cs="Times New Roman"/>
          <w:bCs w:val="0"/>
          <w:color w:val="auto"/>
          <w:sz w:val="22"/>
          <w:szCs w:val="15"/>
          <w:highlight w:val="none"/>
          <w:lang w:eastAsia="zh-CN"/>
        </w:rPr>
        <w:t>响应文件启封</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4"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pStyle w:val="6"/>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招标信息</w:t>
      </w:r>
      <w:r>
        <w:rPr>
          <w:rFonts w:hint="eastAsia" w:ascii="Times New Roman" w:hAnsi="Times New Roman" w:cs="Times New Roman"/>
          <w:color w:val="000000" w:themeColor="text1"/>
          <w:szCs w:val="22"/>
          <w14:textFill>
            <w14:solidFill>
              <w14:schemeClr w14:val="tx1"/>
            </w14:solidFill>
          </w14:textFill>
        </w:rPr>
        <w:t>”栏目中</w:t>
      </w:r>
      <w:r>
        <w:rPr>
          <w:rFonts w:ascii="Times New Roman" w:hAnsi="Times New Roman" w:cs="Times New Roman"/>
          <w:color w:val="000000" w:themeColor="text1"/>
          <w:szCs w:val="22"/>
          <w14:textFill>
            <w14:solidFill>
              <w14:schemeClr w14:val="tx1"/>
            </w14:solidFill>
          </w14:textFill>
        </w:rPr>
        <w:t>发布。</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41"/>
      <w:bookmarkEnd w:id="42"/>
      <w:bookmarkEnd w:id="43"/>
      <w:bookmarkEnd w:id="44"/>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安徽交控建设工程集团有限公司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13135521559    15855127123  </w:t>
      </w:r>
    </w:p>
    <w:p>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pPr>
        <w:pStyle w:val="35"/>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35"/>
        <w:jc w:val="right"/>
        <w:rPr>
          <w:rFonts w:hint="default" w:ascii="Times New Roman" w:hAnsi="Times New Roman"/>
          <w:color w:val="auto"/>
          <w:sz w:val="21"/>
          <w:szCs w:val="22"/>
        </w:rPr>
      </w:pPr>
    </w:p>
    <w:p>
      <w:pPr>
        <w:pStyle w:val="35"/>
        <w:jc w:val="right"/>
        <w:rPr>
          <w:rFonts w:hint="default" w:ascii="Times New Roman" w:hAnsi="Times New Roman"/>
          <w:color w:val="auto"/>
          <w:sz w:val="21"/>
          <w:szCs w:val="22"/>
        </w:rPr>
      </w:pPr>
    </w:p>
    <w:p>
      <w:pPr>
        <w:pStyle w:val="35"/>
        <w:jc w:val="right"/>
        <w:rPr>
          <w:rFonts w:hint="default" w:ascii="Times New Roman" w:hAnsi="Times New Roman"/>
          <w:color w:val="auto"/>
          <w:sz w:val="21"/>
          <w:szCs w:val="22"/>
        </w:rPr>
      </w:pPr>
    </w:p>
    <w:p>
      <w:pPr>
        <w:pStyle w:val="35"/>
        <w:jc w:val="right"/>
        <w:rPr>
          <w:rFonts w:hint="default" w:ascii="Times New Roman" w:hAnsi="Times New Roman"/>
          <w:color w:val="auto"/>
          <w:sz w:val="21"/>
          <w:szCs w:val="22"/>
        </w:rPr>
      </w:pPr>
    </w:p>
    <w:p>
      <w:pPr>
        <w:rPr>
          <w:rFonts w:hint="default" w:ascii="Times New Roman" w:hAnsi="Times New Roman"/>
          <w:color w:val="auto"/>
          <w:sz w:val="21"/>
          <w:szCs w:val="22"/>
        </w:rPr>
      </w:pPr>
      <w:r>
        <w:rPr>
          <w:rFonts w:hint="default" w:ascii="Times New Roman" w:hAnsi="Times New Roman"/>
          <w:color w:val="auto"/>
          <w:sz w:val="21"/>
          <w:szCs w:val="22"/>
        </w:rPr>
        <w:br w:type="page"/>
      </w:r>
    </w:p>
    <w:p>
      <w:pPr>
        <w:pStyle w:val="35"/>
        <w:jc w:val="center"/>
        <w:rPr>
          <w:rFonts w:hint="default" w:ascii="Times New Roman" w:hAnsi="Times New Roman"/>
          <w:color w:val="auto"/>
          <w:sz w:val="21"/>
          <w:szCs w:val="22"/>
        </w:rPr>
      </w:pPr>
    </w:p>
    <w:p>
      <w:pPr>
        <w:pStyle w:val="5"/>
        <w:spacing w:before="312" w:after="312"/>
        <w:rPr>
          <w:rFonts w:ascii="Times New Roman" w:hAnsi="Times New Roman" w:eastAsia="宋体" w:cs="Times New Roman"/>
        </w:rPr>
      </w:pPr>
      <w:bookmarkStart w:id="45" w:name="_Toc6562"/>
      <w:r>
        <w:rPr>
          <w:rFonts w:ascii="Times New Roman" w:hAnsi="Times New Roman" w:eastAsia="宋体" w:cs="Times New Roman"/>
        </w:rPr>
        <w:t>供应商须知</w:t>
      </w:r>
      <w:bookmarkEnd w:id="45"/>
    </w:p>
    <w:p>
      <w:pPr>
        <w:spacing w:line="360" w:lineRule="auto"/>
        <w:jc w:val="center"/>
        <w:outlineLvl w:val="1"/>
        <w:rPr>
          <w:rFonts w:eastAsia="黑体"/>
          <w:kern w:val="0"/>
          <w:sz w:val="28"/>
          <w:szCs w:val="28"/>
        </w:rPr>
      </w:pPr>
      <w:bookmarkStart w:id="46" w:name="_Toc9067720"/>
      <w:bookmarkStart w:id="47" w:name="_Toc26656938"/>
      <w:bookmarkStart w:id="48" w:name="_Toc14201207"/>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default" w:eastAsiaTheme="minorEastAsia"/>
                <w:color w:val="auto"/>
                <w:szCs w:val="21"/>
                <w:highlight w:val="none"/>
                <w:lang w:val="en-US" w:eastAsia="zh-CN"/>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rFonts w:hint="eastAsia" w:eastAsiaTheme="minorEastAsia"/>
                <w:color w:val="auto"/>
                <w:szCs w:val="21"/>
                <w:highlight w:val="none"/>
                <w:lang w:eastAsia="zh-CN"/>
              </w:rPr>
            </w:pPr>
            <w:r>
              <w:rPr>
                <w:bCs/>
                <w:color w:val="auto"/>
                <w:kern w:val="0"/>
                <w:sz w:val="22"/>
                <w:szCs w:val="21"/>
                <w:highlight w:val="none"/>
                <w:lang w:bidi="ar"/>
              </w:rPr>
              <w:t>见</w:t>
            </w:r>
            <w:r>
              <w:rPr>
                <w:rFonts w:hint="eastAsia"/>
                <w:bCs/>
                <w:color w:val="auto"/>
                <w:kern w:val="0"/>
                <w:sz w:val="22"/>
                <w:szCs w:val="21"/>
                <w:highlight w:val="none"/>
                <w:lang w:eastAsia="zh-CN" w:bidi="ar"/>
              </w:rPr>
              <w:t>采购公告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color w:val="auto"/>
                <w:sz w:val="22"/>
                <w:szCs w:val="21"/>
                <w:highlight w:val="none"/>
              </w:rPr>
            </w:pPr>
            <w:r>
              <w:rPr>
                <w:color w:val="auto"/>
                <w:sz w:val="22"/>
                <w:szCs w:val="21"/>
                <w:highlight w:val="none"/>
              </w:rPr>
              <w:t>（1）资质要求：</w:t>
            </w:r>
            <w:r>
              <w:rPr>
                <w:color w:val="auto"/>
                <w:sz w:val="22"/>
                <w:highlight w:val="none"/>
              </w:rPr>
              <w:t>见附录1</w:t>
            </w:r>
          </w:p>
          <w:p>
            <w:pPr>
              <w:ind w:left="42" w:leftChars="20" w:right="42" w:rightChars="20"/>
              <w:rPr>
                <w:color w:val="auto"/>
                <w:sz w:val="22"/>
                <w:highlight w:val="none"/>
              </w:rPr>
            </w:pPr>
            <w:r>
              <w:rPr>
                <w:color w:val="auto"/>
                <w:sz w:val="22"/>
                <w:szCs w:val="21"/>
                <w:highlight w:val="none"/>
              </w:rPr>
              <w:t>（</w:t>
            </w:r>
            <w:r>
              <w:rPr>
                <w:rFonts w:hint="eastAsia"/>
                <w:color w:val="auto"/>
                <w:sz w:val="22"/>
                <w:szCs w:val="21"/>
                <w:highlight w:val="none"/>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业绩</w:t>
            </w:r>
            <w:r>
              <w:rPr>
                <w:rFonts w:hint="eastAsia"/>
                <w:color w:val="auto"/>
                <w:sz w:val="22"/>
                <w:szCs w:val="21"/>
                <w:highlight w:val="none"/>
              </w:rPr>
              <w:t>：</w:t>
            </w:r>
            <w:r>
              <w:rPr>
                <w:color w:val="auto"/>
                <w:sz w:val="22"/>
                <w:highlight w:val="none"/>
              </w:rPr>
              <w:t>见附录2</w:t>
            </w:r>
          </w:p>
          <w:p>
            <w:pPr>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rPr>
              <w:t>3</w:t>
            </w:r>
            <w:r>
              <w:rPr>
                <w:color w:val="auto"/>
                <w:sz w:val="22"/>
                <w:szCs w:val="21"/>
                <w:highlight w:val="none"/>
              </w:rPr>
              <w:t>）财务要求：</w:t>
            </w:r>
            <w:r>
              <w:rPr>
                <w:rFonts w:hint="eastAsia"/>
                <w:color w:val="auto"/>
                <w:sz w:val="22"/>
                <w:szCs w:val="21"/>
                <w:highlight w:val="none"/>
              </w:rPr>
              <w:t>见附录3</w:t>
            </w:r>
          </w:p>
          <w:p>
            <w:pPr>
              <w:ind w:left="42" w:leftChars="20" w:right="42" w:rightChars="20"/>
              <w:rPr>
                <w:rFonts w:hint="eastAsia"/>
                <w:color w:val="auto"/>
                <w:sz w:val="22"/>
                <w:szCs w:val="21"/>
                <w:highlight w:val="none"/>
              </w:rPr>
            </w:pPr>
            <w:r>
              <w:rPr>
                <w:rFonts w:hint="eastAsia"/>
                <w:color w:val="auto"/>
                <w:sz w:val="22"/>
                <w:szCs w:val="21"/>
                <w:highlight w:val="none"/>
              </w:rPr>
              <w:t>（4）信誉要求：</w:t>
            </w:r>
            <w:r>
              <w:rPr>
                <w:color w:val="auto"/>
                <w:sz w:val="22"/>
                <w:highlight w:val="none"/>
              </w:rPr>
              <w:t>见附录</w:t>
            </w:r>
            <w:r>
              <w:rPr>
                <w:rFonts w:hint="eastAsia"/>
                <w:color w:val="auto"/>
                <w:sz w:val="22"/>
                <w:highlight w:val="none"/>
              </w:rPr>
              <w:t>4</w:t>
            </w:r>
          </w:p>
          <w:p>
            <w:pPr>
              <w:ind w:left="42" w:leftChars="20" w:right="42" w:rightChars="20"/>
              <w:rPr>
                <w:rFonts w:hint="eastAsia"/>
                <w:color w:val="auto"/>
                <w:szCs w:val="21"/>
                <w:highlight w:val="none"/>
              </w:rPr>
            </w:pPr>
            <w:r>
              <w:rPr>
                <w:rFonts w:hint="eastAsia"/>
                <w:color w:val="auto"/>
                <w:sz w:val="22"/>
                <w:szCs w:val="21"/>
                <w:highlight w:val="none"/>
              </w:rPr>
              <w:t>（5）其他要求：无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51"/>
                <w:rFonts w:ascii="Times New Roman" w:hAnsi="Times New Roman" w:cs="Times New Roman"/>
                <w:bCs/>
                <w:color w:val="auto"/>
                <w:sz w:val="22"/>
                <w:szCs w:val="21"/>
                <w:highlight w:val="none"/>
                <w:lang w:bidi="ar"/>
              </w:rPr>
              <w:t>允许</w:t>
            </w:r>
            <w:r>
              <w:rPr>
                <w:rStyle w:val="51"/>
                <w:rFonts w:hint="eastAsia" w:ascii="Times New Roman" w:hAnsi="Times New Roman" w:cs="Times New Roman"/>
                <w:bCs/>
                <w:color w:val="auto"/>
                <w:sz w:val="22"/>
                <w:szCs w:val="21"/>
                <w:highlight w:val="none"/>
                <w:lang w:bidi="ar"/>
              </w:rPr>
              <w:t>有利于</w:t>
            </w:r>
            <w:r>
              <w:rPr>
                <w:rStyle w:val="51"/>
                <w:rFonts w:hint="eastAsia" w:ascii="Times New Roman" w:hAnsi="Times New Roman" w:cs="Times New Roman"/>
                <w:bCs/>
                <w:color w:val="auto"/>
                <w:sz w:val="22"/>
                <w:szCs w:val="21"/>
                <w:highlight w:val="none"/>
                <w:lang w:eastAsia="zh-CN" w:bidi="ar"/>
              </w:rPr>
              <w:t>采购人</w:t>
            </w:r>
            <w:r>
              <w:rPr>
                <w:rStyle w:val="51"/>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pPr>
              <w:pStyle w:val="47"/>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pStyle w:val="47"/>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招标信息</w:t>
            </w:r>
            <w:r>
              <w:rPr>
                <w:rFonts w:hint="eastAsia" w:ascii="Times New Roman" w:hAnsi="Times New Roman" w:cs="Times New Roman"/>
                <w:color w:val="000000" w:themeColor="text1"/>
                <w:szCs w:val="22"/>
                <w14:textFill>
                  <w14:solidFill>
                    <w14:schemeClr w14:val="tx1"/>
                  </w14:solidFill>
                </w14:textFill>
              </w:rPr>
              <w:t>”栏目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招标信息</w:t>
            </w:r>
            <w:r>
              <w:rPr>
                <w:rFonts w:hint="eastAsia" w:ascii="Times New Roman" w:hAnsi="Times New Roman" w:cs="Times New Roman"/>
                <w:color w:val="000000" w:themeColor="text1"/>
                <w:szCs w:val="22"/>
                <w14:textFill>
                  <w14:solidFill>
                    <w14:schemeClr w14:val="tx1"/>
                  </w14:solidFill>
                </w14:textFill>
              </w:rPr>
              <w:t>”栏目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pStyle w:val="47"/>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pStyle w:val="47"/>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pPr>
              <w:pStyle w:val="47"/>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pStyle w:val="47"/>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pPr>
              <w:pStyle w:val="47"/>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rPr>
              <w:t>□</w:t>
            </w:r>
            <w:r>
              <w:rPr>
                <w:color w:val="auto"/>
                <w:sz w:val="22"/>
                <w:szCs w:val="21"/>
                <w:highlight w:val="none"/>
              </w:rPr>
              <w:t>单信封</w:t>
            </w:r>
          </w:p>
          <w:p>
            <w:pPr>
              <w:rPr>
                <w:color w:val="auto"/>
                <w:szCs w:val="21"/>
                <w:highlight w:val="none"/>
              </w:rPr>
            </w:pPr>
            <w:r>
              <w:rPr>
                <w:rFonts w:hint="eastAsia"/>
                <w:color w:val="auto"/>
                <w:szCs w:val="21"/>
                <w:highlight w:val="none"/>
              </w:rPr>
              <w:sym w:font="Wingdings" w:char="00FE"/>
            </w:r>
            <w:r>
              <w:rPr>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pPr>
              <w:pStyle w:val="2"/>
              <w:rPr>
                <w:rFonts w:hint="default"/>
                <w:lang w:val="en-US"/>
              </w:rPr>
            </w:pPr>
            <w:r>
              <w:rPr>
                <w:rFonts w:hint="eastAsia"/>
                <w:b/>
                <w:bCs/>
                <w:color w:val="auto"/>
                <w:sz w:val="22"/>
                <w:szCs w:val="22"/>
                <w:highlight w:val="none"/>
                <w:u w:val="none"/>
                <w:lang w:val="en-US" w:eastAsia="zh-CN"/>
              </w:rPr>
              <w:t>110.2万元。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color w:val="auto"/>
                <w:sz w:val="22"/>
                <w:szCs w:val="22"/>
                <w:highlight w:val="none"/>
              </w:rPr>
              <w:t>1.</w:t>
            </w:r>
            <w:r>
              <w:rPr>
                <w:rFonts w:hint="eastAsia"/>
                <w:color w:val="auto"/>
                <w:sz w:val="22"/>
                <w:szCs w:val="22"/>
                <w:highlight w:val="none"/>
                <w:lang w:eastAsia="zh-CN"/>
              </w:rPr>
              <w:t>供应商</w:t>
            </w:r>
            <w:r>
              <w:rPr>
                <w:color w:val="auto"/>
                <w:sz w:val="22"/>
                <w:szCs w:val="22"/>
                <w:highlight w:val="none"/>
              </w:rPr>
              <w:t>按照</w:t>
            </w:r>
            <w:r>
              <w:rPr>
                <w:rFonts w:hint="eastAsia"/>
                <w:color w:val="auto"/>
                <w:sz w:val="22"/>
                <w:szCs w:val="22"/>
                <w:highlight w:val="none"/>
                <w:lang w:eastAsia="zh-CN"/>
              </w:rPr>
              <w:t>响应文件</w:t>
            </w:r>
            <w:r>
              <w:rPr>
                <w:color w:val="auto"/>
                <w:sz w:val="22"/>
                <w:szCs w:val="22"/>
                <w:highlight w:val="none"/>
              </w:rPr>
              <w:t>中提供的填写要求填写；</w:t>
            </w:r>
          </w:p>
          <w:p>
            <w:pPr>
              <w:ind w:right="42" w:rightChars="20"/>
              <w:rPr>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响应</w:t>
            </w:r>
            <w:r>
              <w:rPr>
                <w:color w:val="auto"/>
                <w:sz w:val="22"/>
                <w:szCs w:val="22"/>
                <w:highlight w:val="none"/>
              </w:rPr>
              <w:t>报价为货物生产、制造及供货、包装运输（包括</w:t>
            </w:r>
            <w:r>
              <w:rPr>
                <w:rFonts w:hint="eastAsia"/>
                <w:color w:val="auto"/>
                <w:sz w:val="22"/>
                <w:szCs w:val="22"/>
                <w:highlight w:val="none"/>
              </w:rPr>
              <w:t>物品</w:t>
            </w:r>
            <w:r>
              <w:rPr>
                <w:color w:val="auto"/>
                <w:sz w:val="22"/>
                <w:szCs w:val="22"/>
                <w:highlight w:val="none"/>
              </w:rPr>
              <w:t>卸车、搬运到安装地点）、验收、</w:t>
            </w:r>
            <w:r>
              <w:rPr>
                <w:rFonts w:hint="eastAsia"/>
                <w:color w:val="auto"/>
                <w:sz w:val="22"/>
                <w:szCs w:val="22"/>
                <w:highlight w:val="none"/>
                <w:lang w:val="en-US" w:eastAsia="zh-CN"/>
              </w:rPr>
              <w:t>安装、</w:t>
            </w:r>
            <w:r>
              <w:rPr>
                <w:color w:val="auto"/>
                <w:sz w:val="22"/>
                <w:szCs w:val="22"/>
                <w:highlight w:val="none"/>
              </w:rPr>
              <w:t>取证、技术服务、损耗费、附属材料费、售后服务、保险费、利润、税金、质保期维护维修服务等全部内容报价。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9"/>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9"/>
              <w:rPr>
                <w:color w:val="auto"/>
                <w:szCs w:val="21"/>
                <w:highlight w:val="none"/>
              </w:rPr>
            </w:pPr>
            <w:r>
              <w:rPr>
                <w:rFonts w:hint="eastAsia"/>
                <w:color w:val="auto"/>
                <w:szCs w:val="21"/>
                <w:highlight w:val="none"/>
              </w:rPr>
              <w:t xml:space="preserve">□不要求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color w:val="auto"/>
                <w:szCs w:val="21"/>
                <w:highlight w:val="none"/>
              </w:rPr>
              <w:t>要求，</w:t>
            </w:r>
          </w:p>
          <w:p>
            <w:pPr>
              <w:pStyle w:val="9"/>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9"/>
              <w:rPr>
                <w:rFonts w:hint="eastAsia"/>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w:t>
            </w:r>
          </w:p>
          <w:p>
            <w:pPr>
              <w:pStyle w:val="9"/>
              <w:rPr>
                <w:rFonts w:hint="eastAsia" w:eastAsiaTheme="minorEastAsia"/>
                <w:b/>
                <w:bCs/>
                <w:color w:val="auto"/>
                <w:szCs w:val="21"/>
                <w:highlight w:val="none"/>
                <w:lang w:val="en-US" w:eastAsia="zh-CN"/>
              </w:rPr>
            </w:pPr>
            <w:r>
              <w:rPr>
                <w:rFonts w:hint="eastAsia"/>
                <w:b/>
                <w:bCs/>
                <w:color w:val="auto"/>
                <w:szCs w:val="21"/>
                <w:highlight w:val="none"/>
                <w:u w:val="single"/>
                <w:lang w:val="en-US" w:eastAsia="zh-CN"/>
              </w:rPr>
              <w:t>壹</w:t>
            </w:r>
            <w:r>
              <w:rPr>
                <w:rFonts w:hint="eastAsia"/>
                <w:b/>
                <w:bCs/>
                <w:color w:val="auto"/>
                <w:szCs w:val="21"/>
                <w:highlight w:val="none"/>
                <w:u w:val="single"/>
              </w:rPr>
              <w:t>万元整（¥：</w:t>
            </w:r>
            <w:r>
              <w:rPr>
                <w:rFonts w:hint="eastAsia"/>
                <w:b/>
                <w:bCs/>
                <w:color w:val="auto"/>
                <w:szCs w:val="21"/>
                <w:highlight w:val="none"/>
                <w:u w:val="single"/>
                <w:lang w:val="en-US" w:eastAsia="zh-CN"/>
              </w:rPr>
              <w:t>1</w:t>
            </w:r>
            <w:r>
              <w:rPr>
                <w:rFonts w:hint="eastAsia"/>
                <w:b/>
                <w:bCs/>
                <w:color w:val="auto"/>
                <w:szCs w:val="21"/>
                <w:highlight w:val="none"/>
                <w:u w:val="single"/>
              </w:rPr>
              <w:t>0000.00）</w:t>
            </w:r>
            <w:r>
              <w:rPr>
                <w:rFonts w:hint="eastAsia"/>
                <w:b/>
                <w:bCs/>
                <w:color w:val="auto"/>
                <w:szCs w:val="21"/>
                <w:highlight w:val="none"/>
                <w:u w:val="single"/>
                <w:lang w:eastAsia="zh-CN"/>
              </w:rPr>
              <w:t>。</w:t>
            </w:r>
          </w:p>
          <w:p>
            <w:pPr>
              <w:pStyle w:val="9"/>
              <w:rPr>
                <w:color w:val="auto"/>
                <w:szCs w:val="21"/>
                <w:highlight w:val="none"/>
              </w:rPr>
            </w:pPr>
            <w:r>
              <w:rPr>
                <w:rFonts w:hint="eastAsia"/>
                <w:color w:val="auto"/>
                <w:szCs w:val="21"/>
                <w:highlight w:val="none"/>
              </w:rPr>
              <w:t xml:space="preserve">递交要求： </w:t>
            </w:r>
          </w:p>
          <w:p>
            <w:pPr>
              <w:pStyle w:val="9"/>
              <w:rPr>
                <w:color w:val="auto"/>
                <w:szCs w:val="21"/>
                <w:highlight w:val="none"/>
              </w:rPr>
            </w:pPr>
            <w:r>
              <w:rPr>
                <w:rFonts w:hint="eastAsia"/>
                <w:color w:val="auto"/>
                <w:szCs w:val="21"/>
                <w:highlight w:val="none"/>
              </w:rPr>
              <w:t>①</w:t>
            </w:r>
            <w:r>
              <w:rPr>
                <w:rFonts w:hint="eastAsia"/>
                <w:color w:val="auto"/>
                <w:szCs w:val="21"/>
                <w:highlight w:val="none"/>
                <w:lang w:eastAsia="zh-CN"/>
              </w:rPr>
              <w:t>响应保证金</w:t>
            </w:r>
            <w:r>
              <w:rPr>
                <w:rFonts w:hint="eastAsia"/>
                <w:color w:val="auto"/>
                <w:szCs w:val="21"/>
                <w:highlight w:val="none"/>
              </w:rPr>
              <w:t>的到账截止时间：投标截止时间。</w:t>
            </w:r>
          </w:p>
          <w:p>
            <w:pPr>
              <w:pStyle w:val="9"/>
              <w:rPr>
                <w:color w:val="auto"/>
                <w:szCs w:val="21"/>
                <w:highlight w:val="none"/>
              </w:rPr>
            </w:pPr>
            <w:r>
              <w:rPr>
                <w:rFonts w:hint="eastAsia"/>
                <w:color w:val="auto"/>
                <w:szCs w:val="21"/>
                <w:highlight w:val="none"/>
              </w:rPr>
              <w:t>②</w:t>
            </w:r>
            <w:r>
              <w:rPr>
                <w:rFonts w:hint="eastAsia"/>
                <w:color w:val="auto"/>
                <w:szCs w:val="21"/>
                <w:highlight w:val="none"/>
                <w:lang w:eastAsia="zh-CN"/>
              </w:rPr>
              <w:t>响应保证金</w:t>
            </w:r>
            <w:r>
              <w:rPr>
                <w:rFonts w:hint="eastAsia"/>
                <w:color w:val="auto"/>
                <w:szCs w:val="21"/>
                <w:highlight w:val="none"/>
              </w:rPr>
              <w:t>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w:t>
            </w:r>
            <w:r>
              <w:rPr>
                <w:rFonts w:hint="eastAsia"/>
                <w:color w:val="auto"/>
                <w:szCs w:val="21"/>
                <w:highlight w:val="none"/>
                <w:lang w:eastAsia="zh-CN"/>
              </w:rPr>
              <w:t>响应保证金</w:t>
            </w:r>
            <w:r>
              <w:rPr>
                <w:rFonts w:hint="eastAsia"/>
                <w:color w:val="auto"/>
                <w:szCs w:val="21"/>
                <w:highlight w:val="none"/>
              </w:rPr>
              <w:t>。</w:t>
            </w:r>
          </w:p>
          <w:p>
            <w:pPr>
              <w:pStyle w:val="9"/>
              <w:rPr>
                <w:rFonts w:hint="eastAsia" w:eastAsia="宋体"/>
                <w:color w:val="auto"/>
                <w:szCs w:val="21"/>
                <w:highlight w:val="none"/>
                <w:u w:val="single"/>
                <w:lang w:eastAsia="zh-CN"/>
              </w:rPr>
            </w:pPr>
            <w:r>
              <w:rPr>
                <w:rFonts w:hint="eastAsia"/>
                <w:color w:val="auto"/>
                <w:szCs w:val="21"/>
                <w:highlight w:val="none"/>
              </w:rPr>
              <w:t>③转入的开户银行及账号见本项目</w:t>
            </w:r>
            <w:r>
              <w:rPr>
                <w:rFonts w:hint="eastAsia"/>
                <w:color w:val="auto"/>
                <w:szCs w:val="21"/>
                <w:highlight w:val="none"/>
                <w:lang w:eastAsia="zh-CN"/>
              </w:rPr>
              <w:t>采购公告</w:t>
            </w:r>
            <w:r>
              <w:rPr>
                <w:rFonts w:hint="eastAsia"/>
                <w:color w:val="auto"/>
                <w:szCs w:val="21"/>
                <w:highlight w:val="none"/>
              </w:rPr>
              <w:t>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w:t>
            </w:r>
            <w:r>
              <w:rPr>
                <w:rFonts w:hint="eastAsia"/>
                <w:color w:val="auto"/>
                <w:sz w:val="22"/>
                <w:szCs w:val="21"/>
                <w:highlight w:val="none"/>
                <w:lang w:eastAsia="zh-CN"/>
              </w:rPr>
              <w:t>响应保证金</w:t>
            </w:r>
            <w:r>
              <w:rPr>
                <w:color w:val="auto"/>
                <w:sz w:val="22"/>
                <w:szCs w:val="21"/>
                <w:highlight w:val="none"/>
              </w:rPr>
              <w:t>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w:t>
            </w:r>
            <w:r>
              <w:rPr>
                <w:rFonts w:hint="eastAsia"/>
                <w:color w:val="auto"/>
                <w:sz w:val="22"/>
                <w:szCs w:val="21"/>
                <w:highlight w:val="none"/>
                <w:lang w:val="en-US" w:eastAsia="zh-CN"/>
              </w:rPr>
              <w:t>成交</w:t>
            </w:r>
            <w:r>
              <w:rPr>
                <w:color w:val="auto"/>
                <w:sz w:val="22"/>
                <w:szCs w:val="21"/>
                <w:highlight w:val="none"/>
              </w:rPr>
              <w:t>候选人放弃</w:t>
            </w:r>
            <w:r>
              <w:rPr>
                <w:rFonts w:hint="eastAsia"/>
                <w:color w:val="auto"/>
                <w:sz w:val="22"/>
                <w:szCs w:val="21"/>
                <w:highlight w:val="none"/>
                <w:lang w:val="en-US" w:eastAsia="zh-CN"/>
              </w:rPr>
              <w:t>成交</w:t>
            </w:r>
            <w:r>
              <w:rPr>
                <w:color w:val="auto"/>
                <w:sz w:val="22"/>
                <w:szCs w:val="21"/>
                <w:highlight w:val="none"/>
              </w:rPr>
              <w:t>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w:t>
            </w:r>
            <w:r>
              <w:rPr>
                <w:rFonts w:hint="eastAsia"/>
                <w:color w:val="auto"/>
                <w:sz w:val="22"/>
                <w:highlight w:val="none"/>
                <w:lang w:val="en-US" w:eastAsia="zh-CN"/>
              </w:rPr>
              <w:t>响应</w:t>
            </w:r>
            <w:r>
              <w:rPr>
                <w:color w:val="auto"/>
                <w:sz w:val="22"/>
                <w:highlight w:val="none"/>
              </w:rPr>
              <w:t>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pStyle w:val="47"/>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密封情况检查：宣布开标后，供应商代表互检响应文件密封及递交情况，并就检查结果明确意见。开标顺序：以响应签到先后顺序，先开商务技术文件，商务技术文件评审完成后开启报价文件。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评</w:t>
            </w:r>
            <w:r>
              <w:rPr>
                <w:rFonts w:hint="eastAsia" w:ascii="宋体" w:hAnsi="宋体" w:cs="宋体"/>
                <w:color w:val="auto"/>
                <w:sz w:val="22"/>
                <w:highlight w:val="none"/>
                <w:lang w:val="en-US" w:eastAsia="zh-CN"/>
              </w:rPr>
              <w:t>审</w:t>
            </w:r>
            <w:r>
              <w:rPr>
                <w:rFonts w:hint="eastAsia" w:ascii="宋体" w:hAnsi="宋体" w:cs="宋体"/>
                <w:color w:val="auto"/>
                <w:sz w:val="22"/>
                <w:highlight w:val="none"/>
              </w:rPr>
              <w:t>办法</w:t>
            </w:r>
          </w:p>
        </w:tc>
        <w:tc>
          <w:tcPr>
            <w:tcW w:w="5107" w:type="dxa"/>
            <w:vAlign w:val="center"/>
          </w:tcPr>
          <w:p>
            <w:pPr>
              <w:ind w:left="42" w:leftChars="20" w:right="42" w:rightChars="20"/>
              <w:jc w:val="both"/>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技术评分最低价法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rFonts w:hint="eastAsia" w:eastAsiaTheme="minorEastAsia"/>
                <w:color w:val="auto"/>
                <w:szCs w:val="21"/>
                <w:highlight w:val="none"/>
                <w:lang w:eastAsia="zh-CN"/>
              </w:rPr>
            </w:pPr>
            <w:r>
              <w:rPr>
                <w:rFonts w:hint="eastAsia"/>
                <w:color w:val="auto"/>
                <w:sz w:val="22"/>
                <w:highlight w:val="none"/>
              </w:rPr>
              <w:t>见</w:t>
            </w:r>
            <w:r>
              <w:rPr>
                <w:rFonts w:hint="eastAsia"/>
                <w:color w:val="auto"/>
                <w:sz w:val="22"/>
                <w:highlight w:val="none"/>
                <w:lang w:eastAsia="zh-CN"/>
              </w:rPr>
              <w:t>采购公告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w:t>
            </w:r>
            <w:r>
              <w:rPr>
                <w:rFonts w:hint="eastAsia"/>
                <w:color w:val="auto"/>
                <w:sz w:val="22"/>
                <w:szCs w:val="21"/>
                <w:highlight w:val="none"/>
                <w:lang w:val="en-US" w:eastAsia="zh-CN"/>
              </w:rPr>
              <w:t>成交</w:t>
            </w:r>
            <w:r>
              <w:rPr>
                <w:color w:val="auto"/>
                <w:sz w:val="22"/>
                <w:szCs w:val="21"/>
                <w:highlight w:val="none"/>
              </w:rPr>
              <w:t>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lang w:val="en-US" w:eastAsia="zh-CN"/>
              </w:rPr>
              <w:t>评审</w:t>
            </w:r>
            <w:r>
              <w:rPr>
                <w:rFonts w:hint="eastAsia"/>
                <w:color w:val="auto"/>
                <w:sz w:val="22"/>
                <w:szCs w:val="21"/>
                <w:highlight w:val="none"/>
              </w:rPr>
              <w:t>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val="en-US" w:eastAsia="zh-CN"/>
              </w:rPr>
              <w:t>成交</w:t>
            </w:r>
            <w:r>
              <w:rPr>
                <w:color w:val="auto"/>
                <w:sz w:val="22"/>
                <w:szCs w:val="21"/>
                <w:highlight w:val="none"/>
              </w:rPr>
              <w:t>候选人公示媒介及期限</w:t>
            </w:r>
          </w:p>
        </w:tc>
        <w:tc>
          <w:tcPr>
            <w:tcW w:w="5107" w:type="dxa"/>
            <w:vAlign w:val="center"/>
          </w:tcPr>
          <w:p>
            <w:pPr>
              <w:pStyle w:val="47"/>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招标信息</w:t>
            </w:r>
            <w:r>
              <w:rPr>
                <w:rFonts w:hint="eastAsia" w:ascii="Times New Roman" w:hAnsi="Times New Roman" w:cs="Times New Roman"/>
                <w:color w:val="000000" w:themeColor="text1"/>
                <w:szCs w:val="22"/>
                <w14:textFill>
                  <w14:solidFill>
                    <w14:schemeClr w14:val="tx1"/>
                  </w14:solidFill>
                </w14:textFill>
              </w:rPr>
              <w:t>”栏目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w:t>
            </w:r>
            <w:r>
              <w:rPr>
                <w:rFonts w:hint="eastAsia"/>
                <w:color w:val="auto"/>
                <w:sz w:val="22"/>
                <w:szCs w:val="21"/>
                <w:highlight w:val="none"/>
                <w:lang w:val="en-US" w:eastAsia="zh-CN"/>
              </w:rPr>
              <w:t>成交</w:t>
            </w:r>
            <w:r>
              <w:rPr>
                <w:rFonts w:hint="eastAsia"/>
                <w:color w:val="auto"/>
                <w:sz w:val="22"/>
                <w:szCs w:val="21"/>
                <w:highlight w:val="none"/>
                <w:lang w:eastAsia="zh-CN"/>
              </w:rPr>
              <w:t>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见第二章第七项条款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50</w:t>
            </w:r>
          </w:p>
        </w:tc>
        <w:tc>
          <w:tcPr>
            <w:tcW w:w="8307" w:type="dxa"/>
            <w:gridSpan w:val="2"/>
            <w:vAlign w:val="top"/>
          </w:tcPr>
          <w:p>
            <w:pPr>
              <w:jc w:val="left"/>
              <w:textAlignment w:val="top"/>
              <w:rPr>
                <w:rFonts w:hint="eastAsia" w:ascii="宋体" w:hAnsi="宋体" w:cs="宋体"/>
                <w:b/>
                <w:bCs w:val="0"/>
                <w:color w:val="auto"/>
                <w:kern w:val="0"/>
                <w:sz w:val="24"/>
                <w:szCs w:val="24"/>
                <w:highlight w:val="none"/>
                <w:lang w:bidi="ar"/>
              </w:rPr>
            </w:pPr>
            <w:r>
              <w:rPr>
                <w:rFonts w:hint="eastAsia" w:ascii="宋体" w:hAnsi="宋体" w:cs="宋体"/>
                <w:b/>
                <w:bCs w:val="0"/>
                <w:color w:val="auto"/>
                <w:kern w:val="0"/>
                <w:sz w:val="24"/>
                <w:szCs w:val="24"/>
                <w:highlight w:val="none"/>
                <w:lang w:val="en-US" w:eastAsia="zh-CN" w:bidi="ar"/>
              </w:rPr>
              <w:t>一、</w:t>
            </w:r>
            <w:r>
              <w:rPr>
                <w:rFonts w:hint="eastAsia" w:ascii="宋体" w:hAnsi="宋体" w:cs="宋体"/>
                <w:b/>
                <w:bCs w:val="0"/>
                <w:color w:val="auto"/>
                <w:kern w:val="0"/>
                <w:sz w:val="24"/>
                <w:szCs w:val="24"/>
                <w:highlight w:val="none"/>
                <w:lang w:bidi="ar"/>
              </w:rPr>
              <w:t xml:space="preserve"> 本供货要求提出的技术参数及要求为最低限度的技术要求，并未对一切技术细节做出规定，也未充分引述有关标准和规范条文，供应商应保证提供符合或优于本技术要求的产品。  </w:t>
            </w:r>
          </w:p>
          <w:p>
            <w:pPr>
              <w:jc w:val="left"/>
              <w:textAlignment w:val="top"/>
              <w:rPr>
                <w:rFonts w:hint="eastAsia" w:ascii="宋体" w:hAnsi="宋体" w:cs="宋体"/>
                <w:b/>
                <w:bCs w:val="0"/>
                <w:color w:val="auto"/>
                <w:kern w:val="0"/>
                <w:sz w:val="24"/>
                <w:szCs w:val="24"/>
                <w:highlight w:val="none"/>
                <w:lang w:bidi="ar"/>
              </w:rPr>
            </w:pPr>
            <w:r>
              <w:rPr>
                <w:rFonts w:hint="eastAsia" w:ascii="宋体" w:hAnsi="宋体" w:cs="宋体"/>
                <w:b/>
                <w:bCs w:val="0"/>
                <w:color w:val="auto"/>
                <w:kern w:val="0"/>
                <w:sz w:val="24"/>
                <w:szCs w:val="24"/>
                <w:highlight w:val="none"/>
                <w:lang w:val="en-US" w:eastAsia="zh-CN" w:bidi="ar"/>
              </w:rPr>
              <w:t>二、</w:t>
            </w:r>
            <w:r>
              <w:rPr>
                <w:rFonts w:hint="eastAsia" w:ascii="宋体" w:hAnsi="宋体" w:cs="宋体"/>
                <w:b/>
                <w:bCs w:val="0"/>
                <w:color w:val="auto"/>
                <w:kern w:val="0"/>
                <w:sz w:val="24"/>
                <w:szCs w:val="24"/>
                <w:highlight w:val="none"/>
                <w:lang w:bidi="ar"/>
              </w:rPr>
              <w:t xml:space="preserve"> 供应商应自行踏勘本项目现场，核对货物安装现场的土建尺寸等可能影响后期安装的全部因素，确保所投货物满足现场实际安装要求。 </w:t>
            </w:r>
          </w:p>
          <w:p>
            <w:pPr>
              <w:jc w:val="left"/>
              <w:textAlignment w:val="top"/>
              <w:rPr>
                <w:rFonts w:hint="eastAsia" w:ascii="宋体" w:hAnsi="宋体" w:cs="宋体"/>
                <w:b/>
                <w:bCs w:val="0"/>
                <w:color w:val="auto"/>
                <w:kern w:val="0"/>
                <w:sz w:val="24"/>
                <w:szCs w:val="24"/>
                <w:highlight w:val="none"/>
                <w:lang w:bidi="ar"/>
              </w:rPr>
            </w:pPr>
            <w:r>
              <w:rPr>
                <w:rFonts w:hint="eastAsia" w:ascii="宋体" w:hAnsi="宋体" w:cs="宋体"/>
                <w:b/>
                <w:bCs w:val="0"/>
                <w:color w:val="auto"/>
                <w:kern w:val="0"/>
                <w:sz w:val="24"/>
                <w:szCs w:val="24"/>
                <w:highlight w:val="none"/>
                <w:lang w:val="en-US" w:eastAsia="zh-CN" w:bidi="ar"/>
              </w:rPr>
              <w:t>三、</w:t>
            </w:r>
            <w:r>
              <w:rPr>
                <w:rFonts w:hint="eastAsia" w:ascii="宋体" w:hAnsi="宋体" w:cs="宋体"/>
                <w:b/>
                <w:bCs w:val="0"/>
                <w:color w:val="auto"/>
                <w:kern w:val="0"/>
                <w:sz w:val="24"/>
                <w:szCs w:val="24"/>
                <w:highlight w:val="none"/>
                <w:lang w:bidi="ar"/>
              </w:rPr>
              <w:t xml:space="preserve"> 采购人保留在签订合同之前对本技术规格及要求进行补充和修改的权利，成交人应予以配合。 </w:t>
            </w:r>
          </w:p>
          <w:p>
            <w:pPr>
              <w:pStyle w:val="6"/>
              <w:numPr>
                <w:ilvl w:val="0"/>
                <w:numId w:val="0"/>
              </w:numPr>
              <w:rPr>
                <w:rFonts w:hint="eastAsia" w:ascii="宋体" w:hAnsi="宋体" w:eastAsia="宋体" w:cs="宋体"/>
                <w:b/>
                <w:bCs/>
                <w:color w:val="000000"/>
                <w:kern w:val="0"/>
                <w:sz w:val="28"/>
                <w:szCs w:val="28"/>
                <w:highlight w:val="none"/>
                <w:lang w:val="en-US" w:eastAsia="zh-CN" w:bidi="ar"/>
              </w:rPr>
            </w:pPr>
            <w:r>
              <w:rPr>
                <w:rFonts w:hint="eastAsia" w:ascii="宋体" w:hAnsi="宋体" w:cs="宋体"/>
                <w:b/>
                <w:bCs w:val="0"/>
                <w:color w:val="auto"/>
                <w:kern w:val="0"/>
                <w:sz w:val="24"/>
                <w:szCs w:val="24"/>
                <w:highlight w:val="none"/>
                <w:lang w:val="en-US" w:eastAsia="zh-CN" w:bidi="ar"/>
              </w:rPr>
              <w:t>四、供应商在响应文件启封前</w:t>
            </w:r>
            <w:r>
              <w:rPr>
                <w:rFonts w:hint="eastAsia" w:ascii="宋体" w:hAnsi="宋体" w:eastAsia="宋体" w:cs="宋体"/>
                <w:b/>
                <w:bCs/>
                <w:color w:val="000000"/>
                <w:kern w:val="0"/>
                <w:sz w:val="28"/>
                <w:szCs w:val="28"/>
                <w:highlight w:val="none"/>
                <w:lang w:val="en-US" w:eastAsia="zh-CN" w:bidi="ar"/>
              </w:rPr>
              <w:t>必须向采购人</w:t>
            </w:r>
            <w:r>
              <w:rPr>
                <w:rFonts w:hint="eastAsia" w:ascii="宋体" w:hAnsi="宋体" w:eastAsia="宋体" w:cs="宋体"/>
                <w:b/>
                <w:bCs/>
                <w:color w:val="FF0000"/>
                <w:kern w:val="0"/>
                <w:sz w:val="28"/>
                <w:szCs w:val="28"/>
                <w:highlight w:val="none"/>
                <w:lang w:val="en-US" w:eastAsia="zh-CN" w:bidi="ar"/>
              </w:rPr>
              <w:t>提供原材料（玻璃、铝型材）样品及原材料生产品牌证明材料</w:t>
            </w:r>
            <w:r>
              <w:rPr>
                <w:rFonts w:hint="eastAsia" w:ascii="宋体" w:hAnsi="宋体" w:eastAsia="宋体" w:cs="宋体"/>
                <w:b/>
                <w:bCs/>
                <w:color w:val="000000"/>
                <w:kern w:val="0"/>
                <w:sz w:val="28"/>
                <w:szCs w:val="28"/>
                <w:highlight w:val="none"/>
                <w:lang w:val="en-US" w:eastAsia="zh-CN" w:bidi="ar"/>
              </w:rPr>
              <w:t>。原材料上附供应商名称、材料品牌等信息。</w:t>
            </w:r>
          </w:p>
          <w:p>
            <w:pPr>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五、材料品牌要求、采购需求及清单要求详见 第五章</w:t>
            </w:r>
          </w:p>
          <w:p>
            <w:pPr>
              <w:pStyle w:val="6"/>
              <w:numPr>
                <w:ilvl w:val="0"/>
                <w:numId w:val="0"/>
              </w:numPr>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六、拟成交单位须报样品经业主确认，若不符合采购文件或业主要求，采购人有权取消成交资格。</w:t>
            </w:r>
          </w:p>
          <w:p>
            <w:pPr>
              <w:rPr>
                <w:rFonts w:hint="default"/>
                <w:lang w:val="en-US" w:eastAsia="zh-CN"/>
              </w:rPr>
            </w:pPr>
            <w:r>
              <w:rPr>
                <w:rFonts w:hint="eastAsia" w:ascii="宋体" w:hAnsi="宋体" w:eastAsia="宋体" w:cs="宋体"/>
                <w:b/>
                <w:bCs/>
                <w:color w:val="000000"/>
                <w:kern w:val="0"/>
                <w:sz w:val="28"/>
                <w:szCs w:val="28"/>
                <w:highlight w:val="none"/>
                <w:lang w:val="en-US" w:eastAsia="zh-CN" w:bidi="ar"/>
              </w:rPr>
              <w:t>七、供应商所供材料应满足图纸设计要求。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pPr>
              <w:jc w:val="center"/>
              <w:rPr>
                <w:rFonts w:hint="default"/>
                <w:color w:val="auto"/>
                <w:sz w:val="22"/>
                <w:szCs w:val="21"/>
                <w:highlight w:val="none"/>
                <w:lang w:val="en-US" w:eastAsia="zh-CN"/>
              </w:rPr>
            </w:pPr>
            <w:r>
              <w:rPr>
                <w:rFonts w:hint="eastAsia"/>
                <w:color w:val="auto"/>
                <w:sz w:val="22"/>
                <w:szCs w:val="21"/>
                <w:highlight w:val="none"/>
                <w:lang w:val="en-US" w:eastAsia="zh-CN"/>
              </w:rPr>
              <w:t>51</w:t>
            </w:r>
          </w:p>
        </w:tc>
        <w:tc>
          <w:tcPr>
            <w:tcW w:w="8307" w:type="dxa"/>
            <w:gridSpan w:val="2"/>
            <w:vAlign w:val="top"/>
          </w:tcPr>
          <w:p>
            <w:pPr>
              <w:jc w:val="left"/>
              <w:textAlignment w:val="top"/>
              <w:rPr>
                <w:rFonts w:hint="eastAsia"/>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jc w:val="center"/>
        <w:rPr>
          <w:rFonts w:hint="eastAsia" w:ascii="黑体" w:eastAsia="黑体"/>
          <w:color w:val="auto"/>
          <w:sz w:val="24"/>
          <w:szCs w:val="24"/>
          <w:highlight w:val="none"/>
        </w:rPr>
      </w:pPr>
    </w:p>
    <w:p>
      <w:pPr>
        <w:jc w:val="center"/>
        <w:rPr>
          <w:rFonts w:hint="eastAsia" w:ascii="黑体" w:eastAsia="黑体"/>
          <w:color w:val="auto"/>
          <w:sz w:val="24"/>
          <w:szCs w:val="24"/>
          <w:highlight w:val="none"/>
        </w:rPr>
      </w:pPr>
    </w:p>
    <w:p>
      <w:pPr>
        <w:jc w:val="center"/>
        <w:rPr>
          <w:rFonts w:hint="eastAsia" w:ascii="黑体" w:eastAsia="黑体"/>
          <w:color w:val="auto"/>
          <w:sz w:val="24"/>
          <w:szCs w:val="24"/>
          <w:highlight w:val="none"/>
        </w:rPr>
      </w:pPr>
    </w:p>
    <w:p>
      <w:pPr>
        <w:pStyle w:val="2"/>
        <w:rPr>
          <w:rFonts w:hint="eastAsia" w:ascii="黑体" w:eastAsia="黑体"/>
          <w:color w:val="auto"/>
          <w:sz w:val="24"/>
          <w:szCs w:val="24"/>
          <w:highlight w:val="none"/>
        </w:rPr>
      </w:pPr>
    </w:p>
    <w:p>
      <w:pPr>
        <w:rPr>
          <w:rFonts w:hint="eastAsia" w:ascii="黑体" w:eastAsia="黑体"/>
          <w:color w:val="auto"/>
          <w:sz w:val="24"/>
          <w:szCs w:val="24"/>
          <w:highlight w:val="none"/>
        </w:rPr>
      </w:pPr>
    </w:p>
    <w:p>
      <w:pPr>
        <w:pStyle w:val="2"/>
        <w:rPr>
          <w:rFonts w:hint="eastAsia" w:ascii="黑体" w:eastAsia="黑体"/>
          <w:color w:val="auto"/>
          <w:sz w:val="24"/>
          <w:szCs w:val="24"/>
          <w:highlight w:val="none"/>
        </w:rPr>
      </w:pPr>
    </w:p>
    <w:p>
      <w:pPr>
        <w:rPr>
          <w:rFonts w:hint="eastAsia" w:ascii="黑体" w:eastAsia="黑体"/>
          <w:color w:val="auto"/>
          <w:sz w:val="24"/>
          <w:szCs w:val="24"/>
          <w:highlight w:val="none"/>
        </w:rPr>
      </w:pPr>
    </w:p>
    <w:p>
      <w:pPr>
        <w:rPr>
          <w:rFonts w:hint="eastAsia" w:ascii="黑体" w:eastAsia="黑体"/>
          <w:color w:val="auto"/>
          <w:sz w:val="24"/>
          <w:szCs w:val="24"/>
          <w:highlight w:val="none"/>
        </w:rPr>
      </w:pPr>
    </w:p>
    <w:p>
      <w:pPr>
        <w:pStyle w:val="2"/>
        <w:rPr>
          <w:rFonts w:hint="eastAsia" w:ascii="黑体" w:eastAsia="黑体"/>
          <w:color w:val="auto"/>
          <w:sz w:val="24"/>
          <w:szCs w:val="24"/>
          <w:highlight w:val="none"/>
        </w:rPr>
      </w:pPr>
    </w:p>
    <w:p>
      <w:pPr>
        <w:rPr>
          <w:rFonts w:hint="eastAsia"/>
        </w:rPr>
      </w:pPr>
    </w:p>
    <w:p>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pPr>
              <w:jc w:val="center"/>
              <w:rPr>
                <w:color w:val="auto"/>
                <w:sz w:val="22"/>
                <w:szCs w:val="22"/>
                <w:highlight w:val="none"/>
              </w:rPr>
            </w:pPr>
            <w:r>
              <w:rPr>
                <w:rFonts w:hint="eastAsia"/>
                <w:color w:val="auto"/>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pPr>
              <w:rPr>
                <w:rFonts w:hint="eastAsia"/>
                <w:color w:val="auto"/>
                <w:sz w:val="22"/>
                <w:szCs w:val="22"/>
                <w:highlight w:val="none"/>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pStyle w:val="2"/>
        <w:rPr>
          <w:rFonts w:hint="eastAsia"/>
          <w:highlight w:val="none"/>
        </w:rPr>
      </w:pPr>
    </w:p>
    <w:p>
      <w:pPr>
        <w:pStyle w:val="2"/>
        <w:rPr>
          <w:rFonts w:hint="eastAsia"/>
          <w:highlight w:val="none"/>
        </w:rPr>
      </w:pPr>
    </w:p>
    <w:p>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供应商近三年（2021年1月1日至投标截止日，以合同协议书签订时间为准）至少有1个合同金额在100万元（含）的门窗采购及安装业绩；</w:t>
            </w:r>
          </w:p>
        </w:tc>
      </w:tr>
    </w:tbl>
    <w:p>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pPr>
        <w:adjustRightInd w:val="0"/>
        <w:snapToGrid w:val="0"/>
        <w:spacing w:line="300" w:lineRule="auto"/>
        <w:jc w:val="left"/>
        <w:rPr>
          <w:rFonts w:ascii="黑体" w:eastAsia="黑体"/>
          <w:bCs/>
          <w:color w:val="auto"/>
          <w:sz w:val="24"/>
          <w:szCs w:val="24"/>
          <w:highlight w:val="none"/>
        </w:rPr>
      </w:pPr>
    </w:p>
    <w:p>
      <w:pPr>
        <w:pStyle w:val="2"/>
        <w:rPr>
          <w:rFonts w:ascii="黑体" w:eastAsia="黑体"/>
          <w:bCs/>
          <w:color w:val="auto"/>
          <w:sz w:val="24"/>
          <w:szCs w:val="24"/>
          <w:highlight w:val="none"/>
        </w:rPr>
      </w:pPr>
    </w:p>
    <w:p>
      <w:pPr>
        <w:rPr>
          <w:highlight w:val="none"/>
        </w:rPr>
      </w:pPr>
    </w:p>
    <w:p>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w:t>
      </w:r>
      <w:r>
        <w:rPr>
          <w:rFonts w:hint="eastAsia" w:ascii="黑体" w:eastAsia="黑体"/>
          <w:bCs/>
          <w:color w:val="auto"/>
          <w:sz w:val="24"/>
          <w:szCs w:val="24"/>
          <w:highlight w:val="none"/>
          <w:lang w:val="en-US" w:eastAsia="zh-CN"/>
        </w:rPr>
        <w:t xml:space="preserve"> </w:t>
      </w:r>
      <w:r>
        <w:rPr>
          <w:rFonts w:ascii="黑体" w:eastAsia="黑体"/>
          <w:bCs/>
          <w:color w:val="auto"/>
          <w:sz w:val="24"/>
          <w:szCs w:val="24"/>
          <w:highlight w:val="none"/>
        </w:rPr>
        <w:t>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tbl>
    <w:p>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bookmarkEnd w:id="46"/>
      <w:bookmarkEnd w:id="47"/>
      <w:bookmarkEnd w:id="48"/>
    </w:p>
    <w:p>
      <w:pPr>
        <w:keepNext/>
        <w:keepLines/>
        <w:spacing w:before="120" w:after="120"/>
        <w:outlineLvl w:val="2"/>
        <w:rPr>
          <w:rFonts w:ascii="Times New Roman" w:hAnsi="Times New Roman" w:eastAsia="黑体" w:cs="Times New Roman"/>
          <w:bCs/>
          <w:sz w:val="24"/>
          <w:szCs w:val="32"/>
        </w:rPr>
      </w:pPr>
      <w:bookmarkStart w:id="49" w:name="_Toc14201208"/>
      <w:bookmarkStart w:id="50" w:name="_Toc26656939"/>
      <w:r>
        <w:rPr>
          <w:rFonts w:ascii="Times New Roman" w:hAnsi="Times New Roman" w:eastAsia="黑体" w:cs="Times New Roman"/>
          <w:bCs/>
          <w:sz w:val="24"/>
          <w:szCs w:val="32"/>
        </w:rPr>
        <w:t xml:space="preserve">1.1 </w:t>
      </w:r>
      <w:bookmarkEnd w:id="49"/>
      <w:bookmarkEnd w:id="50"/>
      <w:bookmarkStart w:id="51" w:name="_Toc14201210"/>
      <w:bookmarkStart w:id="52" w:name="_Toc26656941"/>
      <w:r>
        <w:rPr>
          <w:rFonts w:ascii="Times New Roman" w:hAnsi="Times New Roman" w:eastAsia="黑体" w:cs="Times New Roman"/>
          <w:bCs/>
          <w:sz w:val="24"/>
          <w:szCs w:val="32"/>
        </w:rPr>
        <w:t>质量要求</w:t>
      </w:r>
      <w:bookmarkEnd w:id="51"/>
      <w:bookmarkEnd w:id="52"/>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检测合格</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bookmarkStart w:id="53" w:name="_Toc14201211"/>
      <w:bookmarkStart w:id="54" w:name="_Toc26656942"/>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bookmarkEnd w:id="53"/>
      <w:bookmarkEnd w:id="54"/>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lang w:eastAsia="zh-CN"/>
        </w:rPr>
        <w:t>“</w:t>
      </w:r>
      <w:r>
        <w:rPr>
          <w:rFonts w:hint="eastAsia" w:ascii="Times New Roman" w:hAnsi="Times New Roman" w:cs="Times New Roman"/>
          <w:szCs w:val="21"/>
        </w:rPr>
        <w:t>采购公告</w:t>
      </w:r>
      <w:r>
        <w:rPr>
          <w:rFonts w:hint="eastAsia" w:ascii="Times New Roman" w:hAnsi="Times New Roman" w:cs="Times New Roman"/>
          <w:szCs w:val="21"/>
          <w:lang w:eastAsia="zh-CN"/>
        </w:rPr>
        <w:t>”</w:t>
      </w:r>
      <w:r>
        <w:rPr>
          <w:rFonts w:hint="eastAsia" w:ascii="Times New Roman" w:hAnsi="Times New Roman" w:cs="Times New Roman"/>
          <w:szCs w:val="21"/>
        </w:rPr>
        <w:t>第3</w:t>
      </w:r>
      <w:r>
        <w:rPr>
          <w:rFonts w:hint="eastAsia" w:ascii="Times New Roman" w:hAnsi="Times New Roman" w:cs="Times New Roman"/>
          <w:szCs w:val="21"/>
          <w:lang w:eastAsia="zh-CN"/>
        </w:rPr>
        <w:t>条</w:t>
      </w:r>
      <w:r>
        <w:rPr>
          <w:rFonts w:hint="eastAsia" w:ascii="Times New Roman" w:hAnsi="Times New Roman" w:cs="Times New Roman"/>
          <w:szCs w:val="21"/>
        </w:rPr>
        <w:t>要求</w:t>
      </w:r>
      <w:r>
        <w:rPr>
          <w:rFonts w:ascii="Times New Roman" w:hAnsi="Times New Roman" w:cs="Times New Roman"/>
          <w:szCs w:val="21"/>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满足前附表要求</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bookmarkStart w:id="55" w:name="_Toc14201212"/>
      <w:bookmarkStart w:id="56" w:name="_Toc26656943"/>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bookmarkEnd w:id="55"/>
      <w:bookmarkEnd w:id="56"/>
    </w:p>
    <w:p>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pPr>
        <w:keepNext/>
        <w:keepLines/>
        <w:spacing w:before="120" w:after="120"/>
        <w:outlineLvl w:val="2"/>
        <w:rPr>
          <w:rFonts w:ascii="Times New Roman" w:hAnsi="Times New Roman" w:eastAsia="黑体" w:cs="Times New Roman"/>
          <w:bCs/>
          <w:sz w:val="24"/>
          <w:szCs w:val="32"/>
        </w:rPr>
      </w:pPr>
      <w:bookmarkStart w:id="57" w:name="_Toc26656944"/>
      <w:bookmarkStart w:id="58" w:name="_Toc14201213"/>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bookmarkEnd w:id="57"/>
      <w:bookmarkEnd w:id="58"/>
    </w:p>
    <w:p>
      <w:pPr>
        <w:spacing w:line="440" w:lineRule="exact"/>
        <w:ind w:firstLine="420"/>
        <w:rPr>
          <w:rFonts w:ascii="Times New Roman" w:hAnsi="Times New Roman" w:cs="Times New Roman"/>
        </w:rPr>
      </w:pPr>
      <w:r>
        <w:rPr>
          <w:rFonts w:ascii="Times New Roman" w:hAnsi="Times New Roman" w:cs="Times New Roman"/>
        </w:rPr>
        <w:t>参与询比活动的各方应对</w:t>
      </w:r>
      <w:r>
        <w:rPr>
          <w:rFonts w:hint="eastAsia" w:ascii="Times New Roman" w:hAnsi="Times New Roman" w:cs="Times New Roman"/>
          <w:lang w:eastAsia="zh-CN"/>
        </w:rPr>
        <w:t>采购文件</w:t>
      </w:r>
      <w:r>
        <w:rPr>
          <w:rFonts w:ascii="Times New Roman" w:hAnsi="Times New Roman" w:cs="Times New Roman"/>
        </w:rPr>
        <w:t>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bookmarkStart w:id="59" w:name="_Toc26656946"/>
      <w:bookmarkStart w:id="60" w:name="_Toc14201215"/>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bookmarkEnd w:id="59"/>
      <w:bookmarkEnd w:id="60"/>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bookmarkStart w:id="61" w:name="_Toc14201216"/>
      <w:bookmarkStart w:id="62" w:name="_Toc26656947"/>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bookmarkEnd w:id="61"/>
      <w:bookmarkEnd w:id="62"/>
    </w:p>
    <w:p>
      <w:pPr>
        <w:keepNext w:val="0"/>
        <w:keepLines w:val="0"/>
        <w:widowControl/>
        <w:suppressLineNumbers w:val="0"/>
        <w:ind w:firstLine="400" w:firstLineChars="200"/>
        <w:jc w:val="left"/>
        <w:rPr>
          <w:rFonts w:ascii="Times New Roman" w:hAnsi="Times New Roman" w:cs="Times New Roman"/>
        </w:rPr>
      </w:pPr>
      <w:r>
        <w:rPr>
          <w:rFonts w:hint="eastAsia" w:ascii="宋体" w:hAnsi="宋体" w:eastAsia="宋体" w:cs="宋体"/>
          <w:color w:val="000000"/>
          <w:kern w:val="0"/>
          <w:sz w:val="20"/>
          <w:szCs w:val="20"/>
          <w:lang w:val="en-US" w:eastAsia="zh-CN" w:bidi="ar"/>
        </w:rPr>
        <w:t>采购人不组织，</w:t>
      </w: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bookmarkStart w:id="63" w:name="_Toc26656949"/>
      <w:bookmarkStart w:id="64" w:name="_Toc14201218"/>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bookmarkEnd w:id="63"/>
      <w:bookmarkEnd w:id="64"/>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bookmarkStart w:id="65" w:name="_Toc26656950"/>
      <w:bookmarkStart w:id="66" w:name="_Toc14201219"/>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bookmarkEnd w:id="65"/>
      <w:bookmarkEnd w:id="66"/>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 xml:space="preserve">.2 </w:t>
      </w:r>
      <w:r>
        <w:rPr>
          <w:rFonts w:ascii="Times New Roman" w:hAnsi="Times New Roman" w:cs="Times New Roman"/>
          <w:b/>
          <w:bCs/>
        </w:rPr>
        <w:t>响应文件存在第三章</w:t>
      </w:r>
      <w:r>
        <w:rPr>
          <w:rFonts w:hint="eastAsia" w:asciiTheme="minorEastAsia" w:hAnsiTheme="minorEastAsia" w:eastAsiaTheme="minorEastAsia" w:cstheme="minorEastAsia"/>
          <w:b/>
          <w:bCs/>
        </w:rPr>
        <w:t>“评审办法”</w:t>
      </w:r>
      <w:r>
        <w:rPr>
          <w:rFonts w:ascii="Times New Roman" w:hAnsi="Times New Roman" w:cs="Times New Roman"/>
          <w:b/>
          <w:bCs/>
        </w:rPr>
        <w:t>中所列任一否决</w:t>
      </w:r>
      <w:r>
        <w:rPr>
          <w:rFonts w:hint="eastAsia" w:ascii="Times New Roman" w:hAnsi="Times New Roman" w:cs="Times New Roman"/>
          <w:b/>
          <w:bCs/>
        </w:rPr>
        <w:t>响应文件</w:t>
      </w:r>
      <w:r>
        <w:rPr>
          <w:rFonts w:ascii="Times New Roman" w:hAnsi="Times New Roman" w:cs="Times New Roman"/>
          <w:b/>
          <w:bCs/>
        </w:rPr>
        <w:t>情形的，均属于存在重大偏差</w:t>
      </w:r>
      <w:r>
        <w:rPr>
          <w:rFonts w:hint="eastAsia" w:ascii="Times New Roman" w:hAnsi="Times New Roman" w:cs="Times New Roman"/>
          <w:b/>
          <w:bCs/>
        </w:rPr>
        <w:t>，响应文件将被否决</w:t>
      </w:r>
      <w:r>
        <w:rPr>
          <w:rFonts w:ascii="Times New Roman" w:hAnsi="Times New Roman" w:cs="Times New Roman"/>
          <w:b/>
          <w:bCs/>
        </w:rPr>
        <w:t>。</w:t>
      </w:r>
    </w:p>
    <w:p>
      <w:pPr>
        <w:keepNext/>
        <w:keepLines/>
        <w:spacing w:beforeLines="50" w:afterLines="50"/>
        <w:outlineLvl w:val="1"/>
        <w:rPr>
          <w:rFonts w:ascii="Times New Roman" w:hAnsi="Times New Roman" w:eastAsia="黑体" w:cs="Times New Roman"/>
          <w:bCs/>
          <w:sz w:val="24"/>
          <w:szCs w:val="32"/>
        </w:rPr>
      </w:pPr>
      <w:bookmarkStart w:id="67" w:name="_Toc26656951"/>
      <w:bookmarkStart w:id="68" w:name="_Toc14201220"/>
      <w:bookmarkStart w:id="69" w:name="_Toc9067721"/>
      <w:r>
        <w:rPr>
          <w:rFonts w:ascii="Times New Roman" w:hAnsi="Times New Roman" w:eastAsia="黑体" w:cs="Times New Roman"/>
          <w:bCs/>
          <w:sz w:val="24"/>
          <w:szCs w:val="32"/>
        </w:rPr>
        <w:t xml:space="preserve">2. </w:t>
      </w:r>
      <w:bookmarkEnd w:id="67"/>
      <w:bookmarkEnd w:id="68"/>
      <w:bookmarkEnd w:id="69"/>
      <w:r>
        <w:rPr>
          <w:rFonts w:hint="eastAsia" w:ascii="Times New Roman" w:hAnsi="Times New Roman" w:eastAsia="黑体" w:cs="Times New Roman"/>
          <w:bCs/>
          <w:sz w:val="24"/>
          <w:szCs w:val="32"/>
          <w:lang w:eastAsia="zh-CN"/>
        </w:rPr>
        <w:t>采购</w:t>
      </w:r>
      <w:r>
        <w:rPr>
          <w:rFonts w:ascii="Times New Roman" w:hAnsi="Times New Roman" w:eastAsia="黑体" w:cs="Times New Roman"/>
          <w:bCs/>
          <w:sz w:val="24"/>
          <w:szCs w:val="32"/>
        </w:rPr>
        <w:t>文件</w:t>
      </w:r>
    </w:p>
    <w:p>
      <w:pPr>
        <w:keepNext/>
        <w:keepLines/>
        <w:spacing w:before="120" w:after="120"/>
        <w:outlineLvl w:val="2"/>
        <w:rPr>
          <w:rFonts w:ascii="Times New Roman" w:hAnsi="Times New Roman" w:eastAsia="黑体" w:cs="Times New Roman"/>
          <w:bCs/>
          <w:sz w:val="24"/>
          <w:szCs w:val="32"/>
        </w:rPr>
      </w:pPr>
      <w:bookmarkStart w:id="70" w:name="_Toc14201221"/>
      <w:bookmarkStart w:id="71" w:name="_Toc26656952"/>
      <w:r>
        <w:rPr>
          <w:rFonts w:ascii="Times New Roman" w:hAnsi="Times New Roman" w:eastAsia="黑体" w:cs="Times New Roman"/>
          <w:bCs/>
          <w:sz w:val="24"/>
          <w:szCs w:val="32"/>
        </w:rPr>
        <w:t xml:space="preserve">2.1 </w:t>
      </w:r>
      <w:r>
        <w:rPr>
          <w:rFonts w:hint="eastAsia" w:ascii="Times New Roman" w:hAnsi="Times New Roman" w:eastAsia="黑体" w:cs="Times New Roman"/>
          <w:bCs/>
          <w:sz w:val="24"/>
          <w:szCs w:val="32"/>
          <w:lang w:eastAsia="zh-CN"/>
        </w:rPr>
        <w:t>采购</w:t>
      </w:r>
      <w:r>
        <w:rPr>
          <w:rFonts w:ascii="Times New Roman" w:hAnsi="Times New Roman" w:eastAsia="黑体" w:cs="Times New Roman"/>
          <w:bCs/>
          <w:sz w:val="24"/>
          <w:szCs w:val="32"/>
        </w:rPr>
        <w:t>文件的组成</w:t>
      </w:r>
      <w:bookmarkEnd w:id="70"/>
      <w:bookmarkEnd w:id="71"/>
    </w:p>
    <w:p>
      <w:pPr>
        <w:spacing w:line="440" w:lineRule="exact"/>
        <w:ind w:firstLine="420"/>
        <w:rPr>
          <w:rFonts w:ascii="Times New Roman" w:hAnsi="Times New Roman" w:cs="Times New Roman"/>
        </w:rPr>
      </w:pPr>
      <w:r>
        <w:rPr>
          <w:rFonts w:ascii="Times New Roman" w:hAnsi="Times New Roman" w:cs="Times New Roman"/>
        </w:rPr>
        <w:t>本</w:t>
      </w:r>
      <w:r>
        <w:rPr>
          <w:rFonts w:hint="eastAsia" w:ascii="Times New Roman" w:hAnsi="Times New Roman" w:cs="Times New Roman"/>
          <w:lang w:eastAsia="zh-CN"/>
        </w:rPr>
        <w:t>采购文件</w:t>
      </w:r>
      <w:r>
        <w:rPr>
          <w:rFonts w:ascii="Times New Roman" w:hAnsi="Times New Roman" w:cs="Times New Roman"/>
        </w:rPr>
        <w:t>包括：</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val="en-US" w:eastAsia="zh-CN"/>
        </w:rPr>
        <w:t>采购</w:t>
      </w:r>
      <w:r>
        <w:rPr>
          <w:rFonts w:hint="default" w:ascii="Times New Roman" w:hAnsi="Times New Roman" w:cs="Times New Roman"/>
          <w:color w:val="auto"/>
          <w:highlight w:val="none"/>
        </w:rPr>
        <w:t>合同</w:t>
      </w:r>
      <w:r>
        <w:rPr>
          <w:rFonts w:hint="eastAsia" w:ascii="Times New Roman" w:hAnsi="Times New Roman" w:cs="Times New Roman"/>
          <w:color w:val="auto"/>
          <w:highlight w:val="none"/>
          <w:lang w:val="en-US" w:eastAsia="zh-CN"/>
        </w:rPr>
        <w:t>内容</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pPr>
        <w:spacing w:line="440" w:lineRule="exact"/>
        <w:ind w:firstLine="420" w:firstLineChars="200"/>
        <w:rPr>
          <w:rFonts w:ascii="Times New Roman" w:hAnsi="Times New Roman" w:cs="Times New Roman"/>
        </w:rPr>
      </w:pPr>
      <w:r>
        <w:rPr>
          <w:rFonts w:ascii="Times New Roman" w:hAnsi="Times New Roman" w:cs="Times New Roman"/>
        </w:rPr>
        <w:t>根据本章第2.2款对</w:t>
      </w:r>
      <w:r>
        <w:rPr>
          <w:rFonts w:hint="eastAsia" w:ascii="Times New Roman" w:hAnsi="Times New Roman" w:cs="Times New Roman"/>
          <w:lang w:eastAsia="zh-CN"/>
        </w:rPr>
        <w:t>采购文件</w:t>
      </w:r>
      <w:r>
        <w:rPr>
          <w:rFonts w:hint="eastAsia" w:ascii="Times New Roman" w:hAnsi="Times New Roman" w:cs="Times New Roman"/>
        </w:rPr>
        <w:t>所</w:t>
      </w:r>
      <w:r>
        <w:rPr>
          <w:rFonts w:hint="eastAsia" w:ascii="Times New Roman" w:hAnsi="Times New Roman" w:cs="Times New Roman"/>
          <w:lang w:eastAsia="zh-CN"/>
        </w:rPr>
        <w:t>作</w:t>
      </w:r>
      <w:r>
        <w:rPr>
          <w:rFonts w:hint="eastAsia" w:ascii="Times New Roman" w:hAnsi="Times New Roman" w:cs="Times New Roman"/>
        </w:rPr>
        <w:t>的</w:t>
      </w:r>
      <w:r>
        <w:rPr>
          <w:rFonts w:ascii="Times New Roman" w:hAnsi="Times New Roman" w:cs="Times New Roman"/>
        </w:rPr>
        <w:t>澄清、修改，构成</w:t>
      </w:r>
      <w:r>
        <w:rPr>
          <w:rFonts w:hint="eastAsia" w:ascii="Times New Roman" w:hAnsi="Times New Roman" w:cs="Times New Roman"/>
          <w:lang w:eastAsia="zh-CN"/>
        </w:rPr>
        <w:t>采购文件</w:t>
      </w:r>
      <w:r>
        <w:rPr>
          <w:rFonts w:ascii="Times New Roman" w:hAnsi="Times New Roman" w:cs="Times New Roman"/>
        </w:rPr>
        <w:t>的组成部分。</w:t>
      </w:r>
    </w:p>
    <w:p>
      <w:pPr>
        <w:spacing w:line="440" w:lineRule="exact"/>
        <w:ind w:firstLine="420"/>
        <w:rPr>
          <w:rFonts w:ascii="Times New Roman" w:hAnsi="Times New Roman" w:cs="Times New Roman"/>
        </w:rPr>
      </w:pPr>
      <w:r>
        <w:rPr>
          <w:rFonts w:ascii="Times New Roman" w:hAnsi="Times New Roman" w:cs="Times New Roman"/>
        </w:rPr>
        <w:t>当</w:t>
      </w:r>
      <w:r>
        <w:rPr>
          <w:rFonts w:hint="eastAsia" w:ascii="Times New Roman" w:hAnsi="Times New Roman" w:cs="Times New Roman"/>
          <w:lang w:eastAsia="zh-CN"/>
        </w:rPr>
        <w:t>采购文件</w:t>
      </w:r>
      <w:r>
        <w:rPr>
          <w:rFonts w:ascii="Times New Roman" w:hAnsi="Times New Roman" w:cs="Times New Roman"/>
        </w:rPr>
        <w:t>、</w:t>
      </w:r>
      <w:r>
        <w:rPr>
          <w:rFonts w:hint="eastAsia" w:ascii="Times New Roman" w:hAnsi="Times New Roman" w:cs="Times New Roman"/>
          <w:lang w:eastAsia="zh-CN"/>
        </w:rPr>
        <w:t>采购文件</w:t>
      </w:r>
      <w:r>
        <w:rPr>
          <w:rFonts w:ascii="Times New Roman" w:hAnsi="Times New Roman" w:cs="Times New Roman"/>
        </w:rPr>
        <w:t>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bookmarkStart w:id="72" w:name="_Toc14201222"/>
      <w:bookmarkStart w:id="73" w:name="_Toc26656953"/>
      <w:r>
        <w:rPr>
          <w:rFonts w:ascii="Times New Roman" w:hAnsi="Times New Roman" w:eastAsia="黑体" w:cs="Times New Roman"/>
          <w:bCs/>
          <w:sz w:val="24"/>
          <w:szCs w:val="32"/>
        </w:rPr>
        <w:t xml:space="preserve">2.2 </w:t>
      </w:r>
      <w:r>
        <w:rPr>
          <w:rFonts w:hint="eastAsia" w:ascii="Times New Roman" w:hAnsi="Times New Roman" w:eastAsia="黑体" w:cs="Times New Roman"/>
          <w:bCs/>
          <w:sz w:val="24"/>
          <w:szCs w:val="32"/>
          <w:lang w:eastAsia="zh-CN"/>
        </w:rPr>
        <w:t>采购文件</w:t>
      </w:r>
      <w:r>
        <w:rPr>
          <w:rFonts w:ascii="Times New Roman" w:hAnsi="Times New Roman" w:eastAsia="黑体" w:cs="Times New Roman"/>
          <w:bCs/>
          <w:sz w:val="24"/>
          <w:szCs w:val="32"/>
        </w:rPr>
        <w:t>的澄清</w:t>
      </w:r>
      <w:bookmarkEnd w:id="72"/>
      <w:bookmarkEnd w:id="73"/>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官网</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招标信息</w:t>
      </w:r>
      <w:r>
        <w:rPr>
          <w:rFonts w:hint="eastAsia" w:ascii="Times New Roman" w:hAnsi="Times New Roman" w:cs="Times New Roman"/>
          <w:color w:val="000000" w:themeColor="text1"/>
          <w:szCs w:val="22"/>
          <w14:textFill>
            <w14:solidFill>
              <w14:schemeClr w14:val="tx1"/>
            </w14:solidFill>
          </w14:textFill>
        </w:rPr>
        <w:t>”栏目平台</w:t>
      </w:r>
      <w:r>
        <w:rPr>
          <w:rFonts w:hint="eastAsia" w:ascii="Times New Roman" w:hAnsi="Times New Roman" w:cs="Times New Roman"/>
          <w:lang w:eastAsia="zh-CN"/>
        </w:rPr>
        <w:t>联系</w:t>
      </w:r>
      <w:r>
        <w:rPr>
          <w:rFonts w:ascii="Times New Roman" w:hAnsi="Times New Roman" w:cs="Times New Roman"/>
        </w:rPr>
        <w:t>采购人对</w:t>
      </w:r>
      <w:r>
        <w:rPr>
          <w:rFonts w:hint="eastAsia" w:ascii="Times New Roman" w:hAnsi="Times New Roman" w:cs="Times New Roman"/>
          <w:lang w:eastAsia="zh-CN"/>
        </w:rPr>
        <w:t>采购文件</w:t>
      </w:r>
      <w:r>
        <w:rPr>
          <w:rFonts w:ascii="Times New Roman" w:hAnsi="Times New Roman" w:cs="Times New Roman"/>
        </w:rPr>
        <w:t>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Lines="50" w:afterLines="50"/>
        <w:outlineLvl w:val="1"/>
        <w:rPr>
          <w:rFonts w:ascii="Times New Roman" w:hAnsi="Times New Roman" w:eastAsia="黑体" w:cs="Times New Roman"/>
          <w:bCs/>
          <w:sz w:val="24"/>
          <w:szCs w:val="32"/>
        </w:rPr>
      </w:pPr>
      <w:bookmarkStart w:id="74" w:name="_Toc26656956"/>
      <w:bookmarkStart w:id="75" w:name="_Toc14201225"/>
      <w:bookmarkStart w:id="76" w:name="_Toc9067722"/>
      <w:r>
        <w:rPr>
          <w:rFonts w:ascii="Times New Roman" w:hAnsi="Times New Roman" w:eastAsia="黑体" w:cs="Times New Roman"/>
          <w:bCs/>
          <w:sz w:val="24"/>
          <w:szCs w:val="32"/>
        </w:rPr>
        <w:t xml:space="preserve">3. </w:t>
      </w:r>
      <w:bookmarkEnd w:id="74"/>
      <w:bookmarkEnd w:id="75"/>
      <w:bookmarkEnd w:id="76"/>
      <w:r>
        <w:rPr>
          <w:rFonts w:ascii="Times New Roman" w:hAnsi="Times New Roman" w:eastAsia="黑体" w:cs="Times New Roman"/>
          <w:bCs/>
          <w:sz w:val="24"/>
          <w:szCs w:val="32"/>
        </w:rPr>
        <w:t>响应文件</w:t>
      </w:r>
    </w:p>
    <w:p>
      <w:pPr>
        <w:keepNext/>
        <w:keepLines/>
        <w:spacing w:before="120" w:after="120"/>
        <w:outlineLvl w:val="2"/>
        <w:rPr>
          <w:rFonts w:ascii="Times New Roman" w:hAnsi="Times New Roman" w:eastAsia="黑体" w:cs="Times New Roman"/>
          <w:bCs/>
          <w:sz w:val="24"/>
          <w:szCs w:val="32"/>
        </w:rPr>
      </w:pPr>
      <w:bookmarkStart w:id="77" w:name="_Toc26656957"/>
      <w:bookmarkStart w:id="78" w:name="_Toc14201226"/>
      <w:r>
        <w:rPr>
          <w:rFonts w:ascii="Times New Roman" w:hAnsi="Times New Roman" w:eastAsia="黑体" w:cs="Times New Roman"/>
          <w:bCs/>
          <w:sz w:val="24"/>
          <w:szCs w:val="32"/>
        </w:rPr>
        <w:t>3.1响应文件的组成</w:t>
      </w:r>
      <w:bookmarkEnd w:id="77"/>
      <w:bookmarkEnd w:id="78"/>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分为商务及技术文件和报价文件。</w:t>
      </w:r>
    </w:p>
    <w:p>
      <w:pPr>
        <w:keepNext/>
        <w:keepLines/>
        <w:spacing w:before="120" w:after="120"/>
        <w:outlineLvl w:val="2"/>
        <w:rPr>
          <w:rFonts w:ascii="Times New Roman" w:hAnsi="Times New Roman" w:eastAsia="黑体" w:cs="Times New Roman"/>
          <w:bCs/>
          <w:sz w:val="24"/>
          <w:szCs w:val="32"/>
        </w:rPr>
      </w:pPr>
      <w:bookmarkStart w:id="79" w:name="_Toc26656958"/>
      <w:bookmarkStart w:id="80" w:name="_Toc14201227"/>
      <w:r>
        <w:rPr>
          <w:rFonts w:ascii="Times New Roman" w:hAnsi="Times New Roman" w:eastAsia="黑体" w:cs="Times New Roman"/>
          <w:bCs/>
          <w:sz w:val="24"/>
          <w:szCs w:val="32"/>
        </w:rPr>
        <w:t>3.2 报价</w:t>
      </w:r>
      <w:bookmarkEnd w:id="79"/>
      <w:bookmarkEnd w:id="80"/>
      <w:r>
        <w:rPr>
          <w:rFonts w:ascii="Times New Roman" w:hAnsi="Times New Roman" w:eastAsia="黑体" w:cs="Times New Roman"/>
          <w:bCs/>
          <w:sz w:val="24"/>
          <w:szCs w:val="32"/>
        </w:rPr>
        <w:t xml:space="preserve">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r>
        <w:rPr>
          <w:rFonts w:hint="eastAsia" w:ascii="Times New Roman" w:hAnsi="Times New Roman" w:cs="Times New Roman"/>
        </w:rPr>
        <w:t>，供应商应提供增值税专用发票</w:t>
      </w:r>
      <w:r>
        <w:rPr>
          <w:rFonts w:hint="eastAsia" w:ascii="Times New Roman" w:hAnsi="Times New Roman" w:cs="Times New Roman"/>
          <w:lang w:eastAsia="zh-CN"/>
        </w:rPr>
        <w:t>（税率</w:t>
      </w:r>
      <w:r>
        <w:rPr>
          <w:rFonts w:hint="eastAsia" w:ascii="Times New Roman" w:hAnsi="Times New Roman" w:cs="Times New Roman"/>
          <w:lang w:val="en-US" w:eastAsia="zh-CN"/>
        </w:rPr>
        <w:t>13%</w:t>
      </w:r>
      <w:r>
        <w:rPr>
          <w:rFonts w:hint="eastAsia" w:ascii="Times New Roman" w:hAnsi="Times New Roman" w:cs="Times New Roman"/>
          <w:lang w:eastAsia="zh-CN"/>
        </w:rPr>
        <w:t>）</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w:t>
      </w:r>
      <w:r>
        <w:rPr>
          <w:rFonts w:hint="eastAsia" w:asciiTheme="minorEastAsia" w:hAnsiTheme="minorEastAsia" w:eastAsiaTheme="minorEastAsia" w:cstheme="minorEastAsia"/>
        </w:rPr>
        <w:t>“响应文件格式”</w:t>
      </w:r>
      <w:r>
        <w:rPr>
          <w:rFonts w:ascii="Times New Roman" w:hAnsi="Times New Roman" w:cs="Times New Roman"/>
        </w:rPr>
        <w:t>的要求在</w:t>
      </w:r>
      <w:r>
        <w:rPr>
          <w:rFonts w:hint="eastAsia" w:ascii="Times New Roman" w:hAnsi="Times New Roman" w:cs="Times New Roman"/>
          <w:lang w:eastAsia="zh-CN"/>
        </w:rPr>
        <w:t>响应函</w:t>
      </w:r>
      <w:r>
        <w:rPr>
          <w:rFonts w:ascii="Times New Roman" w:hAnsi="Times New Roman" w:cs="Times New Roman"/>
        </w:rPr>
        <w:t>中进行报价并填写</w:t>
      </w:r>
      <w:r>
        <w:rPr>
          <w:rFonts w:hint="eastAsia" w:ascii="Times New Roman" w:hAnsi="Times New Roman" w:cs="Times New Roman"/>
        </w:rPr>
        <w:t>报价清单</w:t>
      </w:r>
      <w:r>
        <w:rPr>
          <w:rFonts w:ascii="Times New Roman" w:hAnsi="Times New Roman" w:cs="Times New Roman"/>
        </w:rPr>
        <w:t>相应表格</w:t>
      </w:r>
      <w:r>
        <w:rPr>
          <w:rFonts w:hint="eastAsia" w:ascii="Times New Roman" w:hAnsi="Times New Roman" w:cs="Times New Roman"/>
          <w:lang w:eastAsia="zh-CN"/>
        </w:rPr>
        <w:t>，且未修改报价清单说明、数量等实质性内容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imes New Roman" w:hAnsi="Times New Roman" w:cs="Times New Roman"/>
        </w:rPr>
        <w:t>第2.</w:t>
      </w:r>
      <w:r>
        <w:rPr>
          <w:rFonts w:hint="eastAsia" w:ascii="Times New Roman" w:hAnsi="Times New Roman" w:cs="Times New Roman"/>
          <w:lang w:val="en-US" w:eastAsia="zh-CN"/>
        </w:rPr>
        <w:t>6</w:t>
      </w:r>
      <w:r>
        <w:rPr>
          <w:rFonts w:hint="eastAsia" w:ascii="Times New Roman" w:hAnsi="Times New Roman" w:cs="Times New Roman"/>
        </w:rPr>
        <w:t>款</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 xml:space="preserve">为 </w:t>
      </w:r>
      <w:r>
        <w:rPr>
          <w:rFonts w:hint="eastAsia" w:ascii="Times New Roman" w:hAnsi="Times New Roman" w:cs="Times New Roman"/>
          <w:color w:val="auto"/>
          <w:highlight w:val="none"/>
          <w:u w:val="single"/>
          <w:lang w:val="en-US" w:eastAsia="zh-CN"/>
        </w:rPr>
        <w:t>（单价/总价）</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color w:val="auto"/>
          <w:szCs w:val="21"/>
          <w:highlight w:val="none"/>
          <w:u w:val="single"/>
          <w:lang w:val="en-US" w:eastAsia="zh-CN"/>
        </w:rPr>
        <w:t>综合单价</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81" w:name="_Toc26656959"/>
      <w:bookmarkStart w:id="82" w:name="_Toc14201228"/>
      <w:r>
        <w:rPr>
          <w:rFonts w:ascii="Times New Roman" w:hAnsi="Times New Roman" w:eastAsia="黑体" w:cs="Times New Roman"/>
          <w:bCs/>
          <w:sz w:val="24"/>
          <w:szCs w:val="32"/>
        </w:rPr>
        <w:t>3.3</w:t>
      </w:r>
      <w:bookmarkEnd w:id="81"/>
      <w:bookmarkEnd w:id="82"/>
      <w:r>
        <w:rPr>
          <w:rFonts w:ascii="Times New Roman" w:hAnsi="Times New Roman" w:eastAsia="黑体" w:cs="Times New Roman"/>
          <w:bCs/>
          <w:sz w:val="24"/>
          <w:szCs w:val="32"/>
        </w:rPr>
        <w:t>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w:t>
      </w:r>
      <w:r>
        <w:rPr>
          <w:rFonts w:hint="eastAsia" w:ascii="Times New Roman" w:hAnsi="Times New Roman" w:cs="Times New Roman"/>
          <w:lang w:eastAsia="zh-CN"/>
        </w:rPr>
        <w:t>采购文件</w:t>
      </w:r>
      <w:r>
        <w:rPr>
          <w:rFonts w:ascii="Times New Roman" w:hAnsi="Times New Roman" w:cs="Times New Roman"/>
        </w:rPr>
        <w:t>和法律规定的责任。</w:t>
      </w:r>
    </w:p>
    <w:p>
      <w:pPr>
        <w:keepNext/>
        <w:keepLines/>
        <w:spacing w:before="120" w:after="120" w:line="415" w:lineRule="auto"/>
        <w:outlineLvl w:val="2"/>
        <w:rPr>
          <w:rFonts w:ascii="Times New Roman" w:hAnsi="Times New Roman" w:eastAsia="黑体" w:cs="Times New Roman"/>
          <w:bCs/>
          <w:sz w:val="24"/>
          <w:szCs w:val="32"/>
        </w:rPr>
      </w:pPr>
      <w:bookmarkStart w:id="83" w:name="_Toc26656960"/>
      <w:bookmarkStart w:id="84" w:name="_Toc14201229"/>
      <w:r>
        <w:rPr>
          <w:rFonts w:ascii="Times New Roman" w:hAnsi="Times New Roman" w:eastAsia="黑体" w:cs="Times New Roman"/>
          <w:bCs/>
          <w:sz w:val="24"/>
          <w:szCs w:val="32"/>
        </w:rPr>
        <w:t>3.4</w:t>
      </w:r>
      <w:bookmarkEnd w:id="83"/>
      <w:bookmarkEnd w:id="84"/>
      <w:r>
        <w:rPr>
          <w:rFonts w:ascii="Times New Roman" w:hAnsi="Times New Roman" w:eastAsia="黑体" w:cs="Times New Roman"/>
          <w:bCs/>
          <w:sz w:val="24"/>
          <w:szCs w:val="32"/>
        </w:rPr>
        <w:t>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imes New Roman" w:hAnsi="Times New Roman" w:cs="Times New Roman"/>
        </w:rPr>
        <w:t>第</w:t>
      </w:r>
      <w:r>
        <w:rPr>
          <w:rFonts w:hint="eastAsia" w:ascii="Times New Roman" w:hAnsi="Times New Roman" w:cs="Times New Roman"/>
          <w:lang w:val="en-US" w:eastAsia="zh-CN"/>
        </w:rPr>
        <w:t>5</w:t>
      </w:r>
      <w:r>
        <w:rPr>
          <w:rFonts w:hint="eastAsia" w:ascii="Times New Roman" w:hAnsi="Times New Roman" w:cs="Times New Roman"/>
        </w:rPr>
        <w:t>条的要求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b/>
          <w:bCs/>
        </w:rPr>
        <w:t>供应商不按本章第3.4.1项要求提交响应保证金的，</w:t>
      </w:r>
      <w:r>
        <w:rPr>
          <w:rFonts w:hint="eastAsia" w:ascii="Times New Roman" w:hAnsi="Times New Roman" w:cs="Times New Roman"/>
          <w:b/>
          <w:bCs/>
        </w:rPr>
        <w:t>评审小组</w:t>
      </w:r>
      <w:r>
        <w:rPr>
          <w:rFonts w:ascii="Times New Roman" w:hAnsi="Times New Roman" w:cs="Times New Roman"/>
          <w:b/>
          <w:bCs/>
        </w:rPr>
        <w:t>将否决其</w:t>
      </w:r>
      <w:r>
        <w:rPr>
          <w:rFonts w:hint="eastAsia" w:ascii="Times New Roman" w:hAnsi="Times New Roman" w:cs="Times New Roman"/>
          <w:b/>
          <w:bCs/>
        </w:rPr>
        <w:t>响应文件</w:t>
      </w:r>
      <w:r>
        <w:rPr>
          <w:rFonts w:ascii="Times New Roman" w:hAnsi="Times New Roman" w:cs="Times New Roman"/>
          <w:b/>
          <w:bCs/>
        </w:rPr>
        <w:t>。</w:t>
      </w:r>
    </w:p>
    <w:p>
      <w:pPr>
        <w:spacing w:line="440" w:lineRule="exact"/>
        <w:ind w:firstLine="420"/>
        <w:rPr>
          <w:rFonts w:hint="default" w:ascii="Times New Roman" w:hAnsi="Times New Roman" w:cs="Times New Roman"/>
          <w:lang w:val="en-US" w:eastAsia="zh-CN"/>
        </w:rPr>
      </w:pPr>
      <w:r>
        <w:rPr>
          <w:rFonts w:ascii="Times New Roman" w:hAnsi="Times New Roman" w:cs="Times New Roman"/>
        </w:rPr>
        <w:t>3.4.3 采购人在与成交人签订合同后5日内办理退还响应保证金手续</w:t>
      </w:r>
      <w:r>
        <w:rPr>
          <w:rFonts w:hint="eastAsia" w:ascii="Times New Roman" w:hAnsi="Times New Roman" w:cs="Times New Roman"/>
          <w:lang w:eastAsia="zh-CN"/>
        </w:rPr>
        <w:t>，如果供应商未成交响应保证金将在</w:t>
      </w:r>
      <w:r>
        <w:rPr>
          <w:rFonts w:hint="eastAsia" w:ascii="Times New Roman" w:hAnsi="Times New Roman" w:cs="Times New Roman"/>
          <w:lang w:val="en-US" w:eastAsia="zh-CN"/>
        </w:rPr>
        <w:t>5个工作日内无息原路径退还。</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lang w:val="en-US" w:eastAsia="zh-CN"/>
        </w:rPr>
        <w:t>成交</w:t>
      </w:r>
      <w:r>
        <w:rPr>
          <w:rFonts w:ascii="Times New Roman" w:hAnsi="Times New Roman" w:cs="Times New Roman"/>
        </w:rPr>
        <w:t>候选人放弃</w:t>
      </w:r>
      <w:r>
        <w:rPr>
          <w:rFonts w:hint="eastAsia" w:ascii="Times New Roman" w:hAnsi="Times New Roman" w:cs="Times New Roman"/>
          <w:lang w:val="en-US" w:eastAsia="zh-CN"/>
        </w:rPr>
        <w:t>成交</w:t>
      </w:r>
      <w:r>
        <w:rPr>
          <w:rFonts w:ascii="Times New Roman" w:hAnsi="Times New Roman" w:cs="Times New Roman"/>
        </w:rPr>
        <w:t>候选人资格；</w:t>
      </w:r>
    </w:p>
    <w:p>
      <w:pPr>
        <w:spacing w:line="440" w:lineRule="exact"/>
        <w:ind w:firstLine="420"/>
        <w:rPr>
          <w:rFonts w:hint="eastAsia"/>
          <w:color w:val="auto"/>
          <w:sz w:val="22"/>
          <w:szCs w:val="21"/>
          <w:highlight w:val="none"/>
          <w:lang w:eastAsia="zh-CN"/>
        </w:rPr>
      </w:pPr>
      <w:r>
        <w:rPr>
          <w:rFonts w:ascii="Times New Roman" w:hAnsi="Times New Roman" w:cs="Times New Roman"/>
        </w:rPr>
        <w:t>（2）</w:t>
      </w:r>
      <w:r>
        <w:rPr>
          <w:rFonts w:hint="eastAsia"/>
          <w:color w:val="auto"/>
          <w:sz w:val="22"/>
          <w:szCs w:val="21"/>
          <w:highlight w:val="none"/>
          <w:lang w:eastAsia="zh-CN"/>
        </w:rPr>
        <w:t>供应商</w:t>
      </w:r>
      <w:r>
        <w:rPr>
          <w:color w:val="auto"/>
          <w:sz w:val="22"/>
          <w:szCs w:val="21"/>
          <w:highlight w:val="none"/>
        </w:rPr>
        <w:t>在</w:t>
      </w:r>
      <w:r>
        <w:rPr>
          <w:rFonts w:hint="eastAsia"/>
          <w:color w:val="auto"/>
          <w:sz w:val="22"/>
          <w:szCs w:val="21"/>
          <w:highlight w:val="none"/>
          <w:lang w:eastAsia="zh-CN"/>
        </w:rPr>
        <w:t>响应</w:t>
      </w:r>
      <w:r>
        <w:rPr>
          <w:color w:val="auto"/>
          <w:sz w:val="22"/>
          <w:szCs w:val="21"/>
          <w:highlight w:val="none"/>
        </w:rPr>
        <w:t>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spacing w:line="440" w:lineRule="exact"/>
        <w:ind w:firstLine="420"/>
        <w:rPr>
          <w:rFonts w:ascii="Times New Roman" w:hAnsi="Times New Roman" w:cs="Times New Roman"/>
        </w:rPr>
      </w:pPr>
      <w:r>
        <w:rPr>
          <w:rFonts w:hint="eastAsia"/>
          <w:color w:val="auto"/>
          <w:sz w:val="22"/>
          <w:szCs w:val="21"/>
          <w:highlight w:val="none"/>
          <w:lang w:eastAsia="zh-CN"/>
        </w:rPr>
        <w:t>（</w:t>
      </w:r>
      <w:r>
        <w:rPr>
          <w:rFonts w:hint="eastAsia"/>
          <w:color w:val="auto"/>
          <w:sz w:val="22"/>
          <w:szCs w:val="21"/>
          <w:highlight w:val="none"/>
          <w:lang w:val="en-US" w:eastAsia="zh-CN"/>
        </w:rPr>
        <w:t>3</w:t>
      </w:r>
      <w:r>
        <w:rPr>
          <w:rFonts w:hint="eastAsia"/>
          <w:color w:val="auto"/>
          <w:sz w:val="22"/>
          <w:szCs w:val="21"/>
          <w:highlight w:val="none"/>
          <w:lang w:eastAsia="zh-CN"/>
        </w:rPr>
        <w:t>）</w:t>
      </w:r>
      <w:r>
        <w:rPr>
          <w:rFonts w:ascii="Times New Roman" w:hAnsi="Times New Roman" w:cs="Times New Roman"/>
        </w:rPr>
        <w:t>成交候选人无正当理由放弃成交资格的；或成交人无正当理由不与采购人签订合同的；或成交人在签订合同时向采购人提出附加条件或者更改合同实质性内容的；或者成交人不提交</w:t>
      </w:r>
      <w:r>
        <w:rPr>
          <w:rFonts w:hint="eastAsia" w:ascii="Times New Roman" w:hAnsi="Times New Roman" w:cs="Times New Roman"/>
          <w:lang w:eastAsia="zh-CN"/>
        </w:rPr>
        <w:t>采购文件</w:t>
      </w:r>
      <w:r>
        <w:rPr>
          <w:rFonts w:ascii="Times New Roman" w:hAnsi="Times New Roman" w:cs="Times New Roman"/>
        </w:rPr>
        <w:t>所要求的履约保证金的。</w:t>
      </w:r>
    </w:p>
    <w:p>
      <w:pPr>
        <w:keepNext/>
        <w:keepLines/>
        <w:spacing w:before="120" w:after="120"/>
        <w:outlineLvl w:val="2"/>
        <w:rPr>
          <w:rFonts w:ascii="Times New Roman" w:hAnsi="Times New Roman" w:eastAsia="黑体" w:cs="Times New Roman"/>
          <w:bCs/>
          <w:sz w:val="24"/>
          <w:szCs w:val="32"/>
        </w:rPr>
      </w:pPr>
      <w:bookmarkStart w:id="85" w:name="_Toc14201230"/>
      <w:bookmarkStart w:id="86" w:name="_Toc26656961"/>
      <w:r>
        <w:rPr>
          <w:rFonts w:ascii="Times New Roman" w:hAnsi="Times New Roman" w:eastAsia="黑体" w:cs="Times New Roman"/>
          <w:bCs/>
          <w:sz w:val="24"/>
          <w:szCs w:val="32"/>
        </w:rPr>
        <w:t>3.5资格审查资料</w:t>
      </w:r>
      <w:bookmarkEnd w:id="85"/>
      <w:bookmarkEnd w:id="86"/>
    </w:p>
    <w:p>
      <w:pPr>
        <w:spacing w:line="440" w:lineRule="exact"/>
        <w:ind w:firstLine="420"/>
        <w:rPr>
          <w:rFonts w:ascii="Times New Roman" w:hAnsi="Times New Roman" w:cs="Times New Roman"/>
        </w:rPr>
      </w:pPr>
      <w:r>
        <w:rPr>
          <w:rFonts w:ascii="Times New Roman" w:hAnsi="Times New Roman" w:cs="Times New Roman"/>
        </w:rPr>
        <w:t>供应商应按第六章</w:t>
      </w:r>
      <w:r>
        <w:rPr>
          <w:rFonts w:hint="eastAsia" w:asciiTheme="minorEastAsia" w:hAnsiTheme="minorEastAsia" w:eastAsiaTheme="minorEastAsia" w:cstheme="minorEastAsia"/>
        </w:rPr>
        <w:t>“响应文件格式”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pPr>
        <w:keepNext/>
        <w:keepLines/>
        <w:spacing w:before="120" w:after="120"/>
        <w:outlineLvl w:val="2"/>
        <w:rPr>
          <w:rFonts w:ascii="Times New Roman" w:hAnsi="Times New Roman" w:eastAsia="黑体" w:cs="Times New Roman"/>
          <w:bCs/>
          <w:sz w:val="24"/>
          <w:szCs w:val="32"/>
        </w:rPr>
      </w:pPr>
      <w:bookmarkStart w:id="87" w:name="_Toc14201232"/>
      <w:bookmarkStart w:id="88"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87"/>
      <w:bookmarkEnd w:id="88"/>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w:t>
      </w:r>
      <w:r>
        <w:rPr>
          <w:rFonts w:hint="eastAsia" w:asciiTheme="minorEastAsia" w:hAnsiTheme="minorEastAsia" w:eastAsiaTheme="minorEastAsia" w:cstheme="minorEastAsia"/>
        </w:rPr>
        <w:t>“响应文件格式”</w:t>
      </w:r>
      <w:r>
        <w:rPr>
          <w:rFonts w:ascii="Times New Roman" w:hAnsi="Times New Roman" w:cs="Times New Roman"/>
        </w:rPr>
        <w:t>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w:t>
      </w:r>
      <w:r>
        <w:rPr>
          <w:rFonts w:hint="eastAsia" w:ascii="Times New Roman" w:hAnsi="Times New Roman" w:cs="Times New Roman"/>
          <w:lang w:eastAsia="zh-CN"/>
        </w:rPr>
        <w:t>采购文件</w:t>
      </w:r>
      <w:r>
        <w:rPr>
          <w:rFonts w:ascii="Times New Roman" w:hAnsi="Times New Roman" w:cs="Times New Roman"/>
        </w:rPr>
        <w:t>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heme="minorEastAsia" w:hAnsiTheme="minorEastAsia" w:eastAsiaTheme="minorEastAsia" w:cstheme="minorEastAsia"/>
        </w:rPr>
        <w:t>“响应文件格式”</w:t>
      </w:r>
      <w:r>
        <w:rPr>
          <w:rFonts w:ascii="Times New Roman" w:hAnsi="Times New Roman" w:cs="Times New Roman"/>
        </w:rPr>
        <w:t>的要求进行</w:t>
      </w:r>
      <w:r>
        <w:rPr>
          <w:rFonts w:hint="eastAsia" w:ascii="Times New Roman" w:hAnsi="Times New Roman" w:cs="Times New Roman"/>
        </w:rPr>
        <w:t>签名</w:t>
      </w:r>
      <w:r>
        <w:rPr>
          <w:rFonts w:ascii="Times New Roman" w:hAnsi="Times New Roman" w:cs="Times New Roman"/>
        </w:rPr>
        <w:t>和盖章。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u w:val="none"/>
        </w:rPr>
        <w:t>一</w:t>
      </w:r>
      <w:r>
        <w:rPr>
          <w:rFonts w:ascii="Times New Roman" w:hAnsi="Times New Roman" w:cs="Times New Roman"/>
        </w:rPr>
        <w:t>份。正本和副本的封面右上角上应清楚地标记</w:t>
      </w:r>
      <w:r>
        <w:rPr>
          <w:rFonts w:hint="eastAsia" w:asciiTheme="minorEastAsia" w:hAnsiTheme="minorEastAsia" w:eastAsiaTheme="minorEastAsia" w:cstheme="minorEastAsia"/>
        </w:rPr>
        <w:t>“正本”</w:t>
      </w:r>
      <w:r>
        <w:rPr>
          <w:rFonts w:hint="eastAsia" w:ascii="Times New Roman" w:hAnsi="Times New Roman" w:cs="Times New Roman"/>
        </w:rPr>
        <w:t>或“副本”的字样。</w:t>
      </w:r>
      <w:r>
        <w:rPr>
          <w:rFonts w:ascii="Times New Roman" w:hAnsi="Times New Roman" w:cs="Times New Roman"/>
        </w:rPr>
        <w:t>当副本和正本不一致时，以正本文件为准。</w:t>
      </w:r>
    </w:p>
    <w:p>
      <w:pPr>
        <w:spacing w:line="440" w:lineRule="exact"/>
        <w:ind w:firstLine="420"/>
        <w:rPr>
          <w:rFonts w:hint="eastAsia" w:ascii="Times New Roman" w:hAnsi="Times New Roman" w:cs="Times New Roman" w:eastAsiaTheme="minorEastAsia"/>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eastAsia" w:ascii="Times New Roman" w:hAnsi="Times New Roman" w:cs="Times New Roman"/>
        </w:rPr>
        <w:t>响应文件</w:t>
      </w:r>
      <w:r>
        <w:rPr>
          <w:rFonts w:ascii="Times New Roman" w:hAnsi="Times New Roman" w:cs="Times New Roman"/>
        </w:rPr>
        <w:t>的正本与副本应分别</w:t>
      </w:r>
      <w:r>
        <w:rPr>
          <w:rFonts w:hint="eastAsia" w:ascii="Times New Roman" w:hAnsi="Times New Roman" w:cs="Times New Roman"/>
          <w:lang w:eastAsia="zh-CN"/>
        </w:rPr>
        <w:t>胶装成册。</w:t>
      </w:r>
    </w:p>
    <w:p>
      <w:pPr>
        <w:keepNext/>
        <w:keepLines/>
        <w:spacing w:beforeLines="50" w:afterLines="50"/>
        <w:outlineLvl w:val="1"/>
        <w:rPr>
          <w:rFonts w:ascii="Times New Roman" w:hAnsi="Times New Roman" w:eastAsia="黑体" w:cs="Times New Roman"/>
          <w:bCs/>
          <w:sz w:val="24"/>
          <w:szCs w:val="32"/>
        </w:rPr>
      </w:pPr>
      <w:bookmarkStart w:id="89" w:name="_Toc26656964"/>
      <w:bookmarkStart w:id="90" w:name="_Toc9067723"/>
      <w:bookmarkStart w:id="91" w:name="_Toc14201233"/>
      <w:r>
        <w:rPr>
          <w:rFonts w:ascii="Times New Roman" w:hAnsi="Times New Roman" w:eastAsia="黑体" w:cs="Times New Roman"/>
          <w:bCs/>
          <w:sz w:val="24"/>
          <w:szCs w:val="32"/>
        </w:rPr>
        <w:t xml:space="preserve">4. </w:t>
      </w:r>
      <w:bookmarkEnd w:id="89"/>
      <w:bookmarkEnd w:id="90"/>
      <w:bookmarkEnd w:id="91"/>
      <w:r>
        <w:rPr>
          <w:rFonts w:ascii="Times New Roman" w:hAnsi="Times New Roman" w:eastAsia="黑体" w:cs="Times New Roman"/>
          <w:bCs/>
          <w:sz w:val="24"/>
          <w:szCs w:val="32"/>
        </w:rPr>
        <w:t>响应文件的递交</w:t>
      </w:r>
    </w:p>
    <w:p>
      <w:pPr>
        <w:keepNext/>
        <w:keepLines/>
        <w:spacing w:before="120" w:after="120"/>
        <w:outlineLvl w:val="2"/>
        <w:rPr>
          <w:rFonts w:ascii="Times New Roman" w:hAnsi="Times New Roman" w:eastAsia="黑体" w:cs="Times New Roman"/>
          <w:bCs/>
          <w:sz w:val="24"/>
          <w:szCs w:val="32"/>
        </w:rPr>
      </w:pPr>
      <w:bookmarkStart w:id="92" w:name="_Toc26656965"/>
      <w:bookmarkStart w:id="93" w:name="_Toc14201234"/>
      <w:r>
        <w:rPr>
          <w:rFonts w:ascii="Times New Roman" w:hAnsi="Times New Roman" w:eastAsia="黑体" w:cs="Times New Roman"/>
          <w:bCs/>
          <w:sz w:val="24"/>
          <w:szCs w:val="32"/>
        </w:rPr>
        <w:t>4.1响应文件的密封和标记</w:t>
      </w:r>
      <w:bookmarkEnd w:id="92"/>
      <w:bookmarkEnd w:id="93"/>
    </w:p>
    <w:p>
      <w:pPr>
        <w:pStyle w:val="47"/>
        <w:adjustRightInd w:val="0"/>
        <w:snapToGrid w:val="0"/>
        <w:ind w:firstLine="420" w:firstLineChars="200"/>
        <w:rPr>
          <w:rFonts w:ascii="Times New Roman" w:hAnsi="Times New Roman" w:cs="Times New Roman"/>
          <w:b/>
          <w:bCs/>
        </w:rPr>
      </w:pPr>
      <w:r>
        <w:rPr>
          <w:rFonts w:ascii="Times New Roman" w:hAnsi="Times New Roman" w:cs="Times New Roman"/>
          <w:b/>
          <w:bCs/>
        </w:rPr>
        <w:t>4.1.1响应文件</w:t>
      </w:r>
      <w:r>
        <w:rPr>
          <w:rFonts w:hint="eastAsia" w:ascii="Times New Roman" w:hAnsi="Times New Roman" w:cs="Times New Roman"/>
          <w:b/>
          <w:bCs/>
        </w:rPr>
        <w:t>正、副本</w:t>
      </w:r>
      <w:r>
        <w:rPr>
          <w:rFonts w:ascii="Times New Roman" w:hAnsi="Times New Roman" w:cs="Times New Roman"/>
          <w:b/>
          <w:bCs/>
        </w:rPr>
        <w:t>应密封包装</w:t>
      </w:r>
      <w:r>
        <w:rPr>
          <w:rFonts w:hint="eastAsia" w:ascii="Times New Roman" w:hAnsi="Times New Roman" w:cs="Times New Roman"/>
          <w:b/>
          <w:bCs/>
        </w:rPr>
        <w:t>在一个封套内，第一信封（商务及技术文件）与第二信封（报价文件）分开密封。</w:t>
      </w:r>
    </w:p>
    <w:p>
      <w:pPr>
        <w:spacing w:line="440" w:lineRule="exact"/>
        <w:rPr>
          <w:rFonts w:ascii="Times New Roman" w:hAnsi="Times New Roman" w:cs="Times New Roman"/>
          <w:b/>
          <w:sz w:val="24"/>
        </w:rPr>
      </w:pPr>
      <w:r>
        <w:rPr>
          <w:rFonts w:hint="eastAsia" w:ascii="Times New Roman" w:hAnsi="Times New Roman" w:cs="Times New Roman"/>
          <w:b/>
          <w:sz w:val="24"/>
        </w:rPr>
        <w:t>响应</w:t>
      </w:r>
      <w:r>
        <w:rPr>
          <w:rFonts w:ascii="Times New Roman" w:hAnsi="Times New Roman" w:cs="Times New Roman"/>
          <w:b/>
          <w:sz w:val="24"/>
        </w:rPr>
        <w:t>文件第一个信封（商务及技术文件）封套：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5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u w:val="single"/>
              </w:rPr>
            </w:pPr>
            <w:r>
              <w:rPr>
                <w:rFonts w:hint="eastAsia" w:ascii="Times New Roman" w:hAnsi="Times New Roman" w:cs="Times New Roman"/>
                <w:sz w:val="24"/>
              </w:rPr>
              <w:t>采购</w:t>
            </w:r>
            <w:r>
              <w:rPr>
                <w:rFonts w:ascii="Times New Roman" w:hAnsi="Times New Roman" w:cs="Times New Roman"/>
                <w:sz w:val="24"/>
              </w:rPr>
              <w:t>人名称：</w:t>
            </w:r>
            <w:r>
              <w:rPr>
                <w:rFonts w:ascii="Times New Roman" w:hAnsi="Times New Roman" w:cs="Times New Roman"/>
                <w:sz w:val="24"/>
                <w:u w:val="single"/>
              </w:rPr>
              <w:t xml:space="preserve">                        </w:t>
            </w:r>
          </w:p>
          <w:p>
            <w:pPr>
              <w:adjustRightInd w:val="0"/>
              <w:snapToGrid w:val="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（项目名称）第一个信封（商务及技术文件）</w:t>
            </w:r>
            <w:r>
              <w:rPr>
                <w:rFonts w:hint="eastAsia" w:ascii="Times New Roman" w:hAnsi="Times New Roman" w:cs="Times New Roman"/>
                <w:sz w:val="24"/>
              </w:rPr>
              <w:t>响应</w:t>
            </w:r>
            <w:r>
              <w:rPr>
                <w:rFonts w:ascii="Times New Roman" w:hAnsi="Times New Roman" w:cs="Times New Roman"/>
                <w:sz w:val="24"/>
              </w:rPr>
              <w:t>文件</w:t>
            </w:r>
          </w:p>
          <w:p>
            <w:pPr>
              <w:adjustRightInd w:val="0"/>
              <w:snapToGrid w:val="0"/>
              <w:rPr>
                <w:rFonts w:ascii="Times New Roman" w:hAnsi="Times New Roman" w:cs="Times New Roman"/>
                <w:sz w:val="24"/>
              </w:rPr>
            </w:pPr>
            <w:r>
              <w:rPr>
                <w:rFonts w:ascii="Times New Roman" w:hAnsi="Times New Roman" w:cs="Times New Roman"/>
                <w:sz w:val="24"/>
              </w:rPr>
              <w:t>在</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r>
              <w:rPr>
                <w:rFonts w:ascii="Times New Roman" w:hAnsi="Times New Roman" w:cs="Times New Roman"/>
                <w:sz w:val="24"/>
                <w:u w:val="single"/>
              </w:rPr>
              <w:t xml:space="preserve">  </w:t>
            </w:r>
            <w:r>
              <w:rPr>
                <w:rFonts w:ascii="Times New Roman" w:hAnsi="Times New Roman" w:cs="Times New Roman"/>
                <w:sz w:val="24"/>
              </w:rPr>
              <w:t>时</w:t>
            </w:r>
            <w:r>
              <w:rPr>
                <w:rFonts w:ascii="Times New Roman" w:hAnsi="Times New Roman" w:cs="Times New Roman"/>
                <w:sz w:val="24"/>
                <w:u w:val="single"/>
              </w:rPr>
              <w:t xml:space="preserve">  </w:t>
            </w:r>
            <w:r>
              <w:rPr>
                <w:rFonts w:ascii="Times New Roman" w:hAnsi="Times New Roman" w:cs="Times New Roman"/>
                <w:sz w:val="24"/>
              </w:rPr>
              <w:t>分（</w:t>
            </w:r>
            <w:r>
              <w:rPr>
                <w:rFonts w:hint="eastAsia" w:ascii="Times New Roman" w:hAnsi="Times New Roman" w:cs="Times New Roman"/>
                <w:sz w:val="24"/>
                <w:lang w:eastAsia="zh-CN"/>
              </w:rPr>
              <w:t>响应</w:t>
            </w:r>
            <w:r>
              <w:rPr>
                <w:rFonts w:ascii="Times New Roman" w:hAnsi="Times New Roman" w:cs="Times New Roman"/>
                <w:sz w:val="24"/>
              </w:rPr>
              <w:t>截止时间）前不得开启</w:t>
            </w:r>
          </w:p>
          <w:p>
            <w:pPr>
              <w:adjustRightInd w:val="0"/>
              <w:snapToGrid w:val="0"/>
              <w:rPr>
                <w:rFonts w:ascii="Times New Roman" w:hAnsi="Times New Roman" w:cs="Times New Roman"/>
                <w:sz w:val="24"/>
              </w:rPr>
            </w:pPr>
            <w:r>
              <w:rPr>
                <w:rFonts w:hint="eastAsia" w:ascii="Times New Roman" w:hAnsi="Times New Roman" w:cs="Times New Roman"/>
                <w:sz w:val="24"/>
              </w:rPr>
              <w:t>响应</w:t>
            </w:r>
            <w:r>
              <w:rPr>
                <w:rFonts w:ascii="Times New Roman" w:hAnsi="Times New Roman" w:cs="Times New Roman"/>
                <w:sz w:val="24"/>
              </w:rPr>
              <w:t>人名称：</w:t>
            </w:r>
            <w:r>
              <w:rPr>
                <w:rFonts w:ascii="Times New Roman" w:hAnsi="Times New Roman" w:cs="Times New Roman"/>
                <w:sz w:val="24"/>
                <w:u w:val="single"/>
              </w:rPr>
              <w:t xml:space="preserve">                      </w:t>
            </w:r>
          </w:p>
        </w:tc>
      </w:tr>
    </w:tbl>
    <w:p>
      <w:pPr>
        <w:pStyle w:val="47"/>
        <w:adjustRightInd w:val="0"/>
        <w:snapToGrid w:val="0"/>
        <w:rPr>
          <w:rFonts w:hint="eastAsia" w:ascii="Times New Roman" w:hAnsi="Times New Roman" w:cs="Times New Roman"/>
          <w:b/>
          <w:sz w:val="24"/>
        </w:rPr>
      </w:pPr>
    </w:p>
    <w:p>
      <w:pPr>
        <w:pStyle w:val="47"/>
        <w:adjustRightInd w:val="0"/>
        <w:snapToGrid w:val="0"/>
        <w:rPr>
          <w:rFonts w:ascii="Times New Roman" w:hAnsi="Times New Roman" w:cs="Times New Roman"/>
        </w:rPr>
      </w:pPr>
      <w:r>
        <w:rPr>
          <w:rFonts w:hint="eastAsia" w:ascii="Times New Roman" w:hAnsi="Times New Roman" w:cs="Times New Roman"/>
          <w:b/>
          <w:sz w:val="24"/>
        </w:rPr>
        <w:t>响应</w:t>
      </w:r>
      <w:r>
        <w:rPr>
          <w:rFonts w:ascii="Times New Roman" w:hAnsi="Times New Roman" w:cs="Times New Roman"/>
          <w:b/>
          <w:sz w:val="24"/>
        </w:rPr>
        <w:t>文件第二个信封（报价文件）封套：</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5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u w:val="single"/>
              </w:rPr>
            </w:pPr>
            <w:r>
              <w:rPr>
                <w:rFonts w:hint="eastAsia" w:ascii="Times New Roman" w:hAnsi="Times New Roman" w:cs="Times New Roman"/>
                <w:sz w:val="24"/>
              </w:rPr>
              <w:t>采购</w:t>
            </w:r>
            <w:r>
              <w:rPr>
                <w:rFonts w:ascii="Times New Roman" w:hAnsi="Times New Roman" w:cs="Times New Roman"/>
                <w:sz w:val="24"/>
              </w:rPr>
              <w:t>人名称：</w:t>
            </w:r>
            <w:r>
              <w:rPr>
                <w:rFonts w:ascii="Times New Roman" w:hAnsi="Times New Roman" w:cs="Times New Roman"/>
                <w:sz w:val="24"/>
                <w:u w:val="single"/>
              </w:rPr>
              <w:t xml:space="preserve">                        </w:t>
            </w:r>
          </w:p>
          <w:p>
            <w:pPr>
              <w:adjustRightInd w:val="0"/>
              <w:snapToGrid w:val="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（项目名称）第二个信封（报价文件）</w:t>
            </w:r>
            <w:r>
              <w:rPr>
                <w:rFonts w:hint="eastAsia" w:ascii="Times New Roman" w:hAnsi="Times New Roman" w:cs="Times New Roman"/>
                <w:sz w:val="24"/>
              </w:rPr>
              <w:t>响应</w:t>
            </w:r>
            <w:r>
              <w:rPr>
                <w:rFonts w:ascii="Times New Roman" w:hAnsi="Times New Roman" w:cs="Times New Roman"/>
                <w:sz w:val="24"/>
              </w:rPr>
              <w:t>文件</w:t>
            </w:r>
          </w:p>
          <w:p>
            <w:pPr>
              <w:adjustRightInd w:val="0"/>
              <w:snapToGrid w:val="0"/>
              <w:rPr>
                <w:rFonts w:ascii="Times New Roman" w:hAnsi="Times New Roman" w:cs="Times New Roman"/>
                <w:sz w:val="24"/>
              </w:rPr>
            </w:pPr>
            <w:r>
              <w:rPr>
                <w:rFonts w:ascii="Times New Roman" w:hAnsi="Times New Roman" w:cs="Times New Roman"/>
                <w:sz w:val="24"/>
              </w:rPr>
              <w:t>在</w:t>
            </w:r>
            <w:r>
              <w:rPr>
                <w:rFonts w:hint="eastAsia" w:ascii="Times New Roman" w:hAnsi="Times New Roman" w:cs="Times New Roman"/>
                <w:sz w:val="24"/>
              </w:rPr>
              <w:t>响应</w:t>
            </w:r>
            <w:r>
              <w:rPr>
                <w:rFonts w:ascii="Times New Roman" w:hAnsi="Times New Roman" w:cs="Times New Roman"/>
                <w:sz w:val="24"/>
              </w:rPr>
              <w:t>文件第二个信封（报价文件）开标前不得开启</w:t>
            </w:r>
          </w:p>
          <w:p>
            <w:pPr>
              <w:adjustRightInd w:val="0"/>
              <w:snapToGrid w:val="0"/>
              <w:rPr>
                <w:rFonts w:ascii="Times New Roman" w:hAnsi="Times New Roman" w:cs="Times New Roman"/>
                <w:sz w:val="24"/>
              </w:rPr>
            </w:pPr>
            <w:r>
              <w:rPr>
                <w:rFonts w:hint="eastAsia" w:ascii="Times New Roman" w:hAnsi="Times New Roman" w:cs="Times New Roman"/>
                <w:sz w:val="24"/>
              </w:rPr>
              <w:t>响应</w:t>
            </w:r>
            <w:r>
              <w:rPr>
                <w:rFonts w:ascii="Times New Roman" w:hAnsi="Times New Roman" w:cs="Times New Roman"/>
                <w:sz w:val="24"/>
              </w:rPr>
              <w:t>人名称：</w:t>
            </w:r>
            <w:r>
              <w:rPr>
                <w:rFonts w:ascii="Times New Roman" w:hAnsi="Times New Roman" w:cs="Times New Roman"/>
                <w:sz w:val="24"/>
                <w:u w:val="single"/>
              </w:rPr>
              <w:t xml:space="preserve">                      </w:t>
            </w:r>
          </w:p>
        </w:tc>
      </w:tr>
    </w:tbl>
    <w:p>
      <w:pPr>
        <w:spacing w:line="440" w:lineRule="exact"/>
        <w:ind w:firstLine="420"/>
        <w:rPr>
          <w:rFonts w:ascii="Times New Roman" w:hAnsi="Times New Roman" w:cs="Times New Roman"/>
          <w:b/>
          <w:bCs/>
        </w:rPr>
      </w:pPr>
      <w:r>
        <w:rPr>
          <w:rFonts w:ascii="Times New Roman" w:hAnsi="Times New Roman" w:cs="Times New Roman"/>
          <w:b/>
          <w:bCs/>
        </w:rPr>
        <w:t>4.1.2</w:t>
      </w:r>
      <w:r>
        <w:rPr>
          <w:rFonts w:ascii="Times New Roman" w:hAnsi="Times New Roman"/>
          <w:b/>
          <w:bCs/>
        </w:rPr>
        <w:t>未按本章第4.1.1项</w:t>
      </w:r>
      <w:r>
        <w:rPr>
          <w:rFonts w:ascii="Times New Roman" w:hAnsi="Times New Roman" w:cs="Times New Roman"/>
          <w:b/>
          <w:bCs/>
        </w:rPr>
        <w:t>要求</w:t>
      </w:r>
      <w:r>
        <w:rPr>
          <w:rFonts w:ascii="Times New Roman" w:hAnsi="Times New Roman"/>
          <w:b/>
          <w:bCs/>
        </w:rPr>
        <w:t>密封的</w:t>
      </w:r>
      <w:r>
        <w:rPr>
          <w:rFonts w:hint="eastAsia" w:ascii="Times New Roman" w:hAnsi="Times New Roman"/>
          <w:b/>
          <w:bCs/>
        </w:rPr>
        <w:t>响应文件</w:t>
      </w:r>
      <w:r>
        <w:rPr>
          <w:rFonts w:ascii="Times New Roman" w:hAnsi="Times New Roman"/>
          <w:b/>
          <w:bCs/>
        </w:rPr>
        <w:t>，</w:t>
      </w:r>
      <w:r>
        <w:rPr>
          <w:rFonts w:hint="eastAsia" w:ascii="Times New Roman" w:hAnsi="Times New Roman"/>
          <w:b/>
          <w:bCs/>
        </w:rPr>
        <w:t>采购人</w:t>
      </w:r>
      <w:r>
        <w:rPr>
          <w:rFonts w:ascii="Times New Roman" w:hAnsi="Times New Roman"/>
          <w:b/>
          <w:bCs/>
        </w:rPr>
        <w:t>将予以拒收。</w:t>
      </w:r>
    </w:p>
    <w:p>
      <w:pPr>
        <w:keepNext/>
        <w:keepLines/>
        <w:spacing w:before="120" w:after="120"/>
        <w:outlineLvl w:val="2"/>
        <w:rPr>
          <w:rFonts w:ascii="Times New Roman" w:hAnsi="Times New Roman" w:eastAsia="黑体" w:cs="Times New Roman"/>
          <w:bCs/>
          <w:sz w:val="24"/>
          <w:szCs w:val="32"/>
        </w:rPr>
      </w:pPr>
      <w:bookmarkStart w:id="94" w:name="_Toc26656966"/>
      <w:bookmarkStart w:id="95" w:name="_Toc14201235"/>
      <w:r>
        <w:rPr>
          <w:rFonts w:ascii="Times New Roman" w:hAnsi="Times New Roman" w:eastAsia="黑体" w:cs="Times New Roman"/>
          <w:bCs/>
          <w:sz w:val="24"/>
          <w:szCs w:val="32"/>
        </w:rPr>
        <w:t>4.2 响应文件的递交</w:t>
      </w:r>
      <w:bookmarkEnd w:id="94"/>
      <w:bookmarkEnd w:id="95"/>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imes New Roman" w:hAnsi="Times New Roman" w:cs="Times New Roman"/>
          <w:szCs w:val="21"/>
        </w:rPr>
        <w:t>第</w:t>
      </w:r>
      <w:r>
        <w:rPr>
          <w:rFonts w:hint="eastAsia" w:ascii="Times New Roman" w:hAnsi="Times New Roman" w:cs="Times New Roman"/>
          <w:szCs w:val="21"/>
          <w:lang w:val="en-US" w:eastAsia="zh-CN"/>
        </w:rPr>
        <w:t>7</w:t>
      </w:r>
      <w:r>
        <w:rPr>
          <w:rFonts w:hint="eastAsia" w:ascii="Times New Roman" w:hAnsi="Times New Roman" w:cs="Times New Roman"/>
          <w:szCs w:val="21"/>
        </w:rPr>
        <w:t>条的规定递交响应文件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Lines="50" w:afterLines="50"/>
        <w:outlineLvl w:val="1"/>
        <w:rPr>
          <w:rFonts w:ascii="Times New Roman" w:hAnsi="Times New Roman" w:eastAsia="黑体" w:cs="Times New Roman"/>
          <w:bCs/>
          <w:sz w:val="24"/>
          <w:szCs w:val="32"/>
        </w:rPr>
      </w:pPr>
      <w:bookmarkStart w:id="96" w:name="_Toc26656968"/>
      <w:bookmarkStart w:id="97" w:name="_Toc9067724"/>
      <w:bookmarkStart w:id="98" w:name="_Toc14201237"/>
      <w:r>
        <w:rPr>
          <w:rFonts w:ascii="Times New Roman" w:hAnsi="Times New Roman" w:eastAsia="黑体" w:cs="Times New Roman"/>
          <w:bCs/>
          <w:sz w:val="24"/>
          <w:szCs w:val="32"/>
        </w:rPr>
        <w:t xml:space="preserve">5. </w:t>
      </w:r>
      <w:bookmarkEnd w:id="96"/>
      <w:bookmarkEnd w:id="97"/>
      <w:bookmarkEnd w:id="98"/>
      <w:r>
        <w:rPr>
          <w:rFonts w:ascii="Times New Roman" w:hAnsi="Times New Roman" w:eastAsia="黑体" w:cs="Times New Roman"/>
          <w:bCs/>
          <w:sz w:val="24"/>
          <w:szCs w:val="32"/>
        </w:rPr>
        <w:t>启封</w:t>
      </w:r>
    </w:p>
    <w:p>
      <w:pPr>
        <w:keepNext/>
        <w:keepLines/>
        <w:spacing w:before="120" w:after="120"/>
        <w:outlineLvl w:val="2"/>
        <w:rPr>
          <w:rFonts w:ascii="Times New Roman" w:hAnsi="Times New Roman" w:eastAsia="黑体" w:cs="Times New Roman"/>
          <w:bCs/>
          <w:sz w:val="24"/>
          <w:szCs w:val="32"/>
        </w:rPr>
      </w:pPr>
      <w:bookmarkStart w:id="99" w:name="_Toc26656969"/>
      <w:bookmarkStart w:id="100" w:name="_Toc14201238"/>
      <w:r>
        <w:rPr>
          <w:rFonts w:ascii="Times New Roman" w:hAnsi="Times New Roman" w:eastAsia="黑体" w:cs="Times New Roman"/>
          <w:bCs/>
          <w:sz w:val="24"/>
          <w:szCs w:val="32"/>
        </w:rPr>
        <w:t>5.1 启封时间和地点</w:t>
      </w:r>
      <w:bookmarkEnd w:id="99"/>
      <w:bookmarkEnd w:id="100"/>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w:t>
      </w:r>
      <w:r>
        <w:rPr>
          <w:rFonts w:hint="eastAsia" w:asciiTheme="minorEastAsia" w:hAnsiTheme="minorEastAsia" w:eastAsiaTheme="minorEastAsia" w:cstheme="minorEastAsia"/>
        </w:rPr>
        <w:t>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w:t>
      </w:r>
      <w:r>
        <w:rPr>
          <w:rFonts w:hint="eastAsia" w:ascii="Times New Roman" w:hAnsi="Times New Roman" w:cs="Times New Roman"/>
          <w:lang w:val="en-US" w:eastAsia="zh-CN"/>
        </w:rPr>
        <w:t>8</w:t>
      </w:r>
      <w:r>
        <w:rPr>
          <w:rFonts w:hint="eastAsia" w:asciiTheme="minorEastAsia" w:hAnsiTheme="minorEastAsia" w:eastAsiaTheme="minorEastAsia" w:cstheme="minorEastAsia"/>
          <w:szCs w:val="21"/>
        </w:rPr>
        <w:t>条的规定进行启封</w:t>
      </w:r>
      <w:r>
        <w:rPr>
          <w:rFonts w:hint="eastAsia" w:asciiTheme="minorEastAsia" w:hAnsiTheme="minorEastAsia" w:eastAsiaTheme="minorEastAsia" w:cstheme="minorEastAsia"/>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bookmarkStart w:id="101" w:name="_Toc14201239"/>
      <w:bookmarkStart w:id="102" w:name="_Toc26656970"/>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bookmarkEnd w:id="101"/>
      <w:bookmarkEnd w:id="102"/>
    </w:p>
    <w:p>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pPr>
        <w:spacing w:line="440" w:lineRule="exact"/>
        <w:ind w:firstLine="420"/>
        <w:rPr>
          <w:rFonts w:ascii="Times New Roman" w:hAnsi="Times New Roman" w:cs="Times New Roman"/>
        </w:rPr>
      </w:pPr>
      <w:r>
        <w:rPr>
          <w:rFonts w:hint="eastAsia" w:ascii="Times New Roman" w:hAnsi="Times New Roman" w:cs="Times New Roman"/>
        </w:rPr>
        <w:t>（3）开启商务技术响应文件；</w:t>
      </w:r>
    </w:p>
    <w:p>
      <w:pPr>
        <w:spacing w:line="440" w:lineRule="exact"/>
        <w:ind w:firstLine="420"/>
        <w:rPr>
          <w:rFonts w:ascii="Times New Roman" w:hAnsi="Times New Roman" w:cs="Times New Roman"/>
        </w:rPr>
      </w:pPr>
      <w:r>
        <w:rPr>
          <w:rFonts w:hint="eastAsia" w:ascii="Times New Roman" w:hAnsi="Times New Roman" w:cs="Times New Roman"/>
        </w:rPr>
        <w:t>（4）开启报价文件；</w:t>
      </w:r>
    </w:p>
    <w:p>
      <w:pPr>
        <w:spacing w:line="440" w:lineRule="exact"/>
        <w:ind w:firstLine="420"/>
        <w:rPr>
          <w:rFonts w:ascii="Times New Roman" w:hAnsi="Times New Roman" w:cs="Times New Roman"/>
        </w:rPr>
      </w:pPr>
      <w:r>
        <w:rPr>
          <w:rFonts w:hint="eastAsia" w:ascii="Times New Roman" w:hAnsi="Times New Roman" w:cs="Times New Roman"/>
        </w:rPr>
        <w:t>（5）启封结束。</w:t>
      </w:r>
    </w:p>
    <w:p>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Lines="50" w:afterLines="50"/>
        <w:outlineLvl w:val="1"/>
        <w:rPr>
          <w:rFonts w:ascii="Times New Roman" w:hAnsi="Times New Roman" w:eastAsia="黑体" w:cs="Times New Roman"/>
          <w:bCs/>
          <w:sz w:val="24"/>
          <w:szCs w:val="32"/>
        </w:rPr>
      </w:pPr>
      <w:bookmarkStart w:id="103" w:name="_Toc14201241"/>
      <w:bookmarkStart w:id="104" w:name="_Toc9067725"/>
      <w:bookmarkStart w:id="105" w:name="_Toc26656972"/>
      <w:r>
        <w:rPr>
          <w:rFonts w:ascii="Times New Roman" w:hAnsi="Times New Roman" w:eastAsia="黑体" w:cs="Times New Roman"/>
          <w:bCs/>
          <w:sz w:val="24"/>
          <w:szCs w:val="32"/>
        </w:rPr>
        <w:t>6. 评</w:t>
      </w:r>
      <w:bookmarkEnd w:id="103"/>
      <w:bookmarkEnd w:id="104"/>
      <w:bookmarkEnd w:id="105"/>
      <w:r>
        <w:rPr>
          <w:rFonts w:ascii="Times New Roman" w:hAnsi="Times New Roman" w:eastAsia="黑体" w:cs="Times New Roman"/>
          <w:bCs/>
          <w:sz w:val="24"/>
          <w:szCs w:val="32"/>
        </w:rPr>
        <w:t>审</w:t>
      </w:r>
    </w:p>
    <w:p>
      <w:pPr>
        <w:keepNext/>
        <w:keepLines/>
        <w:spacing w:before="120" w:after="120"/>
        <w:outlineLvl w:val="2"/>
        <w:rPr>
          <w:rFonts w:ascii="Times New Roman" w:hAnsi="Times New Roman" w:eastAsia="黑体" w:cs="Times New Roman"/>
          <w:bCs/>
          <w:sz w:val="24"/>
          <w:szCs w:val="32"/>
        </w:rPr>
      </w:pPr>
      <w:bookmarkStart w:id="106" w:name="_Toc14201242"/>
      <w:bookmarkStart w:id="107" w:name="_Toc26656973"/>
      <w:r>
        <w:rPr>
          <w:rFonts w:ascii="Times New Roman" w:hAnsi="Times New Roman" w:eastAsia="黑体" w:cs="Times New Roman"/>
          <w:bCs/>
          <w:sz w:val="24"/>
          <w:szCs w:val="32"/>
        </w:rPr>
        <w:t>6.1</w:t>
      </w:r>
      <w:bookmarkEnd w:id="106"/>
      <w:bookmarkEnd w:id="107"/>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108" w:name="_Toc26656975"/>
      <w:bookmarkStart w:id="109"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108"/>
      <w:bookmarkEnd w:id="109"/>
      <w:r>
        <w:rPr>
          <w:rFonts w:ascii="Times New Roman" w:hAnsi="Times New Roman" w:eastAsia="黑体" w:cs="Times New Roman"/>
          <w:bCs/>
          <w:sz w:val="24"/>
          <w:szCs w:val="32"/>
        </w:rPr>
        <w:t>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6.2.3</w:t>
      </w:r>
      <w:r>
        <w:rPr>
          <w:rFonts w:hint="eastAsia" w:ascii="Times New Roman" w:hAnsi="Times New Roman" w:cs="Times New Roman"/>
        </w:rPr>
        <w:t>成交候选人公示期间，因异议或投诉导致采购候选人少于采购文件规定的数量时，采购人应当从以下后续处理方式中选择一种，具体为：</w:t>
      </w:r>
    </w:p>
    <w:p>
      <w:pPr>
        <w:spacing w:line="440" w:lineRule="exact"/>
        <w:ind w:firstLine="420"/>
        <w:rPr>
          <w:rFonts w:ascii="Times New Roman" w:hAnsi="Times New Roman" w:cs="Times New Roman"/>
        </w:rPr>
      </w:pPr>
      <w:r>
        <w:rPr>
          <w:rFonts w:hint="eastAsia" w:ascii="Times New Roman" w:hAnsi="Times New Roman" w:cs="Times New Roman"/>
        </w:rPr>
        <w:t xml:space="preserve">（1）继续定标； </w:t>
      </w:r>
    </w:p>
    <w:p>
      <w:pPr>
        <w:spacing w:line="440" w:lineRule="exact"/>
        <w:ind w:firstLine="420"/>
        <w:rPr>
          <w:rFonts w:ascii="Times New Roman" w:hAnsi="Times New Roman" w:cs="Times New Roman"/>
        </w:rPr>
      </w:pPr>
      <w:r>
        <w:rPr>
          <w:rFonts w:hint="eastAsia" w:ascii="Times New Roman" w:hAnsi="Times New Roman" w:cs="Times New Roman"/>
        </w:rPr>
        <w:t>（2）组织原</w:t>
      </w:r>
      <w:r>
        <w:rPr>
          <w:rFonts w:hint="eastAsia" w:ascii="Times New Roman" w:hAnsi="Times New Roman" w:cs="Times New Roman"/>
          <w:lang w:eastAsia="zh-CN"/>
        </w:rPr>
        <w:t>评审小组</w:t>
      </w:r>
      <w:r>
        <w:rPr>
          <w:rFonts w:hint="eastAsia" w:ascii="Times New Roman" w:hAnsi="Times New Roman" w:cs="Times New Roman"/>
        </w:rPr>
        <w:t>重新评审，补充推荐成交候选人后再定标；</w:t>
      </w:r>
    </w:p>
    <w:p>
      <w:pPr>
        <w:spacing w:line="440" w:lineRule="exact"/>
        <w:ind w:firstLine="420"/>
        <w:rPr>
          <w:rFonts w:ascii="Times New Roman" w:hAnsi="Times New Roman" w:cs="Times New Roman"/>
        </w:rPr>
      </w:pPr>
      <w:r>
        <w:rPr>
          <w:rFonts w:hint="eastAsia" w:ascii="Times New Roman" w:hAnsi="Times New Roman" w:cs="Times New Roman"/>
        </w:rPr>
        <w:t>（3）重新采购。</w:t>
      </w:r>
    </w:p>
    <w:p>
      <w:pPr>
        <w:keepNext/>
        <w:keepLines/>
        <w:spacing w:beforeLines="50" w:afterLines="50"/>
        <w:outlineLvl w:val="1"/>
        <w:rPr>
          <w:rFonts w:ascii="Times New Roman" w:hAnsi="Times New Roman" w:eastAsia="黑体" w:cs="Times New Roman"/>
          <w:bCs/>
          <w:sz w:val="24"/>
          <w:szCs w:val="32"/>
        </w:rPr>
      </w:pPr>
      <w:bookmarkStart w:id="110" w:name="_Toc14201245"/>
      <w:bookmarkStart w:id="111" w:name="_Toc9067726"/>
      <w:bookmarkStart w:id="112" w:name="_Toc26656976"/>
      <w:r>
        <w:rPr>
          <w:rFonts w:ascii="Times New Roman" w:hAnsi="Times New Roman" w:eastAsia="黑体" w:cs="Times New Roman"/>
          <w:bCs/>
          <w:sz w:val="24"/>
          <w:szCs w:val="32"/>
        </w:rPr>
        <w:t>7. 合同授予</w:t>
      </w:r>
      <w:bookmarkEnd w:id="110"/>
      <w:bookmarkEnd w:id="111"/>
      <w:bookmarkEnd w:id="112"/>
    </w:p>
    <w:p>
      <w:pPr>
        <w:keepNext/>
        <w:keepLines/>
        <w:spacing w:before="120" w:after="120"/>
        <w:outlineLvl w:val="2"/>
        <w:rPr>
          <w:rFonts w:ascii="Times New Roman" w:hAnsi="Times New Roman" w:eastAsia="黑体" w:cs="Times New Roman"/>
          <w:bCs/>
          <w:sz w:val="24"/>
          <w:szCs w:val="32"/>
        </w:rPr>
      </w:pPr>
      <w:bookmarkStart w:id="113" w:name="_Toc26656977"/>
      <w:bookmarkStart w:id="114" w:name="_Toc14201246"/>
      <w:r>
        <w:rPr>
          <w:rFonts w:ascii="Times New Roman" w:hAnsi="Times New Roman" w:eastAsia="黑体" w:cs="Times New Roman"/>
          <w:bCs/>
          <w:sz w:val="24"/>
          <w:szCs w:val="32"/>
        </w:rPr>
        <w:t>7.1成交候选人公示</w:t>
      </w:r>
      <w:bookmarkEnd w:id="113"/>
      <w:bookmarkEnd w:id="114"/>
    </w:p>
    <w:p>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采用公开询比方式采购的项目，公示期不得少于2日</w:t>
      </w:r>
      <w:r>
        <w:rPr>
          <w:rFonts w:hint="eastAsia" w:ascii="Times New Roman" w:hAnsi="Times New Roman" w:cs="Times New Roman"/>
          <w:lang w:eastAsia="zh-CN"/>
        </w:rPr>
        <w:t>（含周末周日）</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115" w:name="_Toc14201247"/>
      <w:bookmarkStart w:id="116" w:name="_Toc26656978"/>
      <w:r>
        <w:rPr>
          <w:rFonts w:ascii="Times New Roman" w:hAnsi="Times New Roman" w:eastAsia="黑体" w:cs="Times New Roman"/>
          <w:bCs/>
          <w:sz w:val="24"/>
          <w:szCs w:val="32"/>
        </w:rPr>
        <w:t>7.2评审结果异议</w:t>
      </w:r>
      <w:bookmarkEnd w:id="115"/>
      <w:bookmarkEnd w:id="116"/>
    </w:p>
    <w:p>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bookmarkStart w:id="117" w:name="_Toc14201248"/>
      <w:bookmarkStart w:id="118" w:name="_Toc26656979"/>
      <w:r>
        <w:rPr>
          <w:rFonts w:ascii="Times New Roman" w:hAnsi="Times New Roman" w:eastAsia="黑体" w:cs="Times New Roman"/>
          <w:bCs/>
          <w:sz w:val="24"/>
          <w:szCs w:val="32"/>
        </w:rPr>
        <w:t>7.3成交候选人履约能力审查</w:t>
      </w:r>
      <w:bookmarkEnd w:id="117"/>
      <w:bookmarkEnd w:id="118"/>
    </w:p>
    <w:p>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w:t>
      </w:r>
      <w:r>
        <w:rPr>
          <w:rFonts w:hint="eastAsia" w:ascii="Times New Roman" w:hAnsi="Times New Roman" w:cs="Times New Roman"/>
          <w:lang w:eastAsia="zh-CN"/>
        </w:rPr>
        <w:t>采购文件</w:t>
      </w:r>
      <w:r>
        <w:rPr>
          <w:rFonts w:ascii="Times New Roman" w:hAnsi="Times New Roman" w:cs="Times New Roman"/>
        </w:rPr>
        <w:t>规定的标准和方法进行审查确认。</w:t>
      </w:r>
    </w:p>
    <w:p>
      <w:pPr>
        <w:keepNext/>
        <w:keepLines/>
        <w:spacing w:before="120" w:after="120"/>
        <w:outlineLvl w:val="2"/>
        <w:rPr>
          <w:rFonts w:ascii="Times New Roman" w:hAnsi="Times New Roman" w:eastAsia="黑体" w:cs="Times New Roman"/>
          <w:bCs/>
          <w:sz w:val="24"/>
          <w:szCs w:val="32"/>
        </w:rPr>
      </w:pPr>
      <w:bookmarkStart w:id="119" w:name="_Toc14201250"/>
      <w:bookmarkStart w:id="120" w:name="_Toc26656981"/>
      <w:r>
        <w:rPr>
          <w:rFonts w:ascii="Times New Roman" w:hAnsi="Times New Roman" w:eastAsia="黑体" w:cs="Times New Roman"/>
          <w:bCs/>
          <w:sz w:val="24"/>
          <w:szCs w:val="32"/>
        </w:rPr>
        <w:t>7.</w:t>
      </w:r>
      <w:bookmarkEnd w:id="119"/>
      <w:bookmarkEnd w:id="120"/>
      <w:bookmarkStart w:id="121" w:name="_Toc26656983"/>
      <w:bookmarkStart w:id="122" w:name="_Toc14201252"/>
      <w:r>
        <w:rPr>
          <w:rFonts w:ascii="Times New Roman" w:hAnsi="Times New Roman" w:eastAsia="黑体" w:cs="Times New Roman"/>
          <w:bCs/>
          <w:sz w:val="24"/>
          <w:szCs w:val="32"/>
        </w:rPr>
        <w:t>4履约保证金</w:t>
      </w:r>
      <w:bookmarkEnd w:id="121"/>
      <w:bookmarkEnd w:id="122"/>
    </w:p>
    <w:p>
      <w:pPr>
        <w:spacing w:line="440" w:lineRule="exact"/>
        <w:ind w:firstLine="420"/>
        <w:rPr>
          <w:rFonts w:ascii="Times New Roman" w:hAnsi="Times New Roman" w:cs="Times New Roman"/>
          <w:b/>
          <w:bCs/>
        </w:rPr>
      </w:pPr>
      <w:r>
        <w:rPr>
          <w:rFonts w:ascii="Times New Roman" w:hAnsi="Times New Roman" w:cs="Times New Roman"/>
        </w:rPr>
        <w:t>7.4.1</w:t>
      </w:r>
      <w:r>
        <w:rPr>
          <w:rFonts w:ascii="Times New Roman" w:hAnsi="Times New Roman" w:cs="Times New Roman"/>
          <w:b/>
          <w:bCs/>
        </w:rPr>
        <w:t>在签订合同前，成交人应向采购人提交</w:t>
      </w:r>
      <w:r>
        <w:rPr>
          <w:rFonts w:ascii="Times New Roman" w:hAnsi="Times New Roman" w:cs="Times New Roman"/>
          <w:b/>
          <w:bCs/>
          <w:highlight w:val="none"/>
        </w:rPr>
        <w:t>履约保证金</w:t>
      </w:r>
      <w:r>
        <w:rPr>
          <w:rFonts w:ascii="Times New Roman" w:hAnsi="Times New Roman" w:cs="Times New Roman"/>
          <w:b/>
          <w:bCs/>
        </w:rPr>
        <w:t>。履约保证金</w:t>
      </w:r>
      <w:r>
        <w:rPr>
          <w:rFonts w:hint="eastAsia" w:ascii="Times New Roman" w:hAnsi="Times New Roman" w:cs="Times New Roman"/>
          <w:b/>
          <w:bCs/>
        </w:rPr>
        <w:t>的金额</w:t>
      </w:r>
      <w:r>
        <w:rPr>
          <w:rFonts w:ascii="Times New Roman" w:hAnsi="Times New Roman" w:cs="Times New Roman"/>
          <w:b/>
          <w:bCs/>
        </w:rPr>
        <w:t>为</w:t>
      </w:r>
      <w:r>
        <w:rPr>
          <w:rFonts w:hint="eastAsia" w:ascii="Times New Roman" w:hAnsi="Times New Roman" w:cs="Times New Roman"/>
          <w:b/>
          <w:bCs/>
          <w:u w:val="single"/>
          <w:lang w:val="en-US" w:eastAsia="zh-CN"/>
        </w:rPr>
        <w:t xml:space="preserve"> </w:t>
      </w:r>
      <w:r>
        <w:rPr>
          <w:rFonts w:hint="eastAsia" w:ascii="Times New Roman" w:hAnsi="Times New Roman" w:cs="Times New Roman"/>
          <w:b/>
          <w:bCs/>
          <w:highlight w:val="none"/>
          <w:u w:val="single"/>
          <w:lang w:val="en-US" w:eastAsia="zh-CN"/>
        </w:rPr>
        <w:t xml:space="preserve">同响应保证金金额 </w:t>
      </w:r>
      <w:r>
        <w:rPr>
          <w:rFonts w:hint="eastAsia" w:ascii="Times New Roman" w:hAnsi="Times New Roman" w:cs="Times New Roman"/>
          <w:b/>
          <w:bCs/>
          <w:highlight w:val="none"/>
        </w:rPr>
        <w:t>履约保证金的形式为</w:t>
      </w:r>
      <w:r>
        <w:rPr>
          <w:rFonts w:hint="eastAsia" w:ascii="Times New Roman" w:hAnsi="Times New Roman" w:cs="Times New Roman"/>
          <w:b/>
          <w:bCs/>
          <w:highlight w:val="none"/>
          <w:u w:val="single"/>
          <w:lang w:val="en-US" w:eastAsia="zh-CN"/>
        </w:rPr>
        <w:t xml:space="preserve"> </w:t>
      </w:r>
      <w:r>
        <w:rPr>
          <w:rFonts w:hint="eastAsia" w:ascii="Times New Roman" w:hAnsi="Times New Roman" w:cs="Times New Roman"/>
          <w:b/>
          <w:bCs/>
          <w:highlight w:val="none"/>
          <w:u w:val="single"/>
        </w:rPr>
        <w:t>银行汇款</w:t>
      </w:r>
      <w:r>
        <w:rPr>
          <w:rFonts w:hint="eastAsia" w:ascii="Times New Roman" w:hAnsi="Times New Roman" w:cs="Times New Roman"/>
          <w:b/>
          <w:bCs/>
          <w:highlight w:val="none"/>
          <w:u w:val="single"/>
          <w:lang w:val="en-US" w:eastAsia="zh-CN"/>
        </w:rPr>
        <w:t xml:space="preserve">或响应保证金转履约保证金 </w:t>
      </w:r>
      <w:r>
        <w:rPr>
          <w:rFonts w:ascii="Times New Roman" w:hAnsi="Times New Roman" w:cs="Times New Roman"/>
          <w:b/>
          <w:bCs/>
          <w:highlight w:val="none"/>
        </w:rPr>
        <w:t>。</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r>
        <w:rPr>
          <w:rFonts w:hint="eastAsia" w:ascii="Times New Roman" w:hAnsi="Times New Roman" w:cs="Times New Roman"/>
          <w:lang w:eastAsia="zh-CN"/>
        </w:rPr>
        <w:t>；</w:t>
      </w:r>
      <w:r>
        <w:rPr>
          <w:rFonts w:hint="eastAsia" w:ascii="Times New Roman" w:hAnsi="Times New Roman" w:cs="Times New Roman"/>
          <w:lang w:val="en-US" w:eastAsia="zh-CN"/>
        </w:rPr>
        <w:t>货物全部供完后退还全部履约保证金。</w:t>
      </w:r>
    </w:p>
    <w:p>
      <w:pPr>
        <w:keepNext/>
        <w:keepLines/>
        <w:spacing w:before="120" w:after="120"/>
        <w:outlineLvl w:val="2"/>
        <w:rPr>
          <w:rFonts w:ascii="Times New Roman" w:hAnsi="Times New Roman" w:eastAsia="黑体" w:cs="Times New Roman"/>
          <w:bCs/>
          <w:sz w:val="24"/>
          <w:szCs w:val="32"/>
        </w:rPr>
      </w:pPr>
      <w:bookmarkStart w:id="123" w:name="_Toc26656984"/>
      <w:bookmarkStart w:id="124" w:name="_Toc14201253"/>
      <w:r>
        <w:rPr>
          <w:rFonts w:ascii="Times New Roman" w:hAnsi="Times New Roman" w:eastAsia="黑体" w:cs="Times New Roman"/>
          <w:bCs/>
          <w:sz w:val="24"/>
          <w:szCs w:val="32"/>
        </w:rPr>
        <w:t>7.5签订合同</w:t>
      </w:r>
      <w:bookmarkEnd w:id="123"/>
      <w:bookmarkEnd w:id="124"/>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w:t>
      </w:r>
      <w:r>
        <w:rPr>
          <w:rFonts w:hint="eastAsia" w:ascii="Times New Roman" w:hAnsi="Times New Roman" w:cs="Times New Roman"/>
          <w:lang w:eastAsia="zh-CN"/>
        </w:rPr>
        <w:t>采购文件</w:t>
      </w:r>
      <w:r>
        <w:rPr>
          <w:rFonts w:ascii="Times New Roman" w:hAnsi="Times New Roman" w:cs="Times New Roman"/>
        </w:rPr>
        <w:t>和成交人的响应文件订立书面合同。成交人无正当理由拒签合同，在签订合同时向采购人提出附加条件，或不按照</w:t>
      </w:r>
      <w:r>
        <w:rPr>
          <w:rFonts w:hint="eastAsia" w:ascii="Times New Roman" w:hAnsi="Times New Roman" w:cs="Times New Roman"/>
          <w:lang w:eastAsia="zh-CN"/>
        </w:rPr>
        <w:t>采购文件</w:t>
      </w:r>
      <w:r>
        <w:rPr>
          <w:rFonts w:ascii="Times New Roman" w:hAnsi="Times New Roman" w:cs="Times New Roman"/>
        </w:rPr>
        <w:t>要求提交履约保证金的，采购人取消其成交资格，其响应保证金不予退还；给采购人造成的损失超过响应保证金数额的，成交人还应对超过部分予以赔偿。</w:t>
      </w:r>
      <w:r>
        <w:rPr>
          <w:rFonts w:hint="eastAsia" w:ascii="Times New Roman" w:hAnsi="Times New Roman" w:cs="Times New Roman"/>
        </w:rPr>
        <w:t>签约合同价的确定以启封时宣布的报价与经供应商确认的修正（如有）后的报价中较低的为准。</w:t>
      </w:r>
    </w:p>
    <w:p>
      <w:pPr>
        <w:keepNext/>
        <w:keepLines/>
        <w:spacing w:beforeLines="50" w:afterLines="50"/>
        <w:outlineLvl w:val="1"/>
        <w:rPr>
          <w:rFonts w:ascii="Times New Roman" w:hAnsi="Times New Roman" w:eastAsia="黑体" w:cs="Times New Roman"/>
          <w:bCs/>
          <w:sz w:val="24"/>
          <w:szCs w:val="32"/>
        </w:rPr>
      </w:pPr>
      <w:bookmarkStart w:id="125" w:name="_Toc9067727"/>
      <w:bookmarkStart w:id="126" w:name="_Toc14201257"/>
      <w:bookmarkStart w:id="127" w:name="_Toc26656988"/>
      <w:r>
        <w:rPr>
          <w:rFonts w:ascii="Times New Roman" w:hAnsi="Times New Roman" w:eastAsia="黑体" w:cs="Times New Roman"/>
          <w:bCs/>
          <w:sz w:val="24"/>
          <w:szCs w:val="32"/>
        </w:rPr>
        <w:t>8. 纪律和监督</w:t>
      </w:r>
      <w:bookmarkEnd w:id="125"/>
      <w:bookmarkEnd w:id="126"/>
      <w:bookmarkEnd w:id="127"/>
    </w:p>
    <w:p>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pPr>
        <w:keepNext/>
        <w:keepLines/>
        <w:spacing w:beforeLines="50" w:afterLines="50"/>
        <w:outlineLvl w:val="1"/>
        <w:rPr>
          <w:rFonts w:ascii="Times New Roman" w:hAnsi="Times New Roman" w:eastAsia="黑体" w:cs="Times New Roman"/>
          <w:bCs/>
          <w:sz w:val="24"/>
          <w:szCs w:val="32"/>
        </w:rPr>
      </w:pPr>
      <w:bookmarkStart w:id="128" w:name="_Toc26656993"/>
      <w:bookmarkStart w:id="129" w:name="_Toc14201262"/>
      <w:r>
        <w:rPr>
          <w:rFonts w:hint="eastAsia" w:ascii="Times New Roman" w:hAnsi="Times New Roman" w:eastAsia="黑体" w:cs="Times New Roman"/>
          <w:bCs/>
          <w:sz w:val="24"/>
          <w:szCs w:val="32"/>
        </w:rPr>
        <w:t>9</w:t>
      </w:r>
      <w:r>
        <w:rPr>
          <w:rFonts w:hint="eastAsia" w:ascii="Times New Roman" w:hAnsi="Times New Roman" w:eastAsia="黑体" w:cs="Times New Roman"/>
          <w:bCs/>
          <w:sz w:val="24"/>
          <w:szCs w:val="32"/>
          <w:lang w:val="en-US" w:eastAsia="zh-CN"/>
        </w:rPr>
        <w:t>.</w:t>
      </w:r>
      <w:r>
        <w:rPr>
          <w:rFonts w:ascii="Times New Roman" w:hAnsi="Times New Roman" w:eastAsia="黑体" w:cs="Times New Roman"/>
          <w:bCs/>
          <w:sz w:val="24"/>
          <w:szCs w:val="32"/>
        </w:rPr>
        <w:t xml:space="preserve"> 投诉</w:t>
      </w:r>
      <w:bookmarkEnd w:id="128"/>
      <w:bookmarkEnd w:id="129"/>
    </w:p>
    <w:p>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.1 供应商或其他利害关系人认为询比活动不符合法律法规规定的，可以自知道或应当知道之日起10日内向有关监督部门投诉。投诉应有明确的请求和必要的证明材料。</w:t>
      </w:r>
    </w:p>
    <w:p>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.2 监督部门</w:t>
      </w:r>
      <w:r>
        <w:rPr>
          <w:rFonts w:hint="eastAsia" w:ascii="Times New Roman" w:hAnsi="Times New Roman" w:cs="Times New Roman"/>
        </w:rPr>
        <w:t>及</w:t>
      </w:r>
      <w:r>
        <w:rPr>
          <w:rFonts w:ascii="Times New Roman" w:hAnsi="Times New Roman" w:cs="Times New Roman"/>
        </w:rPr>
        <w:t>联系方式</w:t>
      </w:r>
      <w:r>
        <w:rPr>
          <w:rFonts w:hint="eastAsia" w:ascii="Times New Roman" w:hAnsi="Times New Roman" w:cs="Times New Roman"/>
        </w:rPr>
        <w:t>：__</w:t>
      </w:r>
      <w:r>
        <w:rPr>
          <w:rFonts w:hint="eastAsia" w:ascii="Times New Roman" w:hAnsi="Times New Roman" w:cs="Times New Roman"/>
          <w:u w:val="single"/>
          <w:lang w:val="en-US" w:eastAsia="zh-CN"/>
        </w:rPr>
        <w:t>0551-62265211</w:t>
      </w:r>
      <w:r>
        <w:rPr>
          <w:rFonts w:hint="eastAsia" w:ascii="Times New Roman" w:hAnsi="Times New Roman" w:cs="Times New Roman"/>
          <w:u w:val="single"/>
        </w:rPr>
        <w:t>_</w:t>
      </w:r>
      <w:r>
        <w:rPr>
          <w:rFonts w:hint="eastAsia" w:ascii="Times New Roman" w:hAnsi="Times New Roman" w:cs="Times New Roman"/>
        </w:rPr>
        <w:t>_。</w:t>
      </w:r>
    </w:p>
    <w:p>
      <w:pPr>
        <w:keepNext/>
        <w:keepLines/>
        <w:spacing w:beforeLines="50" w:afterLines="50"/>
        <w:outlineLvl w:val="1"/>
        <w:rPr>
          <w:rFonts w:ascii="Times New Roman" w:hAnsi="Times New Roman" w:eastAsia="黑体" w:cs="Times New Roman"/>
          <w:bCs/>
          <w:sz w:val="24"/>
          <w:szCs w:val="32"/>
        </w:rPr>
      </w:pPr>
      <w:bookmarkStart w:id="130" w:name="_Toc14201263"/>
      <w:bookmarkStart w:id="131" w:name="_Toc9067731"/>
      <w:bookmarkStart w:id="132"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130"/>
      <w:bookmarkEnd w:id="131"/>
      <w:bookmarkEnd w:id="132"/>
    </w:p>
    <w:p>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u w:val="single"/>
          <w:lang w:val="en-US" w:eastAsia="zh-CN"/>
        </w:rPr>
        <w:t xml:space="preserve"> </w:t>
      </w:r>
      <w:r>
        <w:rPr>
          <w:rFonts w:hint="eastAsia" w:ascii="Times New Roman" w:hAnsi="Times New Roman" w:cs="Times New Roman"/>
          <w:u w:val="single"/>
        </w:rPr>
        <w:t>见</w:t>
      </w:r>
      <w:r>
        <w:rPr>
          <w:rFonts w:hint="eastAsia" w:ascii="Times New Roman" w:hAnsi="Times New Roman" w:cs="Times New Roman"/>
          <w:u w:val="single"/>
          <w:lang w:eastAsia="zh-CN"/>
        </w:rPr>
        <w:t>响应</w:t>
      </w:r>
      <w:r>
        <w:rPr>
          <w:rFonts w:hint="eastAsia" w:ascii="Times New Roman" w:hAnsi="Times New Roman" w:cs="Times New Roman"/>
          <w:u w:val="single"/>
        </w:rPr>
        <w:t>人须知前附表</w:t>
      </w:r>
      <w:r>
        <w:rPr>
          <w:rFonts w:hint="eastAsia" w:ascii="Times New Roman" w:hAnsi="Times New Roman" w:cs="Times New Roman"/>
          <w:u w:val="single"/>
          <w:lang w:val="en-US" w:eastAsia="zh-CN"/>
        </w:rPr>
        <w:t xml:space="preserve"> </w:t>
      </w:r>
      <w:r>
        <w:rPr>
          <w:rFonts w:hint="eastAsia" w:ascii="Times New Roman" w:hAnsi="Times New Roman" w:cs="Times New Roman"/>
        </w:rPr>
        <w:t>。</w:t>
      </w:r>
    </w:p>
    <w:p>
      <w:pPr>
        <w:widowControl/>
        <w:jc w:val="left"/>
        <w:rPr>
          <w:rFonts w:ascii="Times New Roman" w:hAnsi="Times New Roman" w:cs="Times New Roman"/>
        </w:rPr>
      </w:pPr>
      <w:r>
        <w:rPr>
          <w:rFonts w:ascii="Times New Roman" w:hAnsi="Times New Roman" w:cs="Times New Roman"/>
        </w:rPr>
        <w:br w:type="page"/>
      </w:r>
    </w:p>
    <w:p>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33"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pPr>
        <w:pageBreakBefore w:val="0"/>
        <w:kinsoku/>
        <w:overflowPunct/>
        <w:topLinePunct/>
        <w:bidi w:val="0"/>
        <w:adjustRightInd w:val="0"/>
        <w:snapToGrid w:val="0"/>
        <w:spacing w:beforeAutospacing="0" w:afterAutospacing="0" w:line="240" w:lineRule="auto"/>
        <w:ind w:left="0" w:leftChars="0" w:right="0" w:rightChars="0"/>
        <w:jc w:val="center"/>
        <w:rPr>
          <w:rStyle w:val="39"/>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33"/>
    </w:p>
    <w:p>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pPr>
        <w:spacing w:line="440" w:lineRule="exact"/>
        <w:ind w:firstLine="2520" w:firstLineChars="1200"/>
        <w:rPr>
          <w:rFonts w:ascii="Times New Roman" w:hAnsi="Times New Roman" w:cs="Times New Roman"/>
          <w:szCs w:val="21"/>
        </w:rPr>
      </w:pPr>
    </w:p>
    <w:p>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pPr>
        <w:spacing w:line="440" w:lineRule="exact"/>
        <w:rPr>
          <w:rFonts w:ascii="Times New Roman" w:hAnsi="Times New Roman" w:cs="Times New Roman"/>
          <w:szCs w:val="21"/>
        </w:rPr>
      </w:pPr>
    </w:p>
    <w:p>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pPr>
        <w:spacing w:line="440" w:lineRule="exact"/>
        <w:rPr>
          <w:rFonts w:ascii="Times New Roman" w:hAnsi="Times New Roman" w:cs="Times New Roman"/>
          <w:szCs w:val="21"/>
        </w:rPr>
      </w:pPr>
    </w:p>
    <w:p>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pPr>
        <w:pStyle w:val="10"/>
        <w:ind w:firstLine="0"/>
        <w:rPr>
          <w:rFonts w:ascii="Times New Roman" w:hAnsi="Times New Roman" w:cs="Times New Roman"/>
        </w:rPr>
      </w:pPr>
    </w:p>
    <w:p>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pPr>
        <w:pStyle w:val="5"/>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4" w:name="_Toc15674"/>
      <w:r>
        <w:rPr>
          <w:rFonts w:ascii="Times New Roman" w:hAnsi="Times New Roman" w:eastAsia="宋体" w:cs="Times New Roman"/>
        </w:rPr>
        <w:t>评审办法</w:t>
      </w:r>
      <w:bookmarkEnd w:id="134"/>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highlight w:val="none"/>
        </w:rPr>
      </w:pPr>
      <w:bookmarkStart w:id="135" w:name="_Toc144974496"/>
      <w:bookmarkStart w:id="136" w:name="_Toc152045528"/>
      <w:bookmarkStart w:id="137" w:name="_Toc152042304"/>
      <w:bookmarkStart w:id="138" w:name="_Toc3834"/>
      <w:bookmarkStart w:id="139" w:name="_Toc14847"/>
      <w:bookmarkStart w:id="140" w:name="_Toc447808662"/>
      <w:bookmarkStart w:id="141" w:name="_Toc457482536"/>
      <w:bookmarkStart w:id="142"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pPr>
        <w:pStyle w:val="49"/>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5"/>
      <w:bookmarkEnd w:id="136"/>
      <w:bookmarkEnd w:id="137"/>
      <w:bookmarkEnd w:id="138"/>
      <w:bookmarkEnd w:id="139"/>
      <w:bookmarkEnd w:id="140"/>
      <w:bookmarkEnd w:id="141"/>
      <w:r>
        <w:rPr>
          <w:rFonts w:hint="eastAsia" w:ascii="宋体" w:hAnsi="宋体" w:eastAsia="宋体"/>
          <w:b/>
          <w:bCs/>
          <w:szCs w:val="28"/>
          <w:highlight w:val="none"/>
        </w:rPr>
        <w:t>A</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0"/>
        <w:gridCol w:w="1602"/>
        <w:gridCol w:w="5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50" w:type="pct"/>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963" w:type="pct"/>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3085" w:type="pct"/>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3" w:type="pct"/>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576" w:type="pct"/>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963" w:type="pct"/>
            <w:tcMar>
              <w:left w:w="75" w:type="dxa"/>
            </w:tcMar>
            <w:vAlign w:val="center"/>
          </w:tcPr>
          <w:p>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3085" w:type="pct"/>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成交候选人。评标委员会按评标价由低到高顺序推荐成交候选人，评标价相等时，评标委员会依次按照以下优先顺序推荐成交候选人：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02"/>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75"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057" w:type="pct"/>
            <w:vAlign w:val="center"/>
          </w:tcPr>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3466" w:type="pct"/>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T＞8</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pPr>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5＜T≤8</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3≤T≤5</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pPr>
        <w:rPr>
          <w:rFonts w:hint="eastAsia"/>
          <w:highlight w:val="none"/>
        </w:rPr>
      </w:pP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991"/>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7" w:type="pct"/>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32" w:type="pct"/>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371" w:type="pc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96" w:type="pct"/>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4032" w:type="pct"/>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）投标人按照询比文件的规定提供了响应保证金。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1" w:type="pc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96" w:type="pct"/>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4032" w:type="pct"/>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）供应商具备有效的营业执照，具有独立完成本项目相关能力的生产厂家。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）供应商的类似项目业绩符合询比文件规定。 </w:t>
            </w:r>
          </w:p>
          <w:p>
            <w:pPr>
              <w:keepNext w:val="0"/>
              <w:keepLines w:val="0"/>
              <w:widowControl/>
              <w:suppressLineNumbers w:val="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）供应商的信誉符合询比文件规定。 </w:t>
            </w:r>
          </w:p>
          <w:p>
            <w:pPr>
              <w:pStyle w:val="6"/>
              <w:numPr>
                <w:ilvl w:val="0"/>
                <w:numId w:val="0"/>
              </w:numPr>
              <w:rPr>
                <w:rFonts w:hint="default"/>
                <w:lang w:val="en-US"/>
              </w:rPr>
            </w:pPr>
            <w:r>
              <w:rPr>
                <w:rFonts w:hint="eastAsia" w:ascii="宋体" w:hAnsi="宋体" w:eastAsia="宋体" w:cs="宋体"/>
                <w:b/>
                <w:bCs/>
                <w:color w:val="000000"/>
                <w:kern w:val="0"/>
                <w:sz w:val="28"/>
                <w:szCs w:val="28"/>
                <w:highlight w:val="none"/>
                <w:lang w:val="en-US" w:eastAsia="zh-CN" w:bidi="ar"/>
              </w:rPr>
              <w:t>（4）供应商开标前必须向采购人提供原材料（玻璃、铝型材）样品及原材料生产品牌证明材料。原材料上附供应商名称、材料品牌等信息。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pPr>
        <w:pStyle w:val="49"/>
        <w:numPr>
          <w:ilvl w:val="0"/>
          <w:numId w:val="0"/>
        </w:numPr>
        <w:spacing w:before="0"/>
        <w:outlineLvl w:val="9"/>
        <w:rPr>
          <w:rFonts w:hint="eastAsia" w:ascii="宋体" w:hAnsi="宋体" w:eastAsia="宋体"/>
          <w:b/>
          <w:bCs/>
          <w:szCs w:val="28"/>
          <w:highlight w:val="none"/>
        </w:rPr>
      </w:pPr>
    </w:p>
    <w:p>
      <w:pPr>
        <w:pStyle w:val="49"/>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6"/>
        <w:tblpPr w:leftFromText="180" w:rightFromText="180" w:vertAnchor="text" w:horzAnchor="page" w:tblpXSpec="center" w:tblpY="576"/>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66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00" w:type="pct"/>
            <w:vAlign w:val="center"/>
          </w:tcPr>
          <w:p>
            <w:pPr>
              <w:pStyle w:val="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979" w:type="pct"/>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3419" w:type="pct"/>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600"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979" w:type="pct"/>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3419" w:type="pct"/>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bidi w:val="0"/>
              <w:spacing w:line="240" w:lineRule="auto"/>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pPr>
              <w:bidi w:val="0"/>
              <w:spacing w:line="240" w:lineRule="auto"/>
              <w:rPr>
                <w:rFonts w:hint="eastAsia"/>
                <w:highlight w:val="none"/>
                <w:lang w:val="en-US" w:eastAsia="zh-CN"/>
              </w:rPr>
            </w:pPr>
            <w:r>
              <w:rPr>
                <w:rFonts w:hint="eastAsia"/>
                <w:highlight w:val="none"/>
                <w:lang w:val="en-US" w:eastAsia="zh-CN"/>
              </w:rPr>
              <w:t>管理措施：</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highlight w:val="none"/>
                <w:lang w:val="en-US" w:eastAsia="zh-CN"/>
              </w:rPr>
            </w:pPr>
            <w:r>
              <w:rPr>
                <w:rFonts w:hint="eastAsia" w:ascii="宋体" w:hAnsi="宋体" w:eastAsia="宋体" w:cs="宋体"/>
                <w:sz w:val="21"/>
                <w:szCs w:val="21"/>
                <w:highlight w:val="none"/>
                <w:lang w:val="en-US" w:eastAsia="zh-CN"/>
              </w:rPr>
              <w:t>安装供货方案</w:t>
            </w:r>
            <w:r>
              <w:rPr>
                <w:rFonts w:hint="eastAsia"/>
                <w:highlight w:val="none"/>
                <w:lang w:val="en-US" w:eastAsia="zh-CN"/>
              </w:rPr>
              <w:t>：</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highlight w:val="none"/>
                <w:lang w:val="en-US" w:eastAsia="zh-CN"/>
              </w:rPr>
            </w:pPr>
            <w:r>
              <w:rPr>
                <w:rFonts w:hint="eastAsia" w:ascii="宋体" w:hAnsi="宋体" w:eastAsia="宋体" w:cs="宋体"/>
                <w:sz w:val="21"/>
                <w:szCs w:val="21"/>
                <w:highlight w:val="none"/>
                <w:lang w:eastAsia="zh-CN"/>
              </w:rPr>
              <w:t>售后服务方案：</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lang w:eastAsia="zh-CN"/>
              </w:rPr>
              <w:t>：</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样品评审：</w:t>
            </w:r>
            <w:r>
              <w:rPr>
                <w:rFonts w:hint="eastAsia"/>
                <w:highlight w:val="none"/>
                <w:u w:val="single"/>
                <w:lang w:val="en-US" w:eastAsia="zh-CN"/>
              </w:rPr>
              <w:t xml:space="preserve">  10  </w:t>
            </w:r>
            <w:r>
              <w:rPr>
                <w:rFonts w:hint="eastAsia"/>
                <w:highlight w:val="none"/>
                <w:lang w:val="en-US" w:eastAsia="zh-CN"/>
              </w:rPr>
              <w:t>分</w:t>
            </w:r>
          </w:p>
          <w:p>
            <w:pPr>
              <w:pStyle w:val="25"/>
              <w:ind w:left="0" w:leftChars="0" w:firstLine="0" w:firstLineChars="0"/>
              <w:jc w:val="both"/>
              <w:rPr>
                <w:rFonts w:hint="default"/>
                <w:lang w:val="en-US" w:eastAsia="zh-CN"/>
              </w:rPr>
            </w:pPr>
            <w:r>
              <w:rPr>
                <w:rFonts w:hint="eastAsia" w:ascii="宋体" w:hAnsi="宋体" w:eastAsia="宋体" w:cs="宋体"/>
                <w:sz w:val="21"/>
                <w:szCs w:val="21"/>
                <w:highlight w:val="none"/>
                <w:lang w:val="en-US" w:eastAsia="zh-CN"/>
              </w:rPr>
              <w:t>技术指标评审</w:t>
            </w:r>
            <w:r>
              <w:rPr>
                <w:rFonts w:hint="eastAsia"/>
                <w:highlight w:val="none"/>
                <w:lang w:val="en-US" w:eastAsia="zh-CN"/>
              </w:rPr>
              <w:t>：</w:t>
            </w:r>
            <w:r>
              <w:rPr>
                <w:rFonts w:hint="eastAsia"/>
                <w:highlight w:val="none"/>
                <w:u w:val="single"/>
                <w:lang w:val="en-US" w:eastAsia="zh-CN"/>
              </w:rPr>
              <w:t xml:space="preserve">  10  </w:t>
            </w:r>
            <w:r>
              <w:rPr>
                <w:rFonts w:hint="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00" w:type="pct"/>
            <w:vAlign w:val="center"/>
          </w:tcPr>
          <w:p>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979" w:type="pct"/>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3419" w:type="pct"/>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45"/>
        <w:gridCol w:w="904"/>
        <w:gridCol w:w="143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47" w:type="pct"/>
            <w:vAlign w:val="center"/>
          </w:tcPr>
          <w:p>
            <w:pPr>
              <w:pStyle w:val="2"/>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42" w:type="pct"/>
            <w:vAlign w:val="center"/>
          </w:tcPr>
          <w:p>
            <w:pPr>
              <w:pStyle w:val="2"/>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863" w:type="pct"/>
            <w:vAlign w:val="center"/>
          </w:tcPr>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46" w:type="pct"/>
            <w:vAlign w:val="center"/>
          </w:tcPr>
          <w:p>
            <w:pPr>
              <w:pStyle w:val="2"/>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47" w:type="pct"/>
            <w:vMerge w:val="restar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2"/>
              <w:adjustRightInd w:val="0"/>
              <w:snapToGrid w:val="0"/>
              <w:rPr>
                <w:rFonts w:hint="eastAsia" w:ascii="宋体" w:hAnsi="宋体" w:eastAsia="宋体" w:cs="宋体"/>
                <w:sz w:val="21"/>
                <w:szCs w:val="21"/>
                <w:highlight w:val="none"/>
              </w:rPr>
            </w:pPr>
          </w:p>
        </w:tc>
        <w:tc>
          <w:tcPr>
            <w:tcW w:w="542" w:type="pct"/>
            <w:vMerge w:val="restart"/>
            <w:vAlign w:val="center"/>
          </w:tcPr>
          <w:p>
            <w:pPr>
              <w:pStyle w:val="2"/>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863"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46" w:type="pct"/>
            <w:vAlign w:val="center"/>
          </w:tcPr>
          <w:p>
            <w:pPr>
              <w:pStyle w:val="2"/>
              <w:adjustRightInd w:val="0"/>
              <w:snapToGrid w:val="0"/>
              <w:spacing w:line="240" w:lineRule="auto"/>
              <w:jc w:val="both"/>
              <w:rPr>
                <w:rFonts w:hint="default"/>
                <w:highlight w:val="none"/>
                <w:lang w:val="en-US" w:eastAsia="zh-CN"/>
              </w:rPr>
            </w:pPr>
            <w:r>
              <w:rPr>
                <w:rFonts w:hint="default"/>
                <w:highlight w:val="none"/>
                <w:lang w:val="en-US" w:eastAsia="zh-CN"/>
              </w:rPr>
              <w:t>202</w:t>
            </w:r>
            <w:r>
              <w:rPr>
                <w:rFonts w:hint="eastAsia"/>
                <w:highlight w:val="none"/>
                <w:lang w:val="en-US" w:eastAsia="zh-CN"/>
              </w:rPr>
              <w:t>1</w:t>
            </w:r>
            <w:r>
              <w:rPr>
                <w:rFonts w:hint="default"/>
                <w:highlight w:val="none"/>
                <w:lang w:val="en-US" w:eastAsia="zh-CN"/>
              </w:rPr>
              <w:t xml:space="preserve"> 年 </w:t>
            </w:r>
            <w:r>
              <w:rPr>
                <w:rFonts w:hint="eastAsia"/>
                <w:highlight w:val="none"/>
                <w:lang w:val="en-US" w:eastAsia="zh-CN"/>
              </w:rPr>
              <w:t>1</w:t>
            </w:r>
            <w:r>
              <w:rPr>
                <w:rFonts w:hint="default"/>
                <w:highlight w:val="none"/>
                <w:lang w:val="en-US" w:eastAsia="zh-CN"/>
              </w:rPr>
              <w:t>月1 日以来（以合同签订时间为准），</w:t>
            </w:r>
            <w:r>
              <w:rPr>
                <w:rFonts w:hint="eastAsia"/>
                <w:highlight w:val="none"/>
                <w:lang w:val="en-US" w:eastAsia="zh-CN"/>
              </w:rPr>
              <w:t>满足</w:t>
            </w:r>
            <w:r>
              <w:rPr>
                <w:rFonts w:hint="default"/>
                <w:highlight w:val="none"/>
                <w:lang w:val="en-US" w:eastAsia="zh-CN"/>
              </w:rPr>
              <w:t>供应商资审条件要求的业绩</w:t>
            </w:r>
            <w:r>
              <w:rPr>
                <w:rFonts w:hint="eastAsia"/>
                <w:highlight w:val="none"/>
                <w:lang w:val="en-US" w:eastAsia="zh-CN"/>
              </w:rPr>
              <w:t>得24分</w:t>
            </w:r>
            <w:r>
              <w:rPr>
                <w:rFonts w:hint="default"/>
                <w:highlight w:val="none"/>
                <w:lang w:val="en-US" w:eastAsia="zh-CN"/>
              </w:rPr>
              <w:t>，近三年来具有</w:t>
            </w:r>
            <w:r>
              <w:rPr>
                <w:rFonts w:hint="eastAsia"/>
                <w:highlight w:val="none"/>
                <w:lang w:val="en-US" w:eastAsia="zh-CN"/>
              </w:rPr>
              <w:t>100</w:t>
            </w:r>
            <w:r>
              <w:rPr>
                <w:rFonts w:hint="default"/>
                <w:highlight w:val="none"/>
                <w:lang w:val="en-US" w:eastAsia="zh-CN"/>
              </w:rPr>
              <w:t>万及以上的</w:t>
            </w:r>
            <w:r>
              <w:rPr>
                <w:rFonts w:hint="eastAsia"/>
                <w:highlight w:val="none"/>
                <w:lang w:val="en-US" w:eastAsia="zh-CN"/>
              </w:rPr>
              <w:t>门窗采购及安装</w:t>
            </w:r>
            <w:r>
              <w:rPr>
                <w:rFonts w:hint="default"/>
                <w:highlight w:val="none"/>
                <w:lang w:val="en-US" w:eastAsia="zh-CN"/>
              </w:rPr>
              <w:t>的业绩</w:t>
            </w:r>
            <w:r>
              <w:rPr>
                <w:rFonts w:hint="eastAsia"/>
                <w:highlight w:val="none"/>
                <w:lang w:val="en-US" w:eastAsia="zh-CN"/>
              </w:rPr>
              <w:t>（单个合同）</w:t>
            </w:r>
            <w:r>
              <w:rPr>
                <w:rFonts w:hint="default"/>
                <w:highlight w:val="none"/>
                <w:lang w:val="en-US" w:eastAsia="zh-CN"/>
              </w:rPr>
              <w:t>，提供一个业绩得</w:t>
            </w:r>
            <w:r>
              <w:rPr>
                <w:rFonts w:hint="eastAsia"/>
                <w:highlight w:val="none"/>
                <w:lang w:val="en-US" w:eastAsia="zh-CN"/>
              </w:rPr>
              <w:t>4</w:t>
            </w:r>
            <w:r>
              <w:rPr>
                <w:rFonts w:hint="default"/>
                <w:highlight w:val="none"/>
                <w:lang w:val="en-US" w:eastAsia="zh-CN"/>
              </w:rPr>
              <w:t>分</w:t>
            </w:r>
            <w:r>
              <w:rPr>
                <w:rFonts w:hint="eastAsia"/>
                <w:highlight w:val="none"/>
                <w:lang w:val="en-US" w:eastAsia="zh-CN"/>
              </w:rPr>
              <w:t>；</w:t>
            </w:r>
            <w:r>
              <w:rPr>
                <w:rFonts w:hint="default"/>
                <w:highlight w:val="none"/>
                <w:lang w:val="en-US" w:eastAsia="zh-CN"/>
              </w:rPr>
              <w:t>近三年来具有</w:t>
            </w:r>
            <w:r>
              <w:rPr>
                <w:rFonts w:hint="eastAsia"/>
                <w:highlight w:val="none"/>
                <w:lang w:val="en-US" w:eastAsia="zh-CN"/>
              </w:rPr>
              <w:t>200</w:t>
            </w:r>
            <w:r>
              <w:rPr>
                <w:rFonts w:hint="default"/>
                <w:highlight w:val="none"/>
                <w:lang w:val="en-US" w:eastAsia="zh-CN"/>
              </w:rPr>
              <w:t>万及以上的</w:t>
            </w:r>
            <w:r>
              <w:rPr>
                <w:rFonts w:hint="eastAsia"/>
                <w:highlight w:val="none"/>
                <w:lang w:val="en-US" w:eastAsia="zh-CN"/>
              </w:rPr>
              <w:t>门窗采购及安装</w:t>
            </w:r>
            <w:r>
              <w:rPr>
                <w:rFonts w:hint="default"/>
                <w:highlight w:val="none"/>
                <w:lang w:val="en-US" w:eastAsia="zh-CN"/>
              </w:rPr>
              <w:t>的业绩，</w:t>
            </w:r>
            <w:r>
              <w:rPr>
                <w:rFonts w:hint="eastAsia"/>
                <w:highlight w:val="none"/>
                <w:lang w:val="en-US" w:eastAsia="zh-CN"/>
              </w:rPr>
              <w:t>累计合同金额每达到1000万得4分；同一业绩不可重复得分，</w:t>
            </w:r>
            <w:r>
              <w:rPr>
                <w:rFonts w:hint="default"/>
                <w:highlight w:val="none"/>
                <w:lang w:val="en-US" w:eastAsia="zh-CN"/>
              </w:rPr>
              <w:t>满分</w:t>
            </w:r>
            <w:r>
              <w:rPr>
                <w:rFonts w:hint="eastAsia"/>
                <w:highlight w:val="none"/>
                <w:lang w:val="en-US" w:eastAsia="zh-CN"/>
              </w:rPr>
              <w:t>40</w:t>
            </w:r>
            <w:r>
              <w:rPr>
                <w:rFonts w:hint="default"/>
                <w:highlight w:val="none"/>
                <w:lang w:val="en-US" w:eastAsia="zh-CN"/>
              </w:rPr>
              <w:t>分。</w:t>
            </w:r>
          </w:p>
          <w:p>
            <w:pPr>
              <w:pStyle w:val="2"/>
              <w:adjustRightInd w:val="0"/>
              <w:snapToGrid w:val="0"/>
              <w:spacing w:line="240" w:lineRule="auto"/>
              <w:ind w:firstLine="210" w:firstLineChars="100"/>
            </w:pPr>
            <w:r>
              <w:t>1</w:t>
            </w:r>
            <w:r>
              <w:rPr>
                <w:rFonts w:hint="eastAsia"/>
                <w:lang w:val="en-US" w:eastAsia="zh-CN"/>
              </w:rPr>
              <w:t>.本响应文件中要求的业绩须为已供货完毕并验收合格的业绩，</w:t>
            </w:r>
            <w:r>
              <w:rPr>
                <w:rFonts w:hint="eastAsia"/>
                <w:lang w:eastAsia="zh-CN"/>
              </w:rPr>
              <w:t>响应</w:t>
            </w:r>
            <w:r>
              <w:t xml:space="preserve">人应按下列规定提供业绩证明资料： </w:t>
            </w:r>
          </w:p>
          <w:p>
            <w:pPr>
              <w:pStyle w:val="2"/>
              <w:adjustRightInd w:val="0"/>
              <w:snapToGrid w:val="0"/>
              <w:spacing w:line="240" w:lineRule="auto"/>
              <w:ind w:firstLine="210" w:firstLineChars="100"/>
            </w:pPr>
            <w:r>
              <w:t>（1）业绩合同可提供包含项目名称、合同总金额、合同签订时间、合同供货范围、合同签字盖章页等关键内容的关键页的扫描件；</w:t>
            </w:r>
          </w:p>
          <w:p>
            <w:pPr>
              <w:pStyle w:val="2"/>
              <w:adjustRightInd w:val="0"/>
              <w:snapToGrid w:val="0"/>
              <w:spacing w:line="240" w:lineRule="auto"/>
              <w:jc w:val="both"/>
              <w:rPr>
                <w:rFonts w:hint="default"/>
                <w:highlight w:val="none"/>
                <w:lang w:val="en-US" w:eastAsia="zh-CN"/>
              </w:rPr>
            </w:pPr>
            <w:r>
              <w:rPr>
                <w:rFonts w:hint="eastAsia"/>
                <w:lang w:val="en-US" w:eastAsia="zh-CN"/>
              </w:rPr>
              <w:t>2</w:t>
            </w:r>
            <w:r>
              <w:t>.以上涉及到的材料扫描件信息应完整或能充分反映评审因素。如均未能明确反映出</w:t>
            </w:r>
            <w:r>
              <w:rPr>
                <w:rFonts w:hint="eastAsia"/>
                <w:lang w:eastAsia="zh-CN"/>
              </w:rPr>
              <w:t>采购</w:t>
            </w:r>
            <w:r>
              <w:t>文件所要求的内容的 （如合同总金额等），应另附买方（或合同甲方）出具的证明资料</w:t>
            </w:r>
            <w:r>
              <w:rPr>
                <w:rFonts w:hint="eastAsia"/>
                <w:lang w:val="en-US" w:eastAsia="zh-CN"/>
              </w:rPr>
              <w:t>或对应项目开具的发票扫描件（不少于100万元）</w:t>
            </w:r>
            <w:r>
              <w:t>予以明确说明</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47" w:type="pct"/>
            <w:vMerge w:val="continue"/>
            <w:vAlign w:val="center"/>
          </w:tcPr>
          <w:p>
            <w:pPr>
              <w:pStyle w:val="2"/>
              <w:adjustRightInd w:val="0"/>
              <w:snapToGrid w:val="0"/>
              <w:rPr>
                <w:rFonts w:hint="eastAsia" w:ascii="宋体" w:hAnsi="宋体" w:eastAsia="宋体" w:cs="宋体"/>
                <w:sz w:val="21"/>
                <w:szCs w:val="21"/>
                <w:highlight w:val="none"/>
              </w:rPr>
            </w:pPr>
          </w:p>
        </w:tc>
        <w:tc>
          <w:tcPr>
            <w:tcW w:w="54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6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管理措施</w:t>
            </w:r>
          </w:p>
          <w:p>
            <w:pPr>
              <w:ind w:left="618"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highlight w:val="none"/>
                <w:lang w:val="en-US" w:eastAsia="zh-CN"/>
              </w:rPr>
              <w:t>施工项目质量保证目标明确，材料进场验收制度完善，针对项目实际提出合理、具体、严谨的成品保护措施、工序质量控制及自检、自控措施以及质量问题的防治措施，</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47" w:type="pct"/>
            <w:vMerge w:val="continue"/>
            <w:vAlign w:val="center"/>
          </w:tcPr>
          <w:p>
            <w:pPr>
              <w:pStyle w:val="2"/>
              <w:adjustRightInd w:val="0"/>
              <w:snapToGrid w:val="0"/>
              <w:rPr>
                <w:rFonts w:hint="eastAsia" w:ascii="宋体" w:hAnsi="宋体" w:eastAsia="宋体" w:cs="宋体"/>
                <w:sz w:val="21"/>
                <w:szCs w:val="21"/>
                <w:highlight w:val="none"/>
              </w:rPr>
            </w:pPr>
          </w:p>
        </w:tc>
        <w:tc>
          <w:tcPr>
            <w:tcW w:w="54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6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安装供货方案</w:t>
            </w:r>
          </w:p>
          <w:p>
            <w:pPr>
              <w:ind w:left="618" w:hanging="630" w:hangingChars="300"/>
              <w:jc w:val="center"/>
              <w:rPr>
                <w:rFonts w:hint="default"/>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安装</w:t>
            </w:r>
            <w:r>
              <w:rPr>
                <w:rFonts w:hint="eastAsia"/>
                <w:lang w:val="en-US" w:eastAsia="zh-CN"/>
              </w:rPr>
              <w:t>供货</w:t>
            </w:r>
            <w:r>
              <w:rPr>
                <w:rFonts w:hint="default"/>
                <w:lang w:val="en-US" w:eastAsia="zh-CN"/>
              </w:rPr>
              <w:t>方案合理,对项目关键技术主要施工艺有深入的表述,对重点、难点问题有合理化建议解决方案完整、经济、安全、切实可行,措施得力，</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47" w:type="pct"/>
            <w:vMerge w:val="continue"/>
            <w:vAlign w:val="center"/>
          </w:tcPr>
          <w:p>
            <w:pPr>
              <w:pStyle w:val="2"/>
              <w:adjustRightInd w:val="0"/>
              <w:snapToGrid w:val="0"/>
              <w:rPr>
                <w:rFonts w:hint="eastAsia" w:ascii="宋体" w:hAnsi="宋体" w:eastAsia="宋体" w:cs="宋体"/>
                <w:sz w:val="21"/>
                <w:szCs w:val="21"/>
                <w:highlight w:val="none"/>
              </w:rPr>
            </w:pPr>
          </w:p>
        </w:tc>
        <w:tc>
          <w:tcPr>
            <w:tcW w:w="54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63" w:type="pct"/>
            <w:vAlign w:val="center"/>
          </w:tcPr>
          <w:p>
            <w:pPr>
              <w:ind w:left="618" w:hanging="630" w:hangingChars="30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售后服务方案</w:t>
            </w:r>
          </w:p>
          <w:p>
            <w:pPr>
              <w:ind w:left="618" w:hanging="630" w:hangingChars="300"/>
              <w:jc w:val="center"/>
              <w:rPr>
                <w:rFonts w:hint="eastAsia"/>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4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根据投标人售后服务方案及增值服务进行综合评审。</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47" w:type="pct"/>
            <w:vMerge w:val="continue"/>
            <w:vAlign w:val="center"/>
          </w:tcPr>
          <w:p>
            <w:pPr>
              <w:pStyle w:val="2"/>
              <w:adjustRightInd w:val="0"/>
              <w:snapToGrid w:val="0"/>
              <w:rPr>
                <w:rFonts w:hint="eastAsia" w:ascii="宋体" w:hAnsi="宋体" w:eastAsia="宋体" w:cs="宋体"/>
                <w:sz w:val="21"/>
                <w:szCs w:val="21"/>
                <w:highlight w:val="none"/>
              </w:rPr>
            </w:pPr>
          </w:p>
        </w:tc>
        <w:tc>
          <w:tcPr>
            <w:tcW w:w="54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6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pPr>
              <w:ind w:left="618"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val="en-US" w:eastAsia="zh-CN"/>
              </w:rPr>
              <w:t>）</w:t>
            </w:r>
          </w:p>
        </w:tc>
        <w:tc>
          <w:tcPr>
            <w:tcW w:w="3146" w:type="pct"/>
            <w:vAlign w:val="center"/>
          </w:tcPr>
          <w:p>
            <w:pPr>
              <w:pStyle w:val="3"/>
              <w:rPr>
                <w:rFonts w:hint="default"/>
                <w:lang w:val="en-US" w:eastAsia="zh-CN"/>
              </w:rPr>
            </w:pPr>
            <w:r>
              <w:rPr>
                <w:rFonts w:hint="eastAsia" w:ascii="宋体" w:hAnsi="宋体" w:eastAsia="宋体" w:cs="宋体"/>
                <w:b w:val="0"/>
                <w:bCs w:val="0"/>
                <w:color w:val="auto"/>
                <w:kern w:val="0"/>
                <w:sz w:val="21"/>
                <w:szCs w:val="21"/>
                <w:highlight w:val="none"/>
                <w:u w:val="none"/>
                <w:lang w:val="en-US" w:eastAsia="zh-CN" w:bidi="ar"/>
              </w:rPr>
              <w:t>企业实力：</w:t>
            </w: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（可提供物流合同、协议书、自有货车证明等）、</w:t>
            </w: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（可提供自有设备照片、采购租赁合同协议书等）、</w:t>
            </w: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（可提供厂区、加工车间照片、房屋购买租赁合同协议书等）、</w:t>
            </w: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r>
              <w:rPr>
                <w:rFonts w:hint="eastAsia" w:ascii="宋体" w:hAnsi="宋体" w:eastAsia="宋体" w:cs="宋体"/>
                <w:b/>
                <w:bCs/>
                <w:color w:val="auto"/>
                <w:kern w:val="0"/>
                <w:sz w:val="21"/>
                <w:szCs w:val="21"/>
                <w:highlight w:val="none"/>
                <w:u w:val="none"/>
                <w:lang w:val="en-US" w:eastAsia="zh-CN" w:bidi="ar"/>
              </w:rPr>
              <w:t>5.原材料厂家合作情况</w:t>
            </w:r>
            <w:r>
              <w:rPr>
                <w:rFonts w:hint="eastAsia" w:ascii="宋体" w:hAnsi="宋体" w:eastAsia="宋体" w:cs="宋体"/>
                <w:color w:val="auto"/>
                <w:kern w:val="0"/>
                <w:sz w:val="21"/>
                <w:szCs w:val="21"/>
                <w:highlight w:val="none"/>
                <w:u w:val="none"/>
                <w:lang w:val="en-US" w:eastAsia="zh-CN" w:bidi="ar"/>
              </w:rPr>
              <w:t>（可提供铝型材、玻璃、五金等与知名品牌或本次采购范围品牌的合作协议、采购订单等证明文件），评委根据上述证明材料综合评审，优秀的得10-7分；一般的得7-4分，较差得基础分4分，未提供不得分。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47" w:type="pct"/>
            <w:vMerge w:val="continue"/>
            <w:vAlign w:val="center"/>
          </w:tcPr>
          <w:p>
            <w:pPr>
              <w:pStyle w:val="2"/>
              <w:adjustRightInd w:val="0"/>
              <w:snapToGrid w:val="0"/>
              <w:rPr>
                <w:rFonts w:hint="eastAsia" w:ascii="宋体" w:hAnsi="宋体" w:eastAsia="宋体" w:cs="宋体"/>
                <w:sz w:val="21"/>
                <w:szCs w:val="21"/>
                <w:highlight w:val="none"/>
              </w:rPr>
            </w:pPr>
          </w:p>
        </w:tc>
        <w:tc>
          <w:tcPr>
            <w:tcW w:w="54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6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样品评审</w:t>
            </w:r>
          </w:p>
          <w:p>
            <w:pPr>
              <w:pStyle w:val="6"/>
              <w:numPr>
                <w:ilvl w:val="0"/>
                <w:numId w:val="0"/>
              </w:numPr>
              <w:jc w:val="center"/>
              <w:rPr>
                <w:rFonts w:hint="default"/>
                <w:lang w:val="en-US" w:eastAsia="zh-CN"/>
              </w:rPr>
            </w:pPr>
            <w:r>
              <w:rPr>
                <w:rFonts w:hint="default" w:ascii="宋体" w:hAnsi="宋体" w:eastAsia="宋体" w:cs="宋体"/>
                <w:b w:val="0"/>
                <w:bCs w:val="0"/>
                <w:kern w:val="2"/>
                <w:sz w:val="21"/>
                <w:szCs w:val="21"/>
                <w:highlight w:val="none"/>
                <w:lang w:val="en-US" w:eastAsia="zh-CN" w:bidi="ar-SA"/>
              </w:rPr>
              <w:t>（满分 1</w:t>
            </w:r>
            <w:r>
              <w:rPr>
                <w:rFonts w:hint="eastAsia" w:ascii="宋体" w:hAnsi="宋体" w:eastAsia="宋体" w:cs="宋体"/>
                <w:b w:val="0"/>
                <w:bCs w:val="0"/>
                <w:kern w:val="2"/>
                <w:sz w:val="21"/>
                <w:szCs w:val="21"/>
                <w:highlight w:val="none"/>
                <w:lang w:val="en-US" w:eastAsia="zh-CN" w:bidi="ar-SA"/>
              </w:rPr>
              <w:t>0</w:t>
            </w:r>
            <w:r>
              <w:rPr>
                <w:rFonts w:hint="default" w:ascii="宋体" w:hAnsi="宋体" w:eastAsia="宋体" w:cs="宋体"/>
                <w:b w:val="0"/>
                <w:bCs w:val="0"/>
                <w:kern w:val="2"/>
                <w:sz w:val="21"/>
                <w:szCs w:val="21"/>
                <w:highlight w:val="none"/>
                <w:lang w:val="en-US" w:eastAsia="zh-CN" w:bidi="ar-SA"/>
              </w:rPr>
              <w:t xml:space="preserve"> 分）</w:t>
            </w:r>
          </w:p>
        </w:tc>
        <w:tc>
          <w:tcPr>
            <w:tcW w:w="3146" w:type="pc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供应商应在投标时提供所投品牌产品材料样品（</w:t>
            </w:r>
            <w:r>
              <w:rPr>
                <w:rFonts w:hint="eastAsia" w:ascii="宋体" w:hAnsi="宋体" w:eastAsia="宋体" w:cs="宋体"/>
                <w:b/>
                <w:bCs/>
                <w:sz w:val="21"/>
                <w:szCs w:val="21"/>
                <w:highlight w:val="none"/>
                <w:lang w:val="en-US" w:eastAsia="zh-CN"/>
              </w:rPr>
              <w:t>玻璃及铝型材</w:t>
            </w:r>
            <w:r>
              <w:rPr>
                <w:rFonts w:hint="eastAsia" w:ascii="宋体" w:hAnsi="宋体" w:eastAsia="宋体" w:cs="宋体"/>
                <w:sz w:val="21"/>
                <w:szCs w:val="21"/>
                <w:highlight w:val="none"/>
                <w:lang w:val="en-US" w:eastAsia="zh-CN"/>
              </w:rPr>
              <w:t>），包括本询比文件清单中所列门窗的材质小样，评审小组根据所提供产品材质小样进行评审，综合打分：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highlight w:val="none"/>
                <w:lang w:val="en-US" w:eastAsia="zh-CN"/>
              </w:rPr>
            </w:pPr>
            <w:r>
              <w:rPr>
                <w:rFonts w:hint="eastAsia"/>
                <w:lang w:val="en-US" w:eastAsia="zh-CN"/>
              </w:rPr>
              <w:t>原材料小样材质良好(满足采购清单及品牌要求)，材质样品介绍说明较为清晰的得</w:t>
            </w:r>
            <w:r>
              <w:rPr>
                <w:rFonts w:hint="eastAsia" w:ascii="宋体" w:hAnsi="宋体" w:eastAsia="宋体" w:cs="宋体"/>
                <w:sz w:val="21"/>
                <w:szCs w:val="21"/>
                <w:highlight w:val="none"/>
                <w:lang w:val="en-US" w:eastAsia="zh-CN"/>
              </w:rPr>
              <w:t>10-7分；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sz w:val="21"/>
                <w:szCs w:val="21"/>
                <w:highlight w:val="none"/>
                <w:lang w:val="en-US" w:eastAsia="zh-CN"/>
              </w:rPr>
            </w:pPr>
            <w:r>
              <w:rPr>
                <w:rFonts w:hint="eastAsia"/>
                <w:lang w:val="en-US" w:eastAsia="zh-CN"/>
              </w:rPr>
              <w:t>原材料小样材质一般，材质样品介绍说明较差的得</w:t>
            </w:r>
            <w:r>
              <w:rPr>
                <w:rFonts w:hint="eastAsia" w:ascii="宋体" w:hAnsi="宋体" w:eastAsia="宋体" w:cs="宋体"/>
                <w:sz w:val="21"/>
                <w:szCs w:val="21"/>
                <w:highlight w:val="none"/>
                <w:lang w:val="en-US" w:eastAsia="zh-CN"/>
              </w:rPr>
              <w:t>7-4分。提供样品未提供样品介绍说明得基础分4分。都</w:t>
            </w:r>
            <w:r>
              <w:rPr>
                <w:rFonts w:hint="eastAsia" w:ascii="宋体" w:hAnsi="宋体" w:eastAsia="宋体" w:cs="宋体"/>
                <w:color w:val="auto"/>
                <w:kern w:val="0"/>
                <w:sz w:val="21"/>
                <w:szCs w:val="21"/>
                <w:highlight w:val="none"/>
                <w:u w:val="none"/>
                <w:lang w:val="en-US" w:eastAsia="zh-CN" w:bidi="ar"/>
              </w:rPr>
              <w:t>未提供不得分。</w:t>
            </w:r>
          </w:p>
          <w:p>
            <w:pPr>
              <w:pStyle w:val="6"/>
              <w:numPr>
                <w:ilvl w:val="0"/>
                <w:numId w:val="0"/>
              </w:numPr>
              <w:ind w:firstLine="281" w:firstLineChars="100"/>
              <w:rPr>
                <w:rFonts w:hint="default"/>
                <w:lang w:val="en-US" w:eastAsia="zh-CN"/>
              </w:rPr>
            </w:pPr>
            <w:r>
              <w:rPr>
                <w:rFonts w:hint="eastAsia"/>
                <w:lang w:val="en-US" w:eastAsia="zh-CN"/>
              </w:rPr>
              <w:t>注：每份原材料小样应在递交时另外提交样品的介绍说明（附在响应文件其他说明处），应说明具体参数及品牌标签，不提供作否决其响应处理。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47" w:type="pct"/>
            <w:vMerge w:val="continue"/>
            <w:vAlign w:val="center"/>
          </w:tcPr>
          <w:p>
            <w:pPr>
              <w:pStyle w:val="2"/>
              <w:adjustRightInd w:val="0"/>
              <w:snapToGrid w:val="0"/>
              <w:rPr>
                <w:rFonts w:hint="eastAsia" w:ascii="宋体" w:hAnsi="宋体" w:eastAsia="宋体" w:cs="宋体"/>
                <w:sz w:val="21"/>
                <w:szCs w:val="21"/>
                <w:highlight w:val="none"/>
              </w:rPr>
            </w:pPr>
          </w:p>
        </w:tc>
        <w:tc>
          <w:tcPr>
            <w:tcW w:w="54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63" w:type="pct"/>
            <w:vAlign w:val="center"/>
          </w:tcPr>
          <w:p>
            <w:pPr>
              <w:pStyle w:val="2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pPr>
              <w:pStyle w:val="25"/>
              <w:ind w:left="0" w:leftChars="0" w:firstLine="0" w:firstLineChars="0"/>
              <w:jc w:val="center"/>
              <w:rPr>
                <w:rFonts w:hint="default"/>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46" w:type="pct"/>
            <w:vAlign w:val="center"/>
          </w:tcPr>
          <w:p>
            <w:pPr>
              <w:snapToGrid w:val="0"/>
              <w:ind w:firstLine="210" w:firstLineChars="100"/>
              <w:jc w:val="left"/>
              <w:rPr>
                <w:rFonts w:hint="eastAsia" w:eastAsiaTheme="minorEastAsia"/>
                <w:lang w:eastAsia="zh-CN"/>
              </w:rPr>
            </w:pPr>
            <w:r>
              <w:rPr>
                <w:rFonts w:hint="eastAsia"/>
                <w:b w:val="0"/>
                <w:bCs w:val="0"/>
                <w:lang w:val="en-US" w:eastAsia="zh-CN"/>
              </w:rPr>
              <w:t>1、</w:t>
            </w:r>
            <w:r>
              <w:rPr>
                <w:rFonts w:hint="eastAsia"/>
              </w:rPr>
              <w:t>质量管理体系认证证书（ISO9001）、环境管理体系认证证书（ISO14001）、职业健康安全管理体系认证证书（GB/T28001或GB/T45001（IS045001））三标管理体系认证</w:t>
            </w:r>
            <w:r>
              <w:rPr>
                <w:rFonts w:hint="eastAsia"/>
                <w:lang w:eastAsia="zh-CN"/>
              </w:rPr>
              <w:t>，</w:t>
            </w:r>
            <w:r>
              <w:rPr>
                <w:rFonts w:hint="eastAsia"/>
                <w:lang w:val="en-US" w:eastAsia="zh-CN"/>
              </w:rPr>
              <w:t>每个证书得2分，满分6分</w:t>
            </w:r>
            <w:r>
              <w:rPr>
                <w:rFonts w:hint="eastAsia"/>
                <w:lang w:eastAsia="zh-CN"/>
              </w:rPr>
              <w:t>；</w:t>
            </w:r>
          </w:p>
          <w:p>
            <w:pPr>
              <w:pStyle w:val="2"/>
              <w:numPr>
                <w:ilvl w:val="0"/>
                <w:numId w:val="0"/>
              </w:numPr>
              <w:ind w:left="0" w:leftChars="0" w:firstLine="210" w:firstLineChars="100"/>
              <w:rPr>
                <w:rFonts w:hint="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2、有建设部颁发建筑门窗节能性能标识证书，得</w:t>
            </w:r>
            <w:r>
              <w:rPr>
                <w:rFonts w:hint="eastAsia" w:cstheme="minorBidi"/>
                <w:color w:val="auto"/>
                <w:kern w:val="2"/>
                <w:sz w:val="21"/>
                <w:szCs w:val="24"/>
                <w:lang w:val="en-US" w:eastAsia="zh-CN" w:bidi="ar-SA"/>
              </w:rPr>
              <w:t>2</w:t>
            </w:r>
            <w:r>
              <w:rPr>
                <w:rFonts w:hint="eastAsia" w:asciiTheme="minorHAnsi" w:hAnsiTheme="minorHAnsi" w:eastAsiaTheme="minorEastAsia" w:cstheme="minorBidi"/>
                <w:color w:val="auto"/>
                <w:kern w:val="2"/>
                <w:sz w:val="21"/>
                <w:szCs w:val="24"/>
                <w:lang w:val="en-US" w:eastAsia="zh-CN" w:bidi="ar-SA"/>
              </w:rPr>
              <w:t>分；</w:t>
            </w:r>
          </w:p>
          <w:p>
            <w:pPr>
              <w:pStyle w:val="2"/>
              <w:numPr>
                <w:ilvl w:val="0"/>
                <w:numId w:val="0"/>
              </w:numPr>
              <w:ind w:left="0" w:leftChars="0" w:firstLine="210" w:firstLineChars="100"/>
              <w:rPr>
                <w:rFonts w:hint="default"/>
                <w:lang w:val="en-US" w:eastAsia="zh-CN"/>
              </w:rPr>
            </w:pPr>
            <w:r>
              <w:rPr>
                <w:rFonts w:hint="eastAsia"/>
                <w:color w:val="auto"/>
                <w:highlight w:val="none"/>
                <w:lang w:val="en-US" w:eastAsia="zh-CN"/>
              </w:rPr>
              <w:t>3、免费质保期：响应人承诺满足采购文件免费质保期二年要求；得1分，另外供应商每承诺增加一年免费质保期（满 12 个月）加0.5分，满分2分。</w:t>
            </w:r>
          </w:p>
        </w:tc>
      </w:tr>
    </w:tbl>
    <w:p>
      <w:pPr>
        <w:pStyle w:val="2"/>
        <w:rPr>
          <w:rFonts w:ascii="Times New Roman" w:hAnsi="Times New Roman" w:eastAsia="黑体" w:cs="Times New Roman"/>
          <w:bCs/>
          <w:sz w:val="24"/>
          <w:szCs w:val="32"/>
          <w:highlight w:val="none"/>
        </w:rPr>
      </w:pPr>
    </w:p>
    <w:p>
      <w:pPr>
        <w:pStyle w:val="3"/>
      </w:pPr>
    </w:p>
    <w:p>
      <w:pPr>
        <w:pStyle w:val="3"/>
        <w:rPr>
          <w:highlight w:val="none"/>
        </w:rPr>
      </w:pPr>
    </w:p>
    <w:p>
      <w:pPr>
        <w:pStyle w:val="4"/>
      </w:pPr>
    </w:p>
    <w:p>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评审委员会对通过初步评审的投标人的商务及技术文件进行评分，按得分由高到低排序确定前N名。对排名前N名的投标人的报价文件进行评审，按照评标价由低到高的顺序推荐3名成交候选人。</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pPr>
        <w:rPr>
          <w:rFonts w:ascii="Times New Roman" w:hAnsi="Times New Roman" w:eastAsia="宋体" w:cs="Times New Roman"/>
        </w:rPr>
      </w:pPr>
      <w:r>
        <w:rPr>
          <w:rFonts w:ascii="Times New Roman" w:hAnsi="Times New Roman" w:eastAsia="宋体" w:cs="Times New Roman"/>
        </w:rPr>
        <w:br w:type="page"/>
      </w:r>
    </w:p>
    <w:p>
      <w:pPr>
        <w:pStyle w:val="5"/>
        <w:spacing w:before="312" w:after="312"/>
        <w:rPr>
          <w:rFonts w:ascii="Times New Roman" w:hAnsi="Times New Roman" w:eastAsia="宋体" w:cs="Times New Roman"/>
        </w:rPr>
      </w:pPr>
      <w:r>
        <w:rPr>
          <w:rFonts w:ascii="Times New Roman" w:hAnsi="Times New Roman" w:eastAsia="宋体" w:cs="Times New Roman"/>
        </w:rPr>
        <w:t>合同内容</w:t>
      </w:r>
      <w:bookmarkEnd w:id="142"/>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bookmarkStart w:id="143" w:name="_bookmark259"/>
      <w:bookmarkEnd w:id="143"/>
      <w:bookmarkStart w:id="144" w:name="_Toc11084"/>
      <w:bookmarkStart w:id="145" w:name="_Toc27778"/>
      <w:bookmarkStart w:id="146" w:name="_Toc22022"/>
      <w:bookmarkStart w:id="147" w:name="_Toc19416"/>
      <w:bookmarkStart w:id="148" w:name="_Toc189369362"/>
      <w:bookmarkStart w:id="149" w:name="_Toc15683"/>
      <w:r>
        <w:rPr>
          <w:rFonts w:hint="eastAsia" w:ascii="宋体" w:hAnsi="宋体" w:cs="宋体"/>
          <w:b/>
          <w:color w:val="000000"/>
          <w:kern w:val="0"/>
          <w:sz w:val="30"/>
          <w:szCs w:val="30"/>
        </w:rPr>
        <w:br w:type="page"/>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风险、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2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1.进度款支付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合同内的工程款按月支付进度款，支付经验收合格（计量标准：按单扇门、窗安装完成计量）的已核定工程价款的80%；工程竣工决算初审后付至决算初审金额的90%，审计定案表出具后付至审计定案价的97%。每期付款前乙方应及时按甲方要求办理支付手续，提供甲方财务部门认可的发票（13%），否则甲方有权拒绝付款。甲方在确认每期支付手续齐全及收到对应发票后与次月20日前支付当期货款。每期工程款支付和质保金退还均应为无息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（3）行政主管部门出具正式工程审计报告、缺陷责任期满并经使用单位确认无质量缺陷后付至审计定案价的100%。</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（4）甲方货款可采用电子转账等合理方式支付。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p>
    <w:p>
      <w:pPr>
        <w:pStyle w:val="2"/>
        <w:rPr>
          <w:rFonts w:hint="eastAsia" w:ascii="仿宋_GB2312" w:hAnsi="仿宋_GB2312" w:eastAsia="仿宋_GB2312" w:cs="仿宋_GB2312"/>
          <w:color w:val="auto"/>
          <w:sz w:val="28"/>
          <w:szCs w:val="28"/>
          <w:lang w:val="en-US" w:eastAsia="zh-CN"/>
        </w:rPr>
      </w:pPr>
    </w:p>
    <w:p>
      <w:pPr>
        <w:pStyle w:val="3"/>
        <w:rPr>
          <w:rFonts w:hint="eastAsia" w:ascii="仿宋_GB2312" w:hAnsi="仿宋_GB2312" w:eastAsia="仿宋_GB2312" w:cs="仿宋_GB2312"/>
          <w:color w:val="auto"/>
          <w:sz w:val="28"/>
          <w:szCs w:val="28"/>
          <w:lang w:val="en-US" w:eastAsia="zh-CN"/>
        </w:rPr>
      </w:pPr>
    </w:p>
    <w:p>
      <w:pPr>
        <w:pStyle w:val="4"/>
        <w:rPr>
          <w:rFonts w:hint="eastAsia" w:ascii="仿宋_GB2312" w:hAnsi="仿宋_GB2312" w:eastAsia="仿宋_GB2312" w:cs="仿宋_GB2312"/>
          <w:color w:val="auto"/>
          <w:sz w:val="28"/>
          <w:szCs w:val="28"/>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w:t>
      </w:r>
      <w:r>
        <w:rPr>
          <w:rFonts w:hint="eastAsia" w:ascii="仿宋_GB2312" w:hAnsi="仿宋_GB2312" w:eastAsia="仿宋_GB2312" w:cs="仿宋_GB2312"/>
          <w:color w:val="auto"/>
          <w:sz w:val="28"/>
          <w:szCs w:val="28"/>
          <w:lang w:val="en-US" w:eastAsia="zh-CN"/>
        </w:rPr>
        <w:t>做</w:t>
      </w:r>
      <w:r>
        <w:rPr>
          <w:rFonts w:hint="eastAsia" w:ascii="仿宋_GB2312" w:hAnsi="仿宋_GB2312" w:eastAsia="仿宋_GB2312" w:cs="仿宋_GB2312"/>
          <w:color w:val="auto"/>
          <w:sz w:val="28"/>
          <w:szCs w:val="28"/>
        </w:rPr>
        <w:t>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w:t>
      </w:r>
      <w:r>
        <w:rPr>
          <w:rFonts w:hint="eastAsia" w:ascii="仿宋_GB2312" w:hAnsi="仿宋_GB2312" w:eastAsia="仿宋_GB2312" w:cs="仿宋_GB2312"/>
          <w:color w:val="auto"/>
          <w:sz w:val="28"/>
          <w:szCs w:val="28"/>
          <w:lang w:val="en-US" w:eastAsia="zh-CN"/>
        </w:rPr>
        <w:t>材料供应、运输、卸货、安装等</w:t>
      </w:r>
      <w:r>
        <w:rPr>
          <w:rFonts w:hint="eastAsia" w:ascii="仿宋_GB2312" w:hAnsi="仿宋_GB2312" w:eastAsia="仿宋_GB2312" w:cs="仿宋_GB2312"/>
          <w:color w:val="auto"/>
          <w:sz w:val="28"/>
          <w:szCs w:val="28"/>
        </w:rPr>
        <w:t>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pStyle w:val="2"/>
        <w:widowControl w:val="0"/>
        <w:numPr>
          <w:ilvl w:val="0"/>
          <w:numId w:val="0"/>
        </w:numPr>
        <w:spacing w:after="120"/>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pStyle w:val="25"/>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25"/>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lang w:val="en-US" w:eastAsia="zh-CN"/>
        </w:rPr>
      </w:pPr>
      <w:r>
        <w:rPr>
          <w:rFonts w:hint="eastAsia"/>
          <w:color w:val="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lang w:val="en-US" w:eastAsia="zh-CN"/>
        </w:rPr>
      </w:pPr>
      <w:r>
        <w:rPr>
          <w:rFonts w:hint="eastAsia"/>
          <w:color w:val="auto"/>
          <w:lang w:val="en-US" w:eastAsia="zh-CN"/>
        </w:rPr>
        <w:t xml:space="preserve">     </w:t>
      </w: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bookmarkEnd w:id="144"/>
    <w:bookmarkEnd w:id="145"/>
    <w:bookmarkEnd w:id="146"/>
    <w:bookmarkEnd w:id="147"/>
    <w:bookmarkEnd w:id="148"/>
    <w:bookmarkEnd w:id="149"/>
    <w:p>
      <w:pPr>
        <w:pStyle w:val="5"/>
        <w:spacing w:before="312" w:after="312"/>
        <w:rPr>
          <w:rFonts w:ascii="Times New Roman" w:hAnsi="Times New Roman" w:eastAsia="宋体" w:cs="Times New Roman"/>
        </w:rPr>
      </w:pPr>
      <w:bookmarkStart w:id="150" w:name="_Toc31285"/>
      <w:r>
        <w:rPr>
          <w:rFonts w:ascii="Times New Roman" w:hAnsi="Times New Roman" w:eastAsia="宋体" w:cs="Times New Roman"/>
        </w:rPr>
        <w:t>采购需求及清单</w:t>
      </w:r>
      <w:bookmarkEnd w:id="150"/>
    </w:p>
    <w:p>
      <w:pPr>
        <w:keepNext w:val="0"/>
        <w:keepLines w:val="0"/>
        <w:widowControl/>
        <w:suppressLineNumbers w:val="0"/>
        <w:spacing w:line="360" w:lineRule="auto"/>
        <w:jc w:val="left"/>
      </w:pPr>
      <w:bookmarkStart w:id="151" w:name="_Toc27821_WPSOffice_Level2"/>
      <w:bookmarkStart w:id="152" w:name="_Toc10970_WPSOffice_Level1"/>
      <w:bookmarkStart w:id="153" w:name="_Toc28814_WPSOffice_Level2"/>
      <w:r>
        <w:rPr>
          <w:rFonts w:hint="eastAsia" w:ascii="宋体" w:hAnsi="宋体" w:eastAsia="宋体" w:cs="宋体"/>
          <w:b/>
          <w:bCs/>
          <w:color w:val="000000"/>
          <w:kern w:val="0"/>
          <w:sz w:val="28"/>
          <w:szCs w:val="28"/>
          <w:lang w:val="en-US" w:eastAsia="zh-CN" w:bidi="ar"/>
        </w:rPr>
        <w:t xml:space="preserve">一、供货要求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1.说明 </w:t>
      </w:r>
    </w:p>
    <w:p>
      <w:pPr>
        <w:keepNext w:val="0"/>
        <w:keepLines w:val="0"/>
        <w:widowControl/>
        <w:suppressLineNumbers w:val="0"/>
        <w:spacing w:line="360" w:lineRule="auto"/>
        <w:jc w:val="left"/>
        <w:rPr>
          <w:rFonts w:hint="default"/>
          <w:lang w:val="en-US"/>
        </w:rPr>
      </w:pPr>
      <w:r>
        <w:rPr>
          <w:rFonts w:hint="eastAsia" w:ascii="宋体" w:hAnsi="宋体" w:eastAsia="宋体" w:cs="宋体"/>
          <w:color w:val="000000"/>
          <w:kern w:val="0"/>
          <w:sz w:val="24"/>
          <w:szCs w:val="24"/>
          <w:lang w:val="en-US" w:eastAsia="zh-CN" w:bidi="ar"/>
        </w:rPr>
        <w:t xml:space="preserve">1.1 本供货要求提出的技术参数及要求为最低限度的技术要求，并未对一切技术细节做出规定，也未充分引述有关标准和规范条文，供应商应保证提供符合或优于本技术要求的产品。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1.2 供应商应自行踏勘本项目现场，核对货物安装现场的土建尺寸等可能影响后期安装的全部因素，确保所投货物满足现场实际安装要求。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1.3 采购人保留在签订合同之前对本技术规格及要求进行补充和修改的权利，成交人应予以配合。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2.生产、安装要求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2.1 生产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（1）满足 GB/T8478、JGJ/T214、JGJ103 和 JGJ/T205 等相关现行的规范和规程要求。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（2）所有门窗应按照系统门窗工艺要求生产制作，原厂整窗生产、整窗运输、整窗安装，禁止外发代加工和工地现场制作。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（3）五金件安装外露螺钉必须采用 SUS304 不锈钢螺钉，防止锈蚀，自攻钉四周应均匀抹上密封胶后方可拧紧，防止渗水。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（4）铝合金门窗框、扇在组角前必须在断面上打防水密封胶。外框采用销钉注胶角码工艺，使用双组份组角胶。</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（5）铝合金门窗成品接缝平整，无错缝，边角整齐，无毛刺，表面无破损、划痕。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（6）推拉窗接口直角连接。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2.2 安装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（1）安装工艺应满足现行国家和行业的有关规范要求。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（2）门窗框加工前应对预留洞口尺寸进行复核。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（3）窗框不得与水泥砂浆直接接触，门窗框与墙体之间的缝隙采用发泡聚氨酯高效保温材料填实，其洞口周边缝隙内外两侧采用 995 硅酮系列建筑胶密封，不得采用普通水泥砂浆填缝。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（4）门窗需拼樘料连接时，需要先在窗外沿脚与拼樘料脚部抹密封胶后再拼接，拼樘料必须直接固定在洞口墙体上。 </w:t>
      </w:r>
    </w:p>
    <w:p>
      <w:pPr>
        <w:keepNext w:val="0"/>
        <w:keepLines w:val="0"/>
        <w:widowControl/>
        <w:suppressLineNumbers w:val="0"/>
        <w:spacing w:line="360" w:lineRule="auto"/>
        <w:jc w:val="left"/>
        <w:rPr>
          <w:rFonts w:hint="default"/>
          <w:lang w:val="en-US"/>
        </w:rPr>
      </w:pPr>
      <w:r>
        <w:rPr>
          <w:rFonts w:hint="eastAsia" w:ascii="宋体" w:hAnsi="宋体" w:eastAsia="宋体" w:cs="宋体"/>
          <w:color w:val="000000"/>
          <w:kern w:val="0"/>
          <w:sz w:val="24"/>
          <w:szCs w:val="24"/>
          <w:lang w:val="en-US" w:eastAsia="zh-CN" w:bidi="ar"/>
        </w:rPr>
        <w:t>（5）密封胶的施工必须严格遵照施工工艺进行。夜晚光照不足，雨天缝内潮湿，均不能打胶；打胶温度应在指定的温度范围，打胶前要使得打胶面干燥、清洁无尘。</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3.采购人特殊要求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3.1 成交人签订合同后，正式生产前，按采购文件和响应情况提供样品，经采购人确认后封样。采购人有权要求其送至第三方检测机构检测，检测费用由成交人支付。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3.2 逾期不送检、送检产品与投标产品不一致或送检产品不符合招标文件及投标文件要求的，视为成交人未按采购文件要求履约。采购人有权将项目情况报请监督管理部门依照相关规定进行处理，由此产生的后果由成交人自行承担。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3.3 供货安装应符合相关安全规定和各项物理技术性能(抗风压性能、水密性、气密性、保温性能、采光性能、空气声隔声性能、侧推力、强度、防火、防侧雷等)及中空玻璃三性检测(露点、可见光透射比、遮阳系数)的见证取样检测，安装完毕后应委托有资质的检测机构进行现场检验，检验不合格的，见证取样检测及安装完毕后现场检验费用 由成交人承担。门窗安装过程中，采购人、监理单位及施工单位将按规定比例进行破坏性检验，以判定型材等的符合性。对判定结果有争议的，可将样品送有资质的检测单位检测。检验不合格的，检测费用由成交人承担。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3.4 型材、玻璃、五金件、胶条、发泡剂、密封胶、毛条等材料，进场安装前须提供符合要求的产品合格证件及质保文件等资料，成交人所使用的铝型材在合同签订前须向采购人提供生产厂家针对本项目的授权书。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3.5 玻璃破损及五金配件缺失的，成交人必须在 10 日内补齐供货。</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3.6 质保期不少于 2 年，质保期内，在接到维修通知后必须在两个工作日内进行维修，否则采购人有权安排其他单位维修，所有费用从质保金中扣除。 </w:t>
      </w:r>
    </w:p>
    <w:p>
      <w:pPr>
        <w:keepNext w:val="0"/>
        <w:keepLines w:val="0"/>
        <w:widowControl/>
        <w:suppressLineNumbers w:val="0"/>
        <w:spacing w:line="360" w:lineRule="auto"/>
        <w:jc w:val="left"/>
      </w:pPr>
      <w:r>
        <w:rPr>
          <w:rFonts w:hint="eastAsia" w:ascii="宋体" w:hAnsi="宋体" w:eastAsia="宋体" w:cs="宋体"/>
          <w:b/>
          <w:bCs/>
          <w:color w:val="000000"/>
          <w:kern w:val="0"/>
          <w:sz w:val="28"/>
          <w:szCs w:val="28"/>
          <w:lang w:val="en-US" w:eastAsia="zh-CN" w:bidi="ar"/>
        </w:rPr>
        <w:t xml:space="preserve">二、招标清单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详见附件清单。 </w:t>
      </w:r>
    </w:p>
    <w:p>
      <w:pPr>
        <w:keepNext w:val="0"/>
        <w:keepLines w:val="0"/>
        <w:widowControl/>
        <w:numPr>
          <w:ilvl w:val="0"/>
          <w:numId w:val="7"/>
        </w:numPr>
        <w:suppressLineNumbers w:val="0"/>
        <w:spacing w:line="360" w:lineRule="auto"/>
        <w:jc w:val="left"/>
        <w:rPr>
          <w:rFonts w:hint="eastAsia" w:ascii="宋体" w:hAnsi="宋体" w:eastAsia="宋体" w:cs="宋体"/>
          <w:b/>
          <w:bCs/>
          <w:color w:val="000000"/>
          <w:kern w:val="0"/>
          <w:sz w:val="28"/>
          <w:szCs w:val="28"/>
          <w:highlight w:val="yellow"/>
          <w:lang w:val="en-US" w:eastAsia="zh-CN" w:bidi="ar"/>
        </w:rPr>
      </w:pPr>
      <w:r>
        <w:rPr>
          <w:rFonts w:hint="eastAsia" w:ascii="宋体" w:hAnsi="宋体" w:eastAsia="宋体" w:cs="宋体"/>
          <w:b/>
          <w:bCs/>
          <w:color w:val="000000"/>
          <w:kern w:val="0"/>
          <w:sz w:val="28"/>
          <w:szCs w:val="28"/>
          <w:highlight w:val="yellow"/>
          <w:lang w:val="en-US" w:eastAsia="zh-CN" w:bidi="ar"/>
        </w:rPr>
        <w:t>品牌要求</w:t>
      </w:r>
    </w:p>
    <w:p>
      <w:pPr>
        <w:pStyle w:val="6"/>
        <w:numPr>
          <w:ilvl w:val="0"/>
          <w:numId w:val="0"/>
        </w:numPr>
        <w:ind w:left="417" w:leftChars="0"/>
        <w:jc w:val="center"/>
        <w:rPr>
          <w:rFonts w:hint="default"/>
          <w:lang w:val="en-US" w:eastAsia="zh-CN"/>
        </w:rPr>
      </w:pPr>
      <w:r>
        <w:rPr>
          <w:rFonts w:hint="eastAsia" w:ascii="宋体" w:hAnsi="宋体" w:eastAsia="宋体" w:cs="宋体"/>
          <w:b/>
          <w:bCs/>
          <w:color w:val="000000"/>
          <w:kern w:val="0"/>
          <w:sz w:val="28"/>
          <w:szCs w:val="28"/>
          <w:lang w:val="en-US" w:eastAsia="zh-CN" w:bidi="ar"/>
        </w:rPr>
        <w:t>品牌要求</w:t>
      </w:r>
    </w:p>
    <w:p>
      <w:pPr>
        <w:rPr>
          <w:rFonts w:hint="default"/>
          <w:lang w:val="en-US" w:eastAsia="zh-CN"/>
        </w:rPr>
      </w:pPr>
    </w:p>
    <w:p>
      <w:pPr>
        <w:jc w:val="center"/>
        <w:rPr>
          <w:rFonts w:hint="default"/>
          <w:lang w:val="en-US" w:eastAsia="zh-CN"/>
        </w:rPr>
      </w:pPr>
      <w:r>
        <w:rPr>
          <w:rFonts w:hint="default"/>
          <w:lang w:val="en-US" w:eastAsia="zh-CN"/>
        </w:rPr>
        <w:drawing>
          <wp:inline distT="0" distB="0" distL="114300" distR="114300">
            <wp:extent cx="5277485" cy="3684905"/>
            <wp:effectExtent l="0" t="0" r="5715" b="10795"/>
            <wp:docPr id="10" name="图片 10" descr="171990682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19906824902"/>
                    <pic:cNvPicPr>
                      <a:picLocks noChangeAspect="1"/>
                    </pic:cNvPicPr>
                  </pic:nvPicPr>
                  <pic:blipFill>
                    <a:blip r:embed="rId16"/>
                    <a:stretch>
                      <a:fillRect/>
                    </a:stretch>
                  </pic:blipFill>
                  <pic:spPr>
                    <a:xfrm>
                      <a:off x="0" y="0"/>
                      <a:ext cx="5277485" cy="3684905"/>
                    </a:xfrm>
                    <a:prstGeom prst="rect">
                      <a:avLst/>
                    </a:prstGeom>
                  </pic:spPr>
                </pic:pic>
              </a:graphicData>
            </a:graphic>
          </wp:inline>
        </w:drawing>
      </w:r>
    </w:p>
    <w:p>
      <w:pPr>
        <w:keepNext w:val="0"/>
        <w:keepLines w:val="0"/>
        <w:widowControl/>
        <w:suppressLineNumbers w:val="0"/>
        <w:spacing w:line="360" w:lineRule="auto"/>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四：项目地点</w:t>
      </w:r>
    </w:p>
    <w:p>
      <w:pPr>
        <w:pStyle w:val="2"/>
        <w:rPr>
          <w:rFonts w:hint="default"/>
          <w:b w:val="0"/>
          <w:bCs w:val="0"/>
          <w:lang w:val="en-US" w:eastAsia="zh-CN"/>
        </w:rPr>
      </w:pPr>
      <w:r>
        <w:rPr>
          <w:rFonts w:hint="eastAsia" w:ascii="宋体" w:hAnsi="宋体" w:eastAsia="宋体" w:cs="宋体"/>
          <w:b w:val="0"/>
          <w:bCs w:val="0"/>
          <w:color w:val="000000"/>
          <w:kern w:val="0"/>
          <w:sz w:val="28"/>
          <w:szCs w:val="28"/>
          <w:lang w:val="en-US" w:eastAsia="zh-CN" w:bidi="ar"/>
        </w:rPr>
        <w:t>标段一：太白岛服务区</w:t>
      </w:r>
    </w:p>
    <w:p>
      <w:pPr>
        <w:pStyle w:val="2"/>
        <w:rPr>
          <w:rFonts w:hint="default"/>
          <w:b w:val="0"/>
          <w:bCs w:val="0"/>
          <w:lang w:val="en-US" w:eastAsia="zh-CN"/>
        </w:rPr>
      </w:pPr>
      <w:r>
        <w:rPr>
          <w:rFonts w:hint="eastAsia" w:ascii="宋体" w:hAnsi="宋体" w:eastAsia="宋体" w:cs="宋体"/>
          <w:b w:val="0"/>
          <w:bCs w:val="0"/>
          <w:color w:val="000000"/>
          <w:kern w:val="0"/>
          <w:sz w:val="28"/>
          <w:szCs w:val="28"/>
          <w:lang w:val="en-US" w:eastAsia="zh-CN" w:bidi="ar"/>
        </w:rPr>
        <w:t>标段二：颍上服务区</w:t>
      </w:r>
    </w:p>
    <w:p>
      <w:pPr>
        <w:pStyle w:val="2"/>
        <w:rPr>
          <w:rFonts w:hint="default"/>
          <w:b w:val="0"/>
          <w:bCs w:val="0"/>
          <w:lang w:val="en-US" w:eastAsia="zh-CN"/>
        </w:rPr>
      </w:pPr>
      <w:r>
        <w:rPr>
          <w:rFonts w:hint="eastAsia" w:ascii="宋体" w:hAnsi="宋体" w:eastAsia="宋体" w:cs="宋体"/>
          <w:b w:val="0"/>
          <w:bCs w:val="0"/>
          <w:color w:val="000000"/>
          <w:kern w:val="0"/>
          <w:sz w:val="28"/>
          <w:szCs w:val="28"/>
          <w:lang w:val="en-US" w:eastAsia="zh-CN" w:bidi="ar"/>
        </w:rPr>
        <w:t>标段三：南陵服务区</w:t>
      </w:r>
    </w:p>
    <w:p>
      <w:pPr>
        <w:pStyle w:val="2"/>
        <w:rPr>
          <w:rFonts w:hint="default"/>
          <w:b w:val="0"/>
          <w:bCs w:val="0"/>
          <w:lang w:val="en-US" w:eastAsia="zh-CN"/>
        </w:rPr>
      </w:pPr>
      <w:r>
        <w:rPr>
          <w:rFonts w:hint="eastAsia" w:ascii="宋体" w:hAnsi="宋体" w:eastAsia="宋体" w:cs="宋体"/>
          <w:b w:val="0"/>
          <w:bCs w:val="0"/>
          <w:color w:val="000000"/>
          <w:kern w:val="0"/>
          <w:sz w:val="28"/>
          <w:szCs w:val="28"/>
          <w:lang w:val="en-US" w:eastAsia="zh-CN" w:bidi="ar"/>
        </w:rPr>
        <w:t>标段四：呈坎服务区东侧</w:t>
      </w:r>
    </w:p>
    <w:p>
      <w:pPr>
        <w:pStyle w:val="2"/>
        <w:rPr>
          <w:rFonts w:hint="default"/>
          <w:b w:val="0"/>
          <w:bCs w:val="0"/>
          <w:lang w:val="en-US" w:eastAsia="zh-CN"/>
        </w:rPr>
      </w:pPr>
      <w:r>
        <w:rPr>
          <w:rFonts w:hint="eastAsia" w:ascii="宋体" w:hAnsi="宋体" w:eastAsia="宋体" w:cs="宋体"/>
          <w:b w:val="0"/>
          <w:bCs w:val="0"/>
          <w:color w:val="000000"/>
          <w:kern w:val="0"/>
          <w:sz w:val="28"/>
          <w:szCs w:val="28"/>
          <w:lang w:val="en-US" w:eastAsia="zh-CN" w:bidi="ar"/>
        </w:rPr>
        <w:t>标段五：呈坎服务区西侧</w:t>
      </w:r>
    </w:p>
    <w:p>
      <w:pPr>
        <w:keepNext w:val="0"/>
        <w:keepLines w:val="0"/>
        <w:widowControl/>
        <w:suppressLineNumbers w:val="0"/>
        <w:spacing w:line="360" w:lineRule="auto"/>
        <w:jc w:val="left"/>
      </w:pPr>
      <w:r>
        <w:rPr>
          <w:rFonts w:hint="eastAsia" w:ascii="宋体" w:hAnsi="宋体" w:eastAsia="宋体" w:cs="宋体"/>
          <w:b/>
          <w:bCs/>
          <w:color w:val="000000"/>
          <w:kern w:val="0"/>
          <w:sz w:val="28"/>
          <w:szCs w:val="28"/>
          <w:lang w:val="en-US" w:eastAsia="zh-CN" w:bidi="ar"/>
        </w:rPr>
        <w:t xml:space="preserve">四、其他要求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1.在工程完工验收前应 100%全面进行现场淋水试验，费用由成交人自行承担。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成交人在生产前应与采购人、监理单位、施工总包单位开会协商如何确定实际洞口尺寸的方案，并有会议记录，对洞口尺寸进行现场测量，按经确认后的尺寸进行设计和生产。如实际洞口尺寸与招标尺寸有偏差，采购人不会增加任何费用给成交人。结合总包合同，明确窗洞粉刷、固定片开槽及补平应与总包明确。在施工过程中，如发生破坏建筑墙体、其它成品半成品，成交人须给予赔偿。 </w:t>
      </w:r>
    </w:p>
    <w:p>
      <w:pPr>
        <w:keepNext w:val="0"/>
        <w:keepLines w:val="0"/>
        <w:widowControl/>
        <w:suppressLineNumbers w:val="0"/>
        <w:spacing w:line="360" w:lineRule="auto"/>
        <w:jc w:val="left"/>
        <w:rPr>
          <w:b/>
          <w:bCs/>
        </w:rPr>
      </w:pPr>
      <w:r>
        <w:rPr>
          <w:rFonts w:hint="eastAsia" w:ascii="宋体" w:hAnsi="宋体" w:eastAsia="宋体" w:cs="宋体"/>
          <w:b/>
          <w:bCs/>
          <w:color w:val="000000"/>
          <w:kern w:val="0"/>
          <w:sz w:val="24"/>
          <w:szCs w:val="24"/>
          <w:lang w:val="en-US" w:eastAsia="zh-CN" w:bidi="ar"/>
        </w:rPr>
        <w:t xml:space="preserve">3.采购人提供的门窗数量、规格及相关的技术标准仅供参考，由成交人自行勘察现场并结合施工图纸进行复核，成交后进行优化、补充设计。优化、补充设计须经采购人及原设计单位书面确认，且产生的相关费用不做调整。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4.成交人自行保管现场材料。</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5.成交人货物垂直运输需要在总包的调配下使用总包单位的运输设备，不得影响总包单位正常运输。需要加班使用总包单位运输设备的，自行与总包单位协商并支付有关费用。总包单位按计划拆除运输设备，不会等待成交人运输。如果成交人不能在总包单位拆除运输设备之前完成运输，自行解决运输问题，费用自理。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6.接受采购人及监理单位现场管理和奖罚制度。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7.投标人须根据提供的报价格式进行报价，合计总价作为价格分计算依据，对应项的单价作为结算依据，费用据实结算。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8.成交人须完全响应招标文件技术参数要求，施工时按设计图纸及招标文件技术要求施工，若成交人无法满足上述要求，无条件按照采购人要求进行整改，并承担由此产生的相关一切责任，包括不限于解除合同并扣除相关工程款。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9.以上技术、商务要求，投标人须无条件响应。</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10.本项目采用的标准和规范（包括但不限于）</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）《建筑工程施工质量验收统一标准》</w:t>
      </w:r>
      <w:r>
        <w:rPr>
          <w:rFonts w:hint="default" w:ascii="宋体" w:hAnsi="宋体" w:eastAsia="宋体" w:cs="宋体"/>
          <w:color w:val="000000"/>
          <w:kern w:val="0"/>
          <w:sz w:val="24"/>
          <w:szCs w:val="24"/>
          <w:lang w:val="en-US" w:eastAsia="zh-CN" w:bidi="ar"/>
        </w:rPr>
        <w:t xml:space="preserve"> GB50300—2013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（2）《建筑地基基础工程施工质量验收规范》</w:t>
      </w:r>
      <w:r>
        <w:rPr>
          <w:rFonts w:hint="default" w:ascii="宋体" w:hAnsi="宋体" w:eastAsia="宋体" w:cs="宋体"/>
          <w:color w:val="000000"/>
          <w:kern w:val="0"/>
          <w:sz w:val="24"/>
          <w:szCs w:val="24"/>
          <w:lang w:val="en-US" w:eastAsia="zh-CN" w:bidi="ar"/>
        </w:rPr>
        <w:t xml:space="preserve"> GB50202</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 xml:space="preserve">2018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（3）《砌体结构工程施工质量验收规范》</w:t>
      </w:r>
      <w:r>
        <w:rPr>
          <w:rFonts w:hint="default" w:ascii="宋体" w:hAnsi="宋体" w:eastAsia="宋体" w:cs="宋体"/>
          <w:color w:val="000000"/>
          <w:kern w:val="0"/>
          <w:sz w:val="24"/>
          <w:szCs w:val="24"/>
          <w:lang w:val="en-US" w:eastAsia="zh-CN" w:bidi="ar"/>
        </w:rPr>
        <w:t xml:space="preserve"> GB50203—2011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（4）《混凝土结构工程施工质量验收规范》</w:t>
      </w:r>
      <w:r>
        <w:rPr>
          <w:rFonts w:hint="default" w:ascii="宋体" w:hAnsi="宋体" w:eastAsia="宋体" w:cs="宋体"/>
          <w:color w:val="000000"/>
          <w:kern w:val="0"/>
          <w:sz w:val="24"/>
          <w:szCs w:val="24"/>
          <w:lang w:val="en-US" w:eastAsia="zh-CN" w:bidi="ar"/>
        </w:rPr>
        <w:t xml:space="preserve"> GB50204—2015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（5）《钢结构工程施工质量验收规范》</w:t>
      </w:r>
      <w:r>
        <w:rPr>
          <w:rFonts w:hint="default" w:ascii="宋体" w:hAnsi="宋体" w:eastAsia="宋体" w:cs="宋体"/>
          <w:color w:val="000000"/>
          <w:kern w:val="0"/>
          <w:sz w:val="24"/>
          <w:szCs w:val="24"/>
          <w:lang w:val="en-US" w:eastAsia="zh-CN" w:bidi="ar"/>
        </w:rPr>
        <w:t xml:space="preserve"> GB50205—2020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（6）《木结构工程施工质量验收规范》</w:t>
      </w:r>
      <w:r>
        <w:rPr>
          <w:rFonts w:hint="default" w:ascii="宋体" w:hAnsi="宋体" w:eastAsia="宋体" w:cs="宋体"/>
          <w:color w:val="000000"/>
          <w:kern w:val="0"/>
          <w:sz w:val="24"/>
          <w:szCs w:val="24"/>
          <w:lang w:val="en-US" w:eastAsia="zh-CN" w:bidi="ar"/>
        </w:rPr>
        <w:t xml:space="preserve"> GB50206—2012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（7）《屋面工程质量验收规范》</w:t>
      </w:r>
      <w:r>
        <w:rPr>
          <w:rFonts w:hint="default" w:ascii="宋体" w:hAnsi="宋体" w:eastAsia="宋体" w:cs="宋体"/>
          <w:color w:val="000000"/>
          <w:kern w:val="0"/>
          <w:sz w:val="24"/>
          <w:szCs w:val="24"/>
          <w:lang w:val="en-US" w:eastAsia="zh-CN" w:bidi="ar"/>
        </w:rPr>
        <w:t xml:space="preserve"> GB50207—2012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（8）《建筑地面工程施工质量验收规范》</w:t>
      </w:r>
      <w:r>
        <w:rPr>
          <w:rFonts w:hint="default" w:ascii="宋体" w:hAnsi="宋体" w:eastAsia="宋体" w:cs="宋体"/>
          <w:color w:val="000000"/>
          <w:kern w:val="0"/>
          <w:sz w:val="24"/>
          <w:szCs w:val="24"/>
          <w:lang w:val="en-US" w:eastAsia="zh-CN" w:bidi="ar"/>
        </w:rPr>
        <w:t xml:space="preserve"> GB50209—2010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（9）《建筑装饰装修工程质量验收规范》</w:t>
      </w:r>
      <w:r>
        <w:rPr>
          <w:rFonts w:hint="default" w:ascii="宋体" w:hAnsi="宋体" w:eastAsia="宋体" w:cs="宋体"/>
          <w:color w:val="000000"/>
          <w:kern w:val="0"/>
          <w:sz w:val="24"/>
          <w:szCs w:val="24"/>
          <w:lang w:val="en-US" w:eastAsia="zh-CN" w:bidi="ar"/>
        </w:rPr>
        <w:t xml:space="preserve"> GB50210—2018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（10）《建筑给水排水及采暖工程施工质量验收规范》</w:t>
      </w:r>
      <w:r>
        <w:rPr>
          <w:rFonts w:hint="default" w:ascii="宋体" w:hAnsi="宋体" w:eastAsia="宋体" w:cs="宋体"/>
          <w:color w:val="000000"/>
          <w:kern w:val="0"/>
          <w:sz w:val="24"/>
          <w:szCs w:val="24"/>
          <w:lang w:val="en-US" w:eastAsia="zh-CN" w:bidi="ar"/>
        </w:rPr>
        <w:t xml:space="preserve"> GB50242—2016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（11）《建筑电气安装工程施工质量验收规范》</w:t>
      </w:r>
      <w:r>
        <w:rPr>
          <w:rFonts w:hint="default" w:ascii="宋体" w:hAnsi="宋体" w:eastAsia="宋体" w:cs="宋体"/>
          <w:color w:val="000000"/>
          <w:kern w:val="0"/>
          <w:sz w:val="24"/>
          <w:szCs w:val="24"/>
          <w:lang w:val="en-US" w:eastAsia="zh-CN" w:bidi="ar"/>
        </w:rPr>
        <w:t xml:space="preserve"> GB50303—2015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（12）《民用建筑工程室内环境污染控制标准》</w:t>
      </w:r>
      <w:r>
        <w:rPr>
          <w:rFonts w:hint="default" w:ascii="宋体" w:hAnsi="宋体" w:eastAsia="宋体" w:cs="宋体"/>
          <w:color w:val="000000"/>
          <w:kern w:val="0"/>
          <w:sz w:val="24"/>
          <w:szCs w:val="24"/>
          <w:lang w:val="en-US" w:eastAsia="zh-CN" w:bidi="ar"/>
        </w:rPr>
        <w:t xml:space="preserve"> GB50325—2020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（13）《绿色建筑评价标准》</w:t>
      </w:r>
      <w:r>
        <w:rPr>
          <w:rFonts w:hint="default" w:ascii="宋体" w:hAnsi="宋体" w:eastAsia="宋体" w:cs="宋体"/>
          <w:color w:val="000000"/>
          <w:kern w:val="0"/>
          <w:sz w:val="24"/>
          <w:szCs w:val="24"/>
          <w:lang w:val="en-US" w:eastAsia="zh-CN" w:bidi="ar"/>
        </w:rPr>
        <w:t xml:space="preserve"> GB—T50378—2019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（14）《工程测量规范》</w:t>
      </w:r>
      <w:r>
        <w:rPr>
          <w:rFonts w:hint="default" w:ascii="宋体" w:hAnsi="宋体" w:eastAsia="宋体" w:cs="宋体"/>
          <w:color w:val="000000"/>
          <w:kern w:val="0"/>
          <w:sz w:val="24"/>
          <w:szCs w:val="24"/>
          <w:lang w:val="en-US" w:eastAsia="zh-CN" w:bidi="ar"/>
        </w:rPr>
        <w:t xml:space="preserve"> GB50026—2007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（15）依据设计文件的要求，本招标工程项目的材料、设备、施工须达到现行中华人民共和国以及安徽省或行业的有关工程建设标准、规范的要求。 </w:t>
      </w:r>
    </w:p>
    <w:p>
      <w:pPr>
        <w:pStyle w:val="6"/>
        <w:numPr>
          <w:ilvl w:val="0"/>
          <w:numId w:val="0"/>
        </w:numPr>
        <w:ind w:left="417" w:leftChars="0"/>
        <w:rPr>
          <w:rFonts w:hint="default"/>
          <w:lang w:val="en-US" w:eastAsia="zh-CN"/>
        </w:rPr>
      </w:pPr>
    </w:p>
    <w:p>
      <w:r>
        <w:br w:type="page"/>
      </w:r>
    </w:p>
    <w:p>
      <w:pPr>
        <w:pStyle w:val="6"/>
        <w:numPr>
          <w:ilvl w:val="0"/>
          <w:numId w:val="0"/>
        </w:numPr>
        <w:ind w:left="417" w:leftChars="0"/>
        <w:rPr>
          <w:rFonts w:hint="default"/>
          <w:lang w:val="en-US" w:eastAsia="zh-CN"/>
        </w:rPr>
      </w:pPr>
    </w:p>
    <w:bookmarkEnd w:id="151"/>
    <w:bookmarkEnd w:id="152"/>
    <w:bookmarkEnd w:id="153"/>
    <w:p>
      <w:pPr>
        <w:pStyle w:val="5"/>
        <w:spacing w:before="312" w:after="312"/>
        <w:rPr>
          <w:rFonts w:ascii="Times New Roman" w:hAnsi="Times New Roman" w:eastAsia="宋体" w:cs="Times New Roman"/>
        </w:rPr>
      </w:pPr>
      <w:bookmarkStart w:id="154" w:name="_Toc17056"/>
      <w:r>
        <w:rPr>
          <w:rFonts w:ascii="Times New Roman" w:hAnsi="Times New Roman" w:eastAsia="宋体" w:cs="Times New Roman"/>
        </w:rPr>
        <w:t>响应文件格式</w:t>
      </w:r>
      <w:bookmarkEnd w:id="154"/>
    </w:p>
    <w:p>
      <w:pPr>
        <w:jc w:val="center"/>
        <w:outlineLvl w:val="9"/>
        <w:rPr>
          <w:rFonts w:ascii="Times New Roman" w:hAnsi="Times New Roman" w:eastAsia="黑体" w:cs="Times New Roman"/>
          <w:sz w:val="50"/>
          <w:szCs w:val="50"/>
        </w:rPr>
      </w:pPr>
      <w:bookmarkStart w:id="155" w:name="_Toc17394_WPSOffice_Level1"/>
      <w:bookmarkStart w:id="156" w:name="_Toc6393_WPSOffice_Level1"/>
      <w:bookmarkStart w:id="157" w:name="_Toc1914_WPSOffice_Level1"/>
      <w:bookmarkStart w:id="158" w:name="_Toc11117"/>
      <w:bookmarkStart w:id="159" w:name="_Toc27552_WPSOffice_Level1"/>
      <w:bookmarkStart w:id="160" w:name="_Toc16966_WPSOffice_Level1"/>
      <w:bookmarkStart w:id="161" w:name="_Toc5145_WPSOffice_Level1"/>
      <w:bookmarkStart w:id="162" w:name="_Toc24135"/>
      <w:bookmarkStart w:id="163" w:name="_Toc3664"/>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pStyle w:val="25"/>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5"/>
        <w:rPr>
          <w:rFonts w:ascii="Times New Roman" w:hAnsi="Times New Roman" w:eastAsia="黑体" w:cs="Times New Roman"/>
          <w:sz w:val="50"/>
          <w:szCs w:val="50"/>
        </w:rPr>
      </w:pPr>
    </w:p>
    <w:p>
      <w:pPr>
        <w:rPr>
          <w:rFonts w:ascii="Times New Roman" w:hAnsi="Times New Roman" w:eastAsia="黑体" w:cs="Times New Roman"/>
          <w:sz w:val="50"/>
          <w:szCs w:val="50"/>
        </w:rPr>
      </w:pPr>
    </w:p>
    <w:p>
      <w:pPr>
        <w:pStyle w:val="2"/>
        <w:rPr>
          <w:rFonts w:ascii="Times New Roman" w:hAnsi="Times New Roman" w:eastAsia="黑体" w:cs="Times New Roman"/>
          <w:sz w:val="50"/>
          <w:szCs w:val="50"/>
        </w:rPr>
      </w:pPr>
    </w:p>
    <w:p>
      <w:pPr>
        <w:pStyle w:val="3"/>
      </w:pPr>
    </w:p>
    <w:p>
      <w:pPr>
        <w:pStyle w:val="25"/>
        <w:rPr>
          <w:rFonts w:ascii="Times New Roman" w:hAnsi="Times New Roman" w:eastAsia="黑体" w:cs="Times New Roman"/>
          <w:sz w:val="50"/>
          <w:szCs w:val="50"/>
        </w:rPr>
      </w:pPr>
    </w:p>
    <w:p>
      <w:pPr>
        <w:pStyle w:val="25"/>
      </w:pPr>
    </w:p>
    <w:p>
      <w:pPr>
        <w:spacing w:line="440" w:lineRule="exact"/>
        <w:jc w:val="center"/>
        <w:rPr>
          <w:rFonts w:hint="default"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pPr>
        <w:spacing w:line="440" w:lineRule="exact"/>
        <w:jc w:val="center"/>
        <w:rPr>
          <w:rFonts w:hint="eastAsia" w:ascii="方正小标宋简体" w:hAnsi="方正小标宋简体" w:eastAsia="方正小标宋简体" w:cs="方正小标宋简体"/>
          <w:sz w:val="44"/>
          <w:szCs w:val="44"/>
          <w:lang w:eastAsia="zh-CN"/>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bookmarkEnd w:id="155"/>
      <w:bookmarkEnd w:id="156"/>
      <w:bookmarkEnd w:id="157"/>
      <w:bookmarkEnd w:id="158"/>
      <w:bookmarkEnd w:id="159"/>
      <w:bookmarkEnd w:id="160"/>
      <w:bookmarkEnd w:id="161"/>
      <w:bookmarkEnd w:id="162"/>
      <w:bookmarkEnd w:id="163"/>
    </w:p>
    <w:p>
      <w:pPr>
        <w:pStyle w:val="25"/>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64" w:name="_Toc25232_WPSOffice_Level2"/>
      <w:bookmarkStart w:id="16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64"/>
      <w:bookmarkEnd w:id="165"/>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66" w:name="_Toc20076_WPSOffice_Level2"/>
      <w:bookmarkStart w:id="167"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66"/>
      <w:bookmarkEnd w:id="167"/>
    </w:p>
    <w:p>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68" w:name="_Toc8695_WPSOffice_Level1"/>
      <w:bookmarkStart w:id="169" w:name="_Toc15033"/>
      <w:bookmarkStart w:id="170" w:name="_Toc12530_WPSOffice_Level1"/>
      <w:bookmarkStart w:id="171" w:name="_Toc7337"/>
      <w:bookmarkStart w:id="172" w:name="_Toc32350_WPSOffice_Level1"/>
      <w:bookmarkStart w:id="173" w:name="_Toc28026"/>
      <w:bookmarkStart w:id="174" w:name="_Toc13190_WPSOffice_Level1"/>
      <w:bookmarkStart w:id="175" w:name="_Toc14563_WPSOffice_Level1"/>
      <w:bookmarkStart w:id="176" w:name="_Toc18668_WPSOffice_Level1"/>
      <w:bookmarkStart w:id="177" w:name="_Toc31127_WPSOffice_Level1"/>
    </w:p>
    <w:p>
      <w:pPr>
        <w:pStyle w:val="5"/>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p>
    <w:p>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b/>
          <w:bCs/>
          <w:sz w:val="24"/>
          <w:szCs w:val="24"/>
          <w:highlight w:val="none"/>
          <w:u w:val="single"/>
          <w:lang w:val="en-US" w:eastAsia="zh-CN"/>
        </w:rPr>
        <w:t>第二信封</w:t>
      </w:r>
      <w:r>
        <w:rPr>
          <w:rFonts w:hint="eastAsia" w:ascii="宋体" w:hAnsi="宋体" w:eastAsia="宋体" w:cs="宋体"/>
          <w:b/>
          <w:bCs/>
          <w:sz w:val="24"/>
          <w:szCs w:val="24"/>
          <w:u w:val="single"/>
        </w:rPr>
        <w:t>报价文件</w:t>
      </w:r>
      <w:r>
        <w:rPr>
          <w:rFonts w:hint="eastAsia" w:ascii="宋体" w:hAnsi="宋体" w:eastAsia="宋体" w:cs="宋体"/>
          <w:b/>
          <w:bCs/>
          <w:sz w:val="24"/>
          <w:szCs w:val="24"/>
          <w:u w:val="single"/>
          <w:lang w:eastAsia="zh-CN"/>
        </w:rPr>
        <w:t>响应函</w:t>
      </w:r>
      <w:r>
        <w:rPr>
          <w:rFonts w:hint="eastAsia" w:ascii="宋体" w:hAnsi="宋体" w:eastAsia="宋体" w:cs="宋体"/>
          <w:b/>
          <w:bCs/>
          <w:sz w:val="24"/>
          <w:szCs w:val="24"/>
          <w:u w:val="single"/>
        </w:rPr>
        <w:t>中</w:t>
      </w:r>
      <w:r>
        <w:rPr>
          <w:rFonts w:hint="eastAsia" w:ascii="宋体" w:hAnsi="宋体" w:eastAsia="宋体" w:cs="宋体"/>
          <w:b/>
          <w:bCs/>
          <w:sz w:val="24"/>
          <w:szCs w:val="24"/>
          <w:u w:val="single"/>
          <w:lang w:eastAsia="zh-CN"/>
        </w:rPr>
        <w:t>的响应</w:t>
      </w:r>
      <w:r>
        <w:rPr>
          <w:rFonts w:hint="eastAsia" w:ascii="宋体" w:hAnsi="宋体" w:eastAsia="宋体" w:cs="宋体"/>
          <w:b/>
          <w:bCs/>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pPr>
        <w:pStyle w:val="50"/>
        <w:numPr>
          <w:ilvl w:val="0"/>
          <w:numId w:val="8"/>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pStyle w:val="50"/>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pPr>
        <w:pStyle w:val="50"/>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pPr>
        <w:pStyle w:val="50"/>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pPr>
        <w:pStyle w:val="50"/>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pPr>
        <w:pStyle w:val="50"/>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pPr>
        <w:pStyle w:val="50"/>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pPr>
        <w:pStyle w:val="50"/>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val="en-US" w:eastAsia="zh-CN"/>
        </w:rPr>
        <w:t>项目</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pStyle w:val="50"/>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pPr>
        <w:pStyle w:val="2"/>
        <w:spacing w:line="480" w:lineRule="exact"/>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8" w:name="_Hlk122530524"/>
      <w:r>
        <w:rPr>
          <w:rFonts w:hint="eastAsia" w:ascii="宋体" w:hAnsi="宋体" w:eastAsia="宋体" w:cs="宋体"/>
          <w:sz w:val="24"/>
          <w:szCs w:val="24"/>
          <w:highlight w:val="none"/>
          <w:u w:val="single"/>
        </w:rPr>
        <w:t xml:space="preserve">                         </w:t>
      </w:r>
      <w:bookmarkEnd w:id="178"/>
      <w:r>
        <w:rPr>
          <w:rFonts w:hint="eastAsia" w:ascii="宋体" w:hAnsi="宋体" w:eastAsia="宋体" w:cs="宋体"/>
          <w:sz w:val="24"/>
          <w:szCs w:val="24"/>
          <w:highlight w:val="none"/>
        </w:rPr>
        <w:t>（盖单位章）</w:t>
      </w:r>
    </w:p>
    <w:p>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3"/>
        <w:rPr>
          <w:rFonts w:ascii="Times New Roman" w:hAnsi="Times New Roman" w:eastAsia="黑体" w:cs="Times New Roman"/>
          <w:sz w:val="28"/>
          <w:szCs w:val="28"/>
        </w:rPr>
      </w:pPr>
    </w:p>
    <w:p>
      <w:pPr>
        <w:pStyle w:val="4"/>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3"/>
        <w:rPr>
          <w:rFonts w:ascii="Times New Roman" w:hAnsi="Times New Roman" w:eastAsia="黑体" w:cs="Times New Roman"/>
          <w:sz w:val="28"/>
          <w:szCs w:val="28"/>
        </w:rPr>
      </w:pPr>
    </w:p>
    <w:p>
      <w:pPr>
        <w:pStyle w:val="4"/>
        <w:rPr>
          <w:rFonts w:ascii="Times New Roman" w:hAnsi="Times New Roman" w:eastAsia="黑体" w:cs="Times New Roman"/>
          <w:sz w:val="28"/>
          <w:szCs w:val="28"/>
        </w:rPr>
      </w:pPr>
    </w:p>
    <w:p/>
    <w:p>
      <w:pPr>
        <w:pStyle w:val="35"/>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68"/>
      <w:bookmarkEnd w:id="169"/>
      <w:bookmarkEnd w:id="170"/>
      <w:bookmarkEnd w:id="171"/>
      <w:bookmarkEnd w:id="172"/>
      <w:bookmarkEnd w:id="173"/>
      <w:bookmarkEnd w:id="174"/>
      <w:bookmarkEnd w:id="175"/>
      <w:bookmarkEnd w:id="176"/>
      <w:bookmarkEnd w:id="177"/>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179" w:name="_Toc20803_WPSOffice_Level2"/>
      <w:bookmarkStart w:id="180"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179"/>
      <w:bookmarkEnd w:id="180"/>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181" w:name="_Toc19768_WPSOffice_Level2"/>
      <w:bookmarkStart w:id="182" w:name="_Toc12035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181"/>
      <w:bookmarkEnd w:id="182"/>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440" w:lineRule="exact"/>
        <w:jc w:val="both"/>
        <w:rPr>
          <w:rFonts w:ascii="Times New Roman" w:hAnsi="Times New Roman" w:eastAsia="黑体" w:cs="Times New Roman"/>
          <w:sz w:val="24"/>
        </w:rPr>
      </w:pPr>
    </w:p>
    <w:p>
      <w:pPr>
        <w:spacing w:line="440" w:lineRule="exact"/>
        <w:jc w:val="both"/>
        <w:rPr>
          <w:rFonts w:ascii="Times New Roman" w:hAnsi="Times New Roman" w:eastAsia="黑体" w:cs="Times New Roman"/>
          <w:sz w:val="24"/>
        </w:rPr>
      </w:pPr>
    </w:p>
    <w:p>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outlineLvl w:val="0"/>
        <w:rPr>
          <w:rFonts w:ascii="Times New Roman" w:hAnsi="Times New Roman" w:eastAsia="黑体" w:cs="Times New Roman"/>
          <w:sz w:val="28"/>
          <w:szCs w:val="28"/>
        </w:rPr>
      </w:pPr>
      <w:bookmarkStart w:id="183" w:name="_Toc27812_WPSOffice_Level1"/>
      <w:bookmarkStart w:id="184" w:name="_Toc23012"/>
      <w:bookmarkStart w:id="185" w:name="_Toc25920_WPSOffice_Level1"/>
      <w:bookmarkStart w:id="186" w:name="_Toc10436_WPSOffice_Level1"/>
      <w:bookmarkStart w:id="187" w:name="_Toc2376"/>
      <w:bookmarkStart w:id="188" w:name="_Toc8790"/>
      <w:bookmarkStart w:id="189" w:name="_Toc22815_WPSOffice_Level1"/>
      <w:bookmarkStart w:id="190" w:name="_Toc23545_WPSOffice_Level1"/>
      <w:bookmarkStart w:id="191" w:name="_Toc7738_WPSOffice_Level1"/>
      <w:bookmarkStart w:id="192" w:name="_Toc3144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93" w:name="_Toc2807_WPSOffice_Level2"/>
      <w:bookmarkStart w:id="194" w:name="_Toc27600_WPSOffice_Level2"/>
      <w:r>
        <w:rPr>
          <w:rFonts w:ascii="Times New Roman" w:hAnsi="Times New Roman" w:eastAsia="黑体" w:cs="Times New Roman"/>
          <w:sz w:val="28"/>
          <w:szCs w:val="28"/>
        </w:rPr>
        <w:t>供应商基本情况</w:t>
      </w:r>
      <w:bookmarkEnd w:id="183"/>
      <w:bookmarkEnd w:id="184"/>
      <w:bookmarkEnd w:id="185"/>
      <w:bookmarkEnd w:id="186"/>
      <w:bookmarkEnd w:id="187"/>
      <w:bookmarkEnd w:id="188"/>
      <w:bookmarkEnd w:id="189"/>
      <w:bookmarkEnd w:id="190"/>
      <w:bookmarkEnd w:id="191"/>
      <w:bookmarkEnd w:id="192"/>
      <w:bookmarkEnd w:id="193"/>
      <w:bookmarkEnd w:id="194"/>
    </w:p>
    <w:p>
      <w:pPr>
        <w:topLinePunct/>
        <w:spacing w:line="440" w:lineRule="exact"/>
        <w:jc w:val="center"/>
        <w:rPr>
          <w:rFonts w:ascii="Times New Roman" w:hAnsi="Times New Roman" w:cs="Times New Roman"/>
          <w:sz w:val="23"/>
          <w:szCs w:val="23"/>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13"/>
        <w:spacing w:line="240" w:lineRule="atLeast"/>
        <w:ind w:left="560" w:leftChars="0" w:right="-512" w:rightChars="-244" w:hanging="560" w:hangingChars="200"/>
        <w:jc w:val="center"/>
        <w:outlineLvl w:val="0"/>
        <w:rPr>
          <w:rFonts w:ascii="Times New Roman" w:hAnsi="Times New Roman" w:cs="Times New Roman"/>
          <w:sz w:val="28"/>
          <w:szCs w:val="28"/>
        </w:rPr>
      </w:pPr>
      <w:bookmarkStart w:id="195" w:name="_Toc23822_WPSOffice_Level1"/>
      <w:bookmarkStart w:id="196" w:name="_Toc1452_WPSOffice_Level1"/>
      <w:bookmarkStart w:id="197" w:name="_Toc18547_WPSOffice_Level1"/>
      <w:bookmarkStart w:id="198" w:name="_Toc28307"/>
      <w:bookmarkStart w:id="199" w:name="_Toc18163"/>
      <w:bookmarkStart w:id="200" w:name="_Toc23763"/>
      <w:bookmarkStart w:id="201" w:name="_Toc19004_WPSOffice_Level1"/>
      <w:bookmarkStart w:id="202" w:name="_Toc14534_WPSOffice_Level1"/>
      <w:bookmarkStart w:id="203" w:name="_Toc5072_WPSOffice_Level1"/>
      <w:bookmarkStart w:id="204" w:name="_Toc3772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95"/>
      <w:bookmarkEnd w:id="196"/>
      <w:bookmarkEnd w:id="197"/>
      <w:bookmarkEnd w:id="198"/>
      <w:bookmarkEnd w:id="199"/>
      <w:bookmarkEnd w:id="200"/>
      <w:bookmarkEnd w:id="201"/>
      <w:bookmarkEnd w:id="202"/>
      <w:bookmarkEnd w:id="203"/>
      <w:bookmarkEnd w:id="204"/>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975"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pPr>
        <w:pStyle w:val="2"/>
        <w:rPr>
          <w:rFonts w:hint="eastAsia" w:eastAsia="黑体"/>
          <w:lang w:val="en-US" w:eastAsia="zh-CN"/>
        </w:rPr>
      </w:pPr>
    </w:p>
    <w:p>
      <w:pPr>
        <w:pStyle w:val="2"/>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205" w:name="_Toc5403_WPSOffice_Level1"/>
      <w:bookmarkStart w:id="206" w:name="_Toc11841_WPSOffice_Level1"/>
      <w:bookmarkStart w:id="207" w:name="_Toc10796"/>
      <w:bookmarkStart w:id="208" w:name="_Toc30712_WPSOffice_Level1"/>
      <w:bookmarkStart w:id="209" w:name="_Toc12019_WPSOffice_Level1"/>
      <w:bookmarkStart w:id="210" w:name="_Toc9011_WPSOffice_Level1"/>
      <w:bookmarkStart w:id="211" w:name="_Toc14563"/>
      <w:bookmarkStart w:id="212" w:name="_Toc10794"/>
      <w:bookmarkStart w:id="213" w:name="_Toc3893_WPSOffice_Level1"/>
      <w:bookmarkStart w:id="214" w:name="_Toc9267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05"/>
      <w:bookmarkEnd w:id="206"/>
      <w:bookmarkEnd w:id="207"/>
      <w:bookmarkEnd w:id="208"/>
      <w:bookmarkEnd w:id="209"/>
      <w:bookmarkEnd w:id="210"/>
      <w:bookmarkEnd w:id="211"/>
      <w:bookmarkEnd w:id="212"/>
      <w:bookmarkEnd w:id="213"/>
      <w:bookmarkEnd w:id="214"/>
    </w:p>
    <w:p>
      <w:pPr>
        <w:topLinePunct/>
        <w:spacing w:line="440" w:lineRule="exact"/>
        <w:rPr>
          <w:rFonts w:ascii="Times New Roman" w:hAnsi="Times New Roman" w:cs="Times New Roman"/>
          <w:bCs/>
          <w:sz w:val="23"/>
          <w:szCs w:val="23"/>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5330"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5330" w:type="dxa"/>
          </w:tcPr>
          <w:p>
            <w:pPr>
              <w:topLinePunct/>
              <w:spacing w:line="440" w:lineRule="exact"/>
              <w:rPr>
                <w:rFonts w:ascii="Times New Roman" w:hAnsi="Times New Roman" w:cs="Times New Roman"/>
                <w:bCs/>
                <w:szCs w:val="21"/>
              </w:rPr>
            </w:pPr>
          </w:p>
        </w:tc>
      </w:tr>
    </w:tbl>
    <w:p>
      <w:pPr>
        <w:spacing w:line="440" w:lineRule="exact"/>
        <w:jc w:val="lef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注：本表</w:t>
      </w:r>
      <w:r>
        <w:rPr>
          <w:rFonts w:hint="eastAsia" w:ascii="Times New Roman" w:hAnsi="Times New Roman" w:cs="Times New Roman"/>
          <w:sz w:val="24"/>
          <w:highlight w:val="none"/>
          <w:lang w:val="en-US" w:eastAsia="zh-CN"/>
        </w:rPr>
        <w:t>无</w:t>
      </w:r>
      <w:r>
        <w:rPr>
          <w:rFonts w:hint="default" w:ascii="Times New Roman" w:hAnsi="Times New Roman" w:cs="Times New Roman"/>
          <w:sz w:val="24"/>
          <w:highlight w:val="none"/>
          <w:lang w:val="en-US" w:eastAsia="zh-CN"/>
        </w:rPr>
        <w:t>需附证明材料</w:t>
      </w:r>
      <w:r>
        <w:rPr>
          <w:rFonts w:hint="eastAsia" w:ascii="Times New Roman" w:hAnsi="Times New Roman" w:cs="Times New Roman"/>
          <w:sz w:val="24"/>
          <w:highlight w:val="none"/>
          <w:lang w:val="en-US" w:eastAsia="zh-CN"/>
        </w:rPr>
        <w:t>，供应商应如实填写情况说明，如无以上内容，可在情况说明处填写无即可，如有弄虚作假行为，采购人保留对供应商依法依规处理的权利</w:t>
      </w:r>
      <w:r>
        <w:rPr>
          <w:rFonts w:hint="default" w:ascii="Times New Roman" w:hAnsi="Times New Roman" w:cs="Times New Roman"/>
          <w:sz w:val="24"/>
          <w:highlight w:val="none"/>
          <w:lang w:val="en-US" w:eastAsia="zh-CN"/>
        </w:rPr>
        <w:t>。</w:t>
      </w:r>
    </w:p>
    <w:p>
      <w:pPr>
        <w:pStyle w:val="2"/>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hint="eastAsia" w:ascii="Times New Roman" w:hAnsi="Times New Roman" w:eastAsia="黑体" w:cs="Times New Roman"/>
          <w:sz w:val="28"/>
          <w:szCs w:val="28"/>
          <w:lang w:val="en-US" w:eastAsia="zh-CN"/>
        </w:rPr>
      </w:pPr>
      <w:bookmarkStart w:id="215" w:name="_Toc18092"/>
      <w:bookmarkStart w:id="216" w:name="_Toc25543_WPSOffice_Level1"/>
      <w:bookmarkStart w:id="217" w:name="_Toc7003_WPSOffice_Level1"/>
      <w:bookmarkStart w:id="218" w:name="_Toc20479"/>
      <w:bookmarkStart w:id="219" w:name="_Toc28454_WPSOffice_Level1"/>
      <w:bookmarkStart w:id="220" w:name="_Toc24841"/>
      <w:bookmarkStart w:id="221" w:name="_Toc2048_WPSOffice_Level1"/>
      <w:bookmarkStart w:id="222" w:name="_Toc23493_WPSOffice_Level1"/>
      <w:bookmarkStart w:id="223" w:name="_Toc1483_WPSOffice_Level1"/>
      <w:bookmarkStart w:id="224" w:name="_Toc24999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15"/>
      <w:bookmarkEnd w:id="216"/>
      <w:bookmarkEnd w:id="217"/>
      <w:bookmarkEnd w:id="218"/>
      <w:bookmarkEnd w:id="219"/>
      <w:bookmarkEnd w:id="220"/>
      <w:r>
        <w:rPr>
          <w:rFonts w:hint="eastAsia" w:ascii="Times New Roman" w:hAnsi="Times New Roman" w:eastAsia="黑体" w:cs="Times New Roman"/>
          <w:sz w:val="28"/>
          <w:szCs w:val="28"/>
        </w:rPr>
        <w:t>方案</w:t>
      </w:r>
      <w:r>
        <w:rPr>
          <w:rFonts w:hint="eastAsia" w:ascii="Times New Roman" w:hAnsi="Times New Roman" w:eastAsia="黑体" w:cs="Times New Roman"/>
          <w:sz w:val="28"/>
          <w:szCs w:val="28"/>
          <w:lang w:val="en-US" w:eastAsia="zh-CN"/>
        </w:rPr>
        <w:t>说明</w:t>
      </w:r>
    </w:p>
    <w:p>
      <w:pPr>
        <w:spacing w:line="440" w:lineRule="exact"/>
        <w:jc w:val="center"/>
        <w:outlineLvl w:val="9"/>
        <w:rPr>
          <w:rFonts w:ascii="Times New Roman" w:hAnsi="Times New Roman" w:eastAsia="黑体" w:cs="Times New Roman"/>
          <w:sz w:val="28"/>
          <w:szCs w:val="28"/>
        </w:rPr>
      </w:pPr>
    </w:p>
    <w:p>
      <w:pPr>
        <w:numPr>
          <w:ilvl w:val="0"/>
          <w:numId w:val="0"/>
        </w:numPr>
        <w:spacing w:line="440" w:lineRule="exact"/>
        <w:ind w:firstLine="480" w:firstLineChars="200"/>
        <w:rPr>
          <w:rFonts w:hint="eastAsia" w:ascii="Times New Roman" w:hAnsi="Times New Roman" w:cs="Times New Roman"/>
          <w:sz w:val="24"/>
          <w:lang w:eastAsia="zh-CN"/>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lang w:val="en-US" w:eastAsia="zh-CN"/>
        </w:rPr>
        <w:t>以下内容</w:t>
      </w:r>
      <w:r>
        <w:rPr>
          <w:rFonts w:ascii="Times New Roman" w:hAnsi="Times New Roman" w:cs="Times New Roman"/>
          <w:sz w:val="24"/>
        </w:rPr>
        <w:t>(文字宜精炼、内容具有针对性)</w:t>
      </w:r>
      <w:r>
        <w:rPr>
          <w:rFonts w:hint="eastAsia" w:ascii="Times New Roman" w:hAnsi="Times New Roman" w:cs="Times New Roman"/>
          <w:sz w:val="24"/>
          <w:lang w:eastAsia="zh-CN"/>
        </w:rPr>
        <w:t>：</w:t>
      </w:r>
    </w:p>
    <w:p>
      <w:pPr>
        <w:numPr>
          <w:ilvl w:val="0"/>
          <w:numId w:val="0"/>
        </w:numPr>
        <w:spacing w:line="440" w:lineRule="exact"/>
        <w:ind w:firstLine="480" w:firstLineChars="200"/>
        <w:rPr>
          <w:rFonts w:hint="eastAsia" w:ascii="Times New Roman" w:hAnsi="Times New Roman" w:cs="Times New Roman"/>
          <w:sz w:val="24"/>
          <w:lang w:val="en-US" w:eastAsia="zh-CN"/>
        </w:rPr>
      </w:pPr>
      <w:r>
        <w:rPr>
          <w:rFonts w:hint="eastAsia" w:ascii="Times New Roman" w:hAnsi="Times New Roman" w:cs="Times New Roman" w:eastAsiaTheme="minorEastAsia"/>
          <w:kern w:val="2"/>
          <w:sz w:val="24"/>
          <w:szCs w:val="24"/>
          <w:lang w:val="en-US" w:eastAsia="zh-CN" w:bidi="ar-SA"/>
        </w:rPr>
        <w:t>（1）</w:t>
      </w:r>
      <w:r>
        <w:rPr>
          <w:rFonts w:hint="eastAsia" w:ascii="Times New Roman" w:hAnsi="Times New Roman" w:cs="Times New Roman"/>
          <w:sz w:val="24"/>
          <w:lang w:val="en-US" w:eastAsia="zh-CN"/>
        </w:rPr>
        <w:t>管理措施</w:t>
      </w:r>
    </w:p>
    <w:p>
      <w:pPr>
        <w:numPr>
          <w:ilvl w:val="0"/>
          <w:numId w:val="0"/>
        </w:numPr>
        <w:spacing w:line="440" w:lineRule="exact"/>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（2）安装供货方案</w:t>
      </w:r>
    </w:p>
    <w:p>
      <w:pPr>
        <w:numPr>
          <w:ilvl w:val="0"/>
          <w:numId w:val="0"/>
        </w:numPr>
        <w:spacing w:line="440" w:lineRule="exact"/>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（3）售后服务方案</w:t>
      </w:r>
    </w:p>
    <w:p>
      <w:pPr>
        <w:pStyle w:val="6"/>
        <w:numPr>
          <w:ilvl w:val="0"/>
          <w:numId w:val="0"/>
        </w:numPr>
        <w:ind w:left="417" w:leftChars="0"/>
        <w:rPr>
          <w:rFonts w:hint="eastAsia"/>
          <w:lang w:eastAsia="zh-CN"/>
        </w:rPr>
      </w:pPr>
      <w:r>
        <w:rPr>
          <w:rFonts w:hint="eastAsia"/>
          <w:lang w:eastAsia="zh-CN"/>
        </w:rPr>
        <w:t>……</w:t>
      </w:r>
    </w:p>
    <w:p>
      <w:pPr>
        <w:ind w:firstLine="400" w:firstLineChars="200"/>
        <w:jc w:val="left"/>
        <w:rPr>
          <w:rFonts w:hint="eastAsia" w:ascii="宋体" w:hAnsi="宋体" w:eastAsia="宋体" w:cs="宋体"/>
          <w:color w:val="000000"/>
          <w:kern w:val="0"/>
          <w:sz w:val="20"/>
          <w:szCs w:val="20"/>
          <w:lang w:val="en-US" w:eastAsia="zh-CN" w:bidi="ar"/>
        </w:rPr>
      </w:pPr>
    </w:p>
    <w:p>
      <w:pPr>
        <w:ind w:firstLine="400" w:firstLineChars="200"/>
        <w:jc w:val="left"/>
        <w:rPr>
          <w:rFonts w:ascii="Times New Roman" w:hAnsi="Times New Roman" w:eastAsia="黑体" w:cs="Times New Roman"/>
          <w:sz w:val="28"/>
          <w:szCs w:val="28"/>
        </w:rPr>
      </w:pPr>
      <w:r>
        <w:rPr>
          <w:rFonts w:hint="eastAsia" w:ascii="宋体" w:hAnsi="宋体" w:eastAsia="宋体" w:cs="宋体"/>
          <w:color w:val="000000"/>
          <w:kern w:val="0"/>
          <w:sz w:val="20"/>
          <w:szCs w:val="20"/>
          <w:lang w:val="en-US" w:eastAsia="zh-CN" w:bidi="ar"/>
        </w:rPr>
        <w:t>供应商提供切实可行的方案，承诺严格按采购人要求的品种规格、质量标准、供货时间、供货批次供货，提供过程中和验收环节技术指导、应急保障、联合打假、质量检查等各项技术服务和保障。</w:t>
      </w: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ind w:left="0" w:leftChars="0" w:firstLine="0" w:firstLineChars="0"/>
      </w:pPr>
    </w:p>
    <w:p/>
    <w:p>
      <w:pPr>
        <w:spacing w:line="440" w:lineRule="exact"/>
        <w:jc w:val="center"/>
        <w:outlineLvl w:val="0"/>
        <w:rPr>
          <w:rFonts w:ascii="Times New Roman" w:hAnsi="Times New Roman" w:eastAsia="黑体" w:cs="Times New Roman"/>
          <w:sz w:val="28"/>
          <w:szCs w:val="28"/>
        </w:rPr>
      </w:pPr>
      <w:bookmarkStart w:id="225" w:name="_Toc26624"/>
      <w:bookmarkStart w:id="226" w:name="_Toc21078_WPSOffice_Level1"/>
      <w:bookmarkStart w:id="227" w:name="_Toc3653"/>
      <w:bookmarkStart w:id="228" w:name="_Toc12998"/>
      <w:bookmarkStart w:id="229" w:name="_Toc15767_WPSOffice_Level1"/>
      <w:bookmarkStart w:id="230" w:name="_Toc7540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21"/>
      <w:bookmarkEnd w:id="222"/>
      <w:bookmarkEnd w:id="223"/>
      <w:bookmarkEnd w:id="224"/>
      <w:r>
        <w:rPr>
          <w:rFonts w:hint="eastAsia" w:ascii="Times New Roman" w:hAnsi="Times New Roman" w:eastAsia="黑体" w:cs="Times New Roman"/>
          <w:sz w:val="28"/>
          <w:szCs w:val="28"/>
        </w:rPr>
        <w:t>技术性能（质量）指标描述</w:t>
      </w:r>
    </w:p>
    <w:bookmarkEnd w:id="225"/>
    <w:bookmarkEnd w:id="226"/>
    <w:bookmarkEnd w:id="227"/>
    <w:bookmarkEnd w:id="228"/>
    <w:bookmarkEnd w:id="229"/>
    <w:bookmarkEnd w:id="230"/>
    <w:p>
      <w:pPr>
        <w:spacing w:line="440" w:lineRule="exact"/>
        <w:rPr>
          <w:rFonts w:ascii="Times New Roman" w:hAnsi="Times New Roman" w:eastAsia="黑体" w:cs="Times New Roman"/>
          <w:sz w:val="20"/>
          <w:szCs w:val="20"/>
        </w:rPr>
      </w:pPr>
    </w:p>
    <w:p>
      <w:pPr>
        <w:pStyle w:val="2"/>
        <w:jc w:val="center"/>
        <w:rPr>
          <w:rFonts w:hint="default" w:ascii="Times New Roman" w:hAnsi="Times New Roman" w:cs="Times New Roman" w:eastAsiaTheme="minorEastAsia"/>
          <w:sz w:val="24"/>
          <w:lang w:val="en-US" w:eastAsia="zh-CN"/>
        </w:rPr>
      </w:pPr>
      <w:bookmarkStart w:id="231" w:name="_Toc4794_WPSOffice_Level2"/>
      <w:bookmarkStart w:id="232" w:name="_Toc16609_WPSOffice_Level2"/>
      <w:r>
        <w:rPr>
          <w:rFonts w:hint="eastAsia" w:ascii="Times New Roman" w:hAnsi="Times New Roman" w:cs="Times New Roman"/>
          <w:sz w:val="24"/>
          <w:lang w:val="en-US" w:eastAsia="zh-CN"/>
        </w:rPr>
        <w:t>供应商按评审办法要求提供材料</w:t>
      </w: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3"/>
        <w:rPr>
          <w:rFonts w:ascii="Times New Roman" w:hAnsi="Times New Roman" w:cs="Times New Roman"/>
          <w:sz w:val="24"/>
        </w:rPr>
      </w:pPr>
    </w:p>
    <w:p>
      <w:pPr>
        <w:pStyle w:val="4"/>
        <w:rPr>
          <w:rFonts w:ascii="Times New Roman" w:hAnsi="Times New Roman" w:cs="Times New Roman"/>
          <w:sz w:val="24"/>
        </w:rPr>
      </w:pPr>
    </w:p>
    <w:p>
      <w:pPr>
        <w:rPr>
          <w:rFonts w:ascii="Times New Roman" w:hAnsi="Times New Roman" w:cs="Times New Roman"/>
          <w:sz w:val="24"/>
        </w:rPr>
      </w:pPr>
    </w:p>
    <w:p>
      <w:pPr>
        <w:pStyle w:val="2"/>
      </w:pPr>
    </w:p>
    <w:p>
      <w:pPr>
        <w:pStyle w:val="2"/>
        <w:rPr>
          <w:rFonts w:ascii="Times New Roman" w:hAnsi="Times New Roman" w:cs="Times New Roman"/>
          <w:sz w:val="24"/>
        </w:rPr>
      </w:pPr>
    </w:p>
    <w:bookmarkEnd w:id="231"/>
    <w:bookmarkEnd w:id="232"/>
    <w:p>
      <w:pPr>
        <w:spacing w:line="440" w:lineRule="exact"/>
        <w:jc w:val="center"/>
        <w:outlineLvl w:val="0"/>
        <w:rPr>
          <w:rFonts w:ascii="Times New Roman" w:hAnsi="Times New Roman" w:eastAsia="黑体" w:cs="Times New Roman"/>
          <w:sz w:val="28"/>
          <w:szCs w:val="28"/>
        </w:rPr>
      </w:pPr>
      <w:bookmarkStart w:id="233" w:name="_Toc13165_WPSOffice_Level1"/>
      <w:bookmarkStart w:id="234" w:name="_Toc2428_WPSOffice_Level1"/>
      <w:bookmarkStart w:id="235" w:name="_Toc8565"/>
      <w:bookmarkStart w:id="236" w:name="_Toc15802_WPSOffice_Level1"/>
      <w:bookmarkStart w:id="237" w:name="_Toc15887_WPSOffice_Level1"/>
      <w:bookmarkStart w:id="238" w:name="_Toc8419_WPSOffice_Level1"/>
      <w:bookmarkStart w:id="239" w:name="_Toc22303_WPSOffice_Level1"/>
      <w:bookmarkStart w:id="240" w:name="_Toc7110_WPSOffice_Level1"/>
      <w:bookmarkStart w:id="241" w:name="_Toc32592"/>
      <w:bookmarkStart w:id="242" w:name="_Toc23493"/>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233"/>
      <w:bookmarkEnd w:id="234"/>
      <w:bookmarkEnd w:id="235"/>
      <w:bookmarkEnd w:id="236"/>
      <w:bookmarkEnd w:id="237"/>
      <w:bookmarkEnd w:id="238"/>
      <w:bookmarkEnd w:id="239"/>
      <w:bookmarkEnd w:id="240"/>
      <w:r>
        <w:rPr>
          <w:rFonts w:hint="eastAsia" w:ascii="Times New Roman" w:hAnsi="Times New Roman" w:eastAsia="黑体" w:cs="Times New Roman"/>
          <w:sz w:val="28"/>
          <w:szCs w:val="28"/>
        </w:rPr>
        <w:t>承诺书</w:t>
      </w:r>
      <w:bookmarkEnd w:id="241"/>
      <w:bookmarkEnd w:id="242"/>
    </w:p>
    <w:p>
      <w:pPr>
        <w:pStyle w:val="2"/>
        <w:rPr>
          <w:rFonts w:ascii="Times New Roman" w:hAnsi="Times New Roman" w:eastAsia="黑体" w:cs="Times New Roman"/>
          <w:sz w:val="36"/>
          <w:szCs w:val="36"/>
        </w:rPr>
      </w:pPr>
    </w:p>
    <w:p>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w:t>
      </w:r>
      <w:bookmarkStart w:id="261" w:name="_GoBack"/>
      <w:bookmarkEnd w:id="261"/>
      <w:r>
        <w:rPr>
          <w:rFonts w:hint="eastAsia" w:ascii="Times New Roman" w:hAnsi="Times New Roman" w:cs="Times New Roman"/>
          <w:sz w:val="24"/>
          <w:lang w:eastAsia="zh-CN"/>
        </w:rPr>
        <w:t>交</w:t>
      </w:r>
      <w:r>
        <w:rPr>
          <w:rFonts w:hint="eastAsia" w:ascii="Times New Roman" w:hAnsi="Times New Roman" w:cs="Times New Roman"/>
          <w:sz w:val="24"/>
        </w:rPr>
        <w:t xml:space="preserve">，我方承诺：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pPr>
        <w:wordWrap w:val="0"/>
        <w:topLinePunct/>
        <w:spacing w:line="400" w:lineRule="exact"/>
        <w:ind w:firstLine="720" w:firstLineChars="300"/>
        <w:rPr>
          <w:rFonts w:hint="eastAsia"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pPr>
        <w:pStyle w:val="2"/>
        <w:rPr>
          <w:rFonts w:hint="default" w:eastAsiaTheme="minorEastAsia"/>
          <w:u w:val="none"/>
          <w:lang w:val="en-US" w:eastAsia="zh-CN"/>
        </w:rPr>
      </w:pPr>
      <w:r>
        <w:rPr>
          <w:rFonts w:hint="eastAsia" w:ascii="Times New Roman" w:hAnsi="Times New Roman" w:cs="Times New Roman"/>
          <w:sz w:val="24"/>
          <w:lang w:val="en-US" w:eastAsia="zh-CN"/>
        </w:rPr>
        <w:t xml:space="preserve">    5.我司响应质保期为</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pPr>
        <w:pStyle w:val="35"/>
        <w:rPr>
          <w:rFonts w:hint="default" w:ascii="Times New Roman" w:hAnsi="Times New Roman"/>
          <w:color w:val="auto"/>
          <w:szCs w:val="28"/>
        </w:rPr>
      </w:pPr>
    </w:p>
    <w:p>
      <w:pPr>
        <w:adjustRightInd w:val="0"/>
        <w:snapToGrid w:val="0"/>
        <w:ind w:left="4748" w:leftChars="2261" w:firstLine="980" w:firstLineChars="350"/>
        <w:rPr>
          <w:rFonts w:ascii="Times New Roman" w:hAnsi="Times New Roman" w:cs="Times New Roman"/>
          <w:sz w:val="24"/>
        </w:rPr>
      </w:pP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ascii="Times New Roman" w:hAnsi="Times New Roman" w:cs="Times New Roman"/>
          <w:sz w:val="24"/>
        </w:rPr>
        <w:t>（盖单位公章）</w:t>
      </w:r>
    </w:p>
    <w:p>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ascii="Times New Roman" w:hAnsi="Times New Roman" w:cs="Times New Roman"/>
          <w:sz w:val="24"/>
        </w:rPr>
        <w:t>（签字或盖章）</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numPr>
          <w:ilvl w:val="0"/>
          <w:numId w:val="9"/>
        </w:numPr>
        <w:spacing w:line="360" w:lineRule="auto"/>
        <w:jc w:val="center"/>
        <w:outlineLvl w:val="0"/>
        <w:rPr>
          <w:rFonts w:hint="eastAsia" w:ascii="Times New Roman" w:hAnsi="Times New Roman" w:eastAsia="黑体" w:cs="Times New Roman"/>
          <w:sz w:val="28"/>
          <w:szCs w:val="28"/>
          <w:lang w:val="en-US" w:eastAsia="zh-CN"/>
        </w:rPr>
      </w:pPr>
      <w:bookmarkStart w:id="243" w:name="_Toc11617"/>
      <w:bookmarkStart w:id="244" w:name="_Toc1168"/>
      <w:bookmarkStart w:id="245" w:name="_Toc14109"/>
      <w:r>
        <w:rPr>
          <w:rFonts w:hint="eastAsia" w:ascii="Times New Roman" w:hAnsi="Times New Roman" w:eastAsia="黑体" w:cs="Times New Roman"/>
          <w:sz w:val="28"/>
          <w:szCs w:val="28"/>
          <w:lang w:val="en-US" w:eastAsia="zh-CN"/>
        </w:rPr>
        <w:t>供应商资格条件审查材料</w:t>
      </w:r>
    </w:p>
    <w:p>
      <w:pPr>
        <w:pStyle w:val="2"/>
        <w:numPr>
          <w:ilvl w:val="0"/>
          <w:numId w:val="0"/>
        </w:numPr>
        <w:spacing w:line="360" w:lineRule="auto"/>
        <w:jc w:val="center"/>
        <w:rPr>
          <w:rFonts w:hint="eastAsia"/>
          <w:sz w:val="24"/>
          <w:szCs w:val="24"/>
          <w:lang w:val="en-US" w:eastAsia="zh-CN"/>
        </w:rPr>
      </w:pPr>
      <w:r>
        <w:rPr>
          <w:rFonts w:hint="eastAsia"/>
          <w:sz w:val="24"/>
          <w:szCs w:val="24"/>
          <w:lang w:val="en-US" w:eastAsia="zh-CN"/>
        </w:rPr>
        <w:t>供应商应提供采购公告要求资格条件审查材料</w:t>
      </w:r>
    </w:p>
    <w:p>
      <w:pPr>
        <w:rPr>
          <w:rFonts w:hint="default"/>
          <w:lang w:val="en-US" w:eastAsia="zh-CN"/>
        </w:rPr>
      </w:pPr>
      <w:r>
        <w:rPr>
          <w:rFonts w:hint="default"/>
          <w:lang w:val="en-US" w:eastAsia="zh-CN"/>
        </w:rPr>
        <w:br w:type="page"/>
      </w:r>
    </w:p>
    <w:p>
      <w:pPr>
        <w:rPr>
          <w:rFonts w:hint="default"/>
          <w:lang w:val="en-US" w:eastAsia="zh-CN"/>
        </w:rPr>
      </w:pPr>
    </w:p>
    <w:p>
      <w:pPr>
        <w:spacing w:line="440" w:lineRule="exact"/>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十</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243"/>
      <w:bookmarkEnd w:id="244"/>
      <w:bookmarkEnd w:id="245"/>
    </w:p>
    <w:p>
      <w:pPr>
        <w:pStyle w:val="35"/>
        <w:rPr>
          <w:rFonts w:hint="default" w:ascii="Times New Roman" w:hAnsi="Times New Roman"/>
          <w:color w:val="auto"/>
          <w:szCs w:val="28"/>
        </w:rPr>
      </w:pPr>
    </w:p>
    <w:p>
      <w:pPr>
        <w:spacing w:line="400" w:lineRule="atLeast"/>
        <w:ind w:firstLine="480" w:firstLineChars="200"/>
        <w:jc w:val="center"/>
        <w:rPr>
          <w:rFonts w:hint="default" w:ascii="Times New Roman" w:hAnsi="Times New Roman" w:cs="Times New Roman" w:eastAsiaTheme="minorEastAsia"/>
          <w:sz w:val="24"/>
          <w:szCs w:val="28"/>
          <w:lang w:val="en-US" w:eastAsia="zh-CN"/>
        </w:rPr>
      </w:pPr>
      <w:r>
        <w:rPr>
          <w:rFonts w:hint="eastAsia" w:ascii="Times New Roman" w:hAnsi="Times New Roman" w:cs="Times New Roman"/>
          <w:sz w:val="24"/>
          <w:szCs w:val="28"/>
          <w:lang w:val="en-US" w:eastAsia="zh-CN"/>
        </w:rPr>
        <w:t>供应商认为需要提供的其他材料。</w:t>
      </w: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br w:type="page"/>
      </w:r>
    </w:p>
    <w:p>
      <w:pPr>
        <w:pStyle w:val="3"/>
      </w:pPr>
    </w:p>
    <w:p>
      <w:pPr>
        <w:spacing w:line="400" w:lineRule="atLeast"/>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40" w:lineRule="exact"/>
        <w:jc w:val="center"/>
        <w:rPr>
          <w:rFonts w:hint="default"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none"/>
          <w:lang w:val="en-US" w:eastAsia="zh-CN"/>
        </w:rPr>
        <w:t>（包段）</w:t>
      </w:r>
    </w:p>
    <w:p>
      <w:pPr>
        <w:pStyle w:val="6"/>
        <w:numPr>
          <w:ilvl w:val="0"/>
          <w:numId w:val="0"/>
        </w:numPr>
        <w:ind w:left="417" w:leftChars="0"/>
        <w:rPr>
          <w:rFonts w:hint="eastAsia"/>
        </w:rPr>
      </w:pP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25"/>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p>
    <w:p>
      <w:pPr>
        <w:adjustRightInd w:val="0"/>
        <w:snapToGrid w:val="0"/>
        <w:rPr>
          <w:rFonts w:ascii="Times New Roman" w:hAnsi="Times New Roman" w:eastAsia="黑体" w:cs="Times New Roman"/>
          <w:sz w:val="20"/>
          <w:szCs w:val="20"/>
        </w:rPr>
      </w:pPr>
    </w:p>
    <w:p>
      <w:pPr>
        <w:jc w:val="center"/>
        <w:outlineLvl w:val="1"/>
        <w:rPr>
          <w:rFonts w:hint="eastAsia" w:ascii="Times New Roman" w:hAnsi="Times New Roman" w:eastAsia="黑体" w:cs="Times New Roman"/>
          <w:sz w:val="28"/>
          <w:szCs w:val="28"/>
          <w:lang w:eastAsia="zh-CN"/>
        </w:rPr>
      </w:pPr>
      <w:bookmarkStart w:id="246" w:name="_Toc8703"/>
      <w:bookmarkStart w:id="247" w:name="_Toc11805_WPSOffice_Level1"/>
      <w:bookmarkStart w:id="248" w:name="_Toc24269_WPSOffice_Level1"/>
      <w:bookmarkStart w:id="249" w:name="_Toc1924"/>
      <w:bookmarkStart w:id="250" w:name="_Toc29968"/>
      <w:bookmarkStart w:id="251" w:name="_Toc30031_WPSOffice_Level1"/>
      <w:bookmarkStart w:id="252" w:name="_Toc23583"/>
      <w:bookmarkStart w:id="253" w:name="_Toc1687_WPSOffice_Level1"/>
      <w:bookmarkStart w:id="254" w:name="_Toc15092"/>
      <w:bookmarkStart w:id="255" w:name="_Toc18312_WPSOffice_Level1"/>
      <w:bookmarkStart w:id="256" w:name="_Toc2765_WPSOffice_Level1"/>
      <w:bookmarkStart w:id="257" w:name="_Toc29399_WPSOffice_Level1"/>
      <w:r>
        <w:rPr>
          <w:rFonts w:ascii="Times New Roman" w:hAnsi="Times New Roman" w:eastAsia="黑体" w:cs="Times New Roman"/>
          <w:sz w:val="28"/>
          <w:szCs w:val="28"/>
        </w:rPr>
        <w:t>一、</w:t>
      </w:r>
      <w:bookmarkEnd w:id="246"/>
      <w:bookmarkEnd w:id="247"/>
      <w:bookmarkEnd w:id="248"/>
      <w:bookmarkEnd w:id="249"/>
      <w:bookmarkEnd w:id="250"/>
      <w:bookmarkEnd w:id="251"/>
      <w:bookmarkEnd w:id="252"/>
      <w:bookmarkEnd w:id="253"/>
      <w:bookmarkEnd w:id="254"/>
      <w:bookmarkEnd w:id="255"/>
      <w:bookmarkEnd w:id="256"/>
      <w:bookmarkEnd w:id="257"/>
      <w:r>
        <w:rPr>
          <w:rFonts w:hint="eastAsia" w:ascii="Times New Roman" w:hAnsi="Times New Roman" w:eastAsia="黑体" w:cs="Times New Roman"/>
          <w:sz w:val="28"/>
          <w:szCs w:val="28"/>
          <w:lang w:eastAsia="zh-CN"/>
        </w:rPr>
        <w:t>响应函</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pStyle w:val="2"/>
      </w:pPr>
    </w:p>
    <w:p>
      <w:pPr>
        <w:keepNext w:val="0"/>
        <w:keepLines w:val="0"/>
        <w:pageBreakBefore w:val="0"/>
        <w:widowControl/>
        <w:suppressLineNumbers w:val="0"/>
        <w:kinsoku/>
        <w:wordWrap w:val="0"/>
        <w:overflowPunct/>
        <w:topLinePunct/>
        <w:autoSpaceDE/>
        <w:autoSpaceDN/>
        <w:bidi w:val="0"/>
        <w:adjustRightInd/>
        <w:snapToGrid/>
        <w:ind w:firstLine="480" w:firstLineChars="200"/>
        <w:jc w:val="left"/>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5</w:t>
      </w:r>
      <w:r>
        <w:rPr>
          <w:rFonts w:ascii="Times New Roman" w:hAnsi="Times New Roman" w:cs="Times New Roman"/>
          <w:sz w:val="24"/>
        </w:rPr>
        <w:t>．在合同协议书正式签署生效之前，本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6</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lang w:val="en-US" w:eastAsia="zh-CN"/>
        </w:rPr>
        <w:t>7</w:t>
      </w:r>
      <w:r>
        <w:rPr>
          <w:rFonts w:hint="eastAsia" w:ascii="Times New Roman" w:hAnsi="Times New Roman" w:cs="Times New Roman"/>
          <w:sz w:val="24"/>
        </w:rPr>
        <w:t>.____/____（其他补充说明）。</w:t>
      </w:r>
    </w:p>
    <w:p>
      <w:pPr>
        <w:pStyle w:val="2"/>
        <w:rPr>
          <w:rFonts w:hint="eastAsia" w:ascii="Times New Roman" w:hAnsi="Times New Roman" w:cs="Times New Roman"/>
          <w:sz w:val="24"/>
        </w:rPr>
      </w:pPr>
    </w:p>
    <w:p>
      <w:pPr>
        <w:pStyle w:val="35"/>
        <w:rPr>
          <w:rFonts w:hint="eastAsia"/>
        </w:rPr>
      </w:pP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00" w:lineRule="exact"/>
        <w:ind w:firstLine="4740" w:firstLineChars="1975"/>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6"/>
        <w:numPr>
          <w:ilvl w:val="0"/>
          <w:numId w:val="0"/>
        </w:numPr>
        <w:ind w:left="417" w:leftChars="0"/>
      </w:pPr>
    </w:p>
    <w:p>
      <w:pPr>
        <w:pStyle w:val="2"/>
      </w:pPr>
    </w:p>
    <w:p>
      <w:pPr>
        <w:pStyle w:val="25"/>
        <w:rPr>
          <w:rFonts w:ascii="Times New Roman" w:hAnsi="Times New Roman" w:cs="Times New Roman"/>
          <w:sz w:val="24"/>
        </w:rPr>
      </w:pPr>
    </w:p>
    <w:p>
      <w:pPr>
        <w:jc w:val="center"/>
        <w:outlineLvl w:val="1"/>
        <w:rPr>
          <w:rFonts w:hint="eastAsia" w:ascii="Times New Roman" w:hAnsi="Times New Roman" w:eastAsia="黑体" w:cs="Times New Roman"/>
          <w:sz w:val="28"/>
          <w:szCs w:val="28"/>
          <w:lang w:eastAsia="zh-CN"/>
        </w:rPr>
      </w:pPr>
      <w:bookmarkStart w:id="258" w:name="_Toc153421230"/>
      <w:bookmarkStart w:id="259" w:name="_Toc162490440"/>
      <w:bookmarkStart w:id="260" w:name="_Toc272486050"/>
      <w:r>
        <w:rPr>
          <w:rFonts w:ascii="Times New Roman" w:hAnsi="Times New Roman" w:eastAsia="黑体" w:cs="Times New Roman"/>
          <w:sz w:val="28"/>
          <w:szCs w:val="28"/>
        </w:rPr>
        <w:t>二、</w:t>
      </w:r>
      <w:bookmarkEnd w:id="258"/>
      <w:bookmarkEnd w:id="259"/>
      <w:bookmarkEnd w:id="260"/>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的报价清单</w:t>
      </w:r>
    </w:p>
    <w:p>
      <w:pPr>
        <w:spacing w:line="440" w:lineRule="exact"/>
        <w:rPr>
          <w:rFonts w:ascii="Times New Roman" w:hAnsi="Times New Roman" w:eastAsia="黑体" w:cs="Times New Roman"/>
          <w:color w:val="auto"/>
          <w:sz w:val="24"/>
          <w:highlight w:val="none"/>
        </w:rPr>
      </w:pPr>
    </w:p>
    <w:p>
      <w:pPr>
        <w:spacing w:line="440" w:lineRule="exact"/>
        <w:rPr>
          <w:rFonts w:ascii="Times New Roman" w:hAnsi="Times New Roman" w:eastAsia="黑体" w:cs="Times New Roman"/>
          <w:color w:val="auto"/>
          <w:sz w:val="24"/>
          <w:highlight w:val="none"/>
        </w:rPr>
      </w:pPr>
    </w:p>
    <w:p>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请供应商按照所投包段的附件清单逐一填写。</w:t>
      </w: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w:t>
      </w:r>
      <w:r>
        <w:rPr>
          <w:rFonts w:hint="eastAsia" w:ascii="宋体" w:hAnsi="宋体"/>
          <w:b/>
          <w:bCs/>
          <w:color w:val="auto"/>
          <w:szCs w:val="21"/>
          <w:highlight w:val="none"/>
          <w:u w:val="none"/>
        </w:rPr>
        <w:t>的货物费、人工费、材料费、</w:t>
      </w:r>
      <w:r>
        <w:rPr>
          <w:rFonts w:hint="eastAsia" w:ascii="宋体" w:hAnsi="宋体"/>
          <w:b/>
          <w:bCs/>
          <w:color w:val="auto"/>
          <w:szCs w:val="21"/>
          <w:highlight w:val="none"/>
          <w:u w:val="none"/>
          <w:lang w:val="en-US" w:eastAsia="zh-CN"/>
        </w:rPr>
        <w:t>加工费、安装费、</w:t>
      </w:r>
      <w:r>
        <w:rPr>
          <w:rFonts w:hint="eastAsia" w:ascii="宋体" w:hAnsi="宋体"/>
          <w:b/>
          <w:bCs/>
          <w:color w:val="auto"/>
          <w:szCs w:val="21"/>
          <w:highlight w:val="none"/>
          <w:u w:val="none"/>
        </w:rPr>
        <w:t>机械费、运输费、管理费、利润、风险</w:t>
      </w:r>
      <w:r>
        <w:rPr>
          <w:rFonts w:hint="eastAsia" w:ascii="宋体" w:hAnsi="宋体"/>
          <w:b/>
          <w:bCs/>
          <w:color w:val="auto"/>
          <w:szCs w:val="21"/>
          <w:highlight w:val="none"/>
          <w:u w:val="none"/>
          <w:lang w:eastAsia="zh-CN"/>
        </w:rPr>
        <w:t>、报检、</w:t>
      </w:r>
      <w:r>
        <w:rPr>
          <w:rFonts w:hint="eastAsia" w:ascii="宋体" w:hAnsi="宋体"/>
          <w:b/>
          <w:bCs/>
          <w:color w:val="auto"/>
          <w:szCs w:val="21"/>
          <w:highlight w:val="none"/>
          <w:u w:val="none"/>
          <w:lang w:val="en-US" w:eastAsia="zh-CN"/>
        </w:rPr>
        <w:t>成品保护费</w:t>
      </w:r>
      <w:r>
        <w:rPr>
          <w:rFonts w:hint="eastAsia" w:ascii="宋体" w:hAnsi="宋体"/>
          <w:b/>
          <w:bCs/>
          <w:color w:val="auto"/>
          <w:szCs w:val="21"/>
          <w:highlight w:val="none"/>
          <w:u w:val="none"/>
          <w:lang w:eastAsia="zh-CN"/>
        </w:rPr>
        <w:t>、</w:t>
      </w:r>
      <w:r>
        <w:rPr>
          <w:rFonts w:hint="eastAsia" w:ascii="宋体" w:hAnsi="宋体"/>
          <w:b/>
          <w:bCs/>
          <w:color w:val="auto"/>
          <w:szCs w:val="21"/>
          <w:highlight w:val="none"/>
          <w:u w:val="none"/>
          <w:lang w:val="en-US" w:eastAsia="zh-CN"/>
        </w:rPr>
        <w:t>现场配合费用（临水临电等）</w:t>
      </w:r>
      <w:r>
        <w:rPr>
          <w:rFonts w:hint="eastAsia" w:ascii="宋体" w:hAnsi="宋体"/>
          <w:color w:val="auto"/>
          <w:szCs w:val="21"/>
          <w:highlight w:val="none"/>
          <w:u w:val="none"/>
        </w:rPr>
        <w:t>等</w:t>
      </w:r>
      <w:r>
        <w:rPr>
          <w:rFonts w:hint="eastAsia" w:ascii="宋体" w:hAnsi="宋体"/>
          <w:color w:val="auto"/>
          <w:szCs w:val="21"/>
          <w:highlight w:val="none"/>
          <w:u w:val="none"/>
          <w:lang w:val="en-US" w:eastAsia="zh-CN"/>
        </w:rPr>
        <w:t>完成交付使用的</w:t>
      </w:r>
      <w:r>
        <w:rPr>
          <w:rFonts w:hint="eastAsia" w:ascii="宋体" w:hAnsi="宋体"/>
          <w:color w:val="auto"/>
          <w:szCs w:val="21"/>
          <w:highlight w:val="none"/>
          <w:u w:val="none"/>
        </w:rPr>
        <w:t>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pPr>
        <w:bidi w:val="0"/>
        <w:rPr>
          <w:rFonts w:hint="eastAsia"/>
          <w:lang w:val="en-US" w:eastAsia="zh-CN"/>
        </w:rPr>
      </w:pPr>
    </w:p>
    <w:p>
      <w:pPr>
        <w:numPr>
          <w:ilvl w:val="0"/>
          <w:numId w:val="10"/>
        </w:numPr>
        <w:spacing w:line="360" w:lineRule="auto"/>
        <w:jc w:val="center"/>
        <w:rPr>
          <w:rFonts w:hint="eastAsia" w:ascii="宋体" w:hAnsi="宋体"/>
          <w:b/>
          <w:color w:val="auto"/>
          <w:highlight w:val="none"/>
          <w:u w:val="none"/>
        </w:rPr>
      </w:pPr>
      <w:r>
        <w:rPr>
          <w:rFonts w:hint="eastAsia" w:ascii="宋体" w:hAnsi="宋体"/>
          <w:b/>
          <w:color w:val="auto"/>
          <w:highlight w:val="none"/>
          <w:u w:val="none"/>
        </w:rPr>
        <w:t>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pPr>
              <w:pStyle w:val="25"/>
              <w:ind w:left="0" w:leftChars="0" w:firstLine="0" w:firstLineChars="0"/>
              <w:jc w:val="center"/>
              <w:rPr>
                <w:rFonts w:hint="default"/>
                <w:lang w:val="en-US" w:eastAsia="zh-CN"/>
              </w:rPr>
            </w:pPr>
            <w:r>
              <w:rPr>
                <w:rFonts w:hint="eastAsia"/>
                <w:lang w:val="en-US" w:eastAsia="zh-CN"/>
              </w:rPr>
              <w:t>门窗采购项目</w:t>
            </w:r>
          </w:p>
        </w:tc>
        <w:tc>
          <w:tcPr>
            <w:tcW w:w="1922"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p>
        </w:tc>
      </w:tr>
    </w:tbl>
    <w:p>
      <w:pPr>
        <w:pStyle w:val="25"/>
        <w:ind w:left="0" w:leftChars="0" w:firstLine="0" w:firstLineChars="0"/>
        <w:rPr>
          <w:rFonts w:hint="eastAsia" w:ascii="宋体" w:hAnsi="宋体"/>
          <w:color w:val="auto"/>
          <w:szCs w:val="21"/>
          <w:highlight w:val="none"/>
          <w:u w:val="none"/>
        </w:rPr>
      </w:pPr>
    </w:p>
    <w:p>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pPr>
        <w:ind w:right="480" w:firstLine="1470" w:firstLineChars="700"/>
        <w:jc w:val="right"/>
        <w:rPr>
          <w:rFonts w:ascii="宋体" w:hAnsi="宋体"/>
          <w:color w:val="auto"/>
          <w:szCs w:val="21"/>
          <w:highlight w:val="none"/>
          <w:u w:val="none"/>
        </w:rPr>
      </w:pPr>
    </w:p>
    <w:p>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pPr>
        <w:pStyle w:val="25"/>
        <w:rPr>
          <w:color w:val="auto"/>
          <w:highlight w:val="none"/>
        </w:rPr>
      </w:pPr>
    </w:p>
    <w:p>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rPr>
          <w:rFonts w:hint="eastAsia"/>
          <w:lang w:val="en-US" w:eastAsia="zh-CN"/>
        </w:rPr>
      </w:pPr>
      <w:r>
        <w:rPr>
          <w:rFonts w:hint="eastAsia"/>
          <w:b/>
          <w:bCs/>
          <w:sz w:val="24"/>
          <w:szCs w:val="24"/>
          <w:lang w:val="en-US" w:eastAsia="zh-CN"/>
        </w:rPr>
        <w:t>（后附所投包段的清单文件，详见附件清单）</w:t>
      </w:r>
      <w:r>
        <w:rPr>
          <w:rFonts w:hint="eastAsia"/>
          <w:lang w:val="en-US" w:eastAsia="zh-CN"/>
        </w:rPr>
        <w:br w:type="page"/>
      </w:r>
    </w:p>
    <w:p>
      <w:pPr>
        <w:pStyle w:val="24"/>
        <w:rPr>
          <w:rFonts w:hint="eastAsia"/>
          <w:lang w:val="en-US" w:eastAsia="zh-CN"/>
        </w:rPr>
      </w:pPr>
    </w:p>
    <w:p>
      <w:pPr>
        <w:pStyle w:val="15"/>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Pr>
        <w:pStyle w:val="25"/>
        <w:rPr>
          <w:rFonts w:ascii="Times New Roman" w:hAnsi="Times New Roman" w:cs="Times New Roman"/>
          <w:sz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安徽交控建设工程集团有限公司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Style w:val="35"/>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1942B9-CD8E-4EFE-8328-5160D08AF3C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4727190-619C-4141-8B81-E3D67DCFCB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2A2813D-4D0B-42BB-85FE-3BED4D7A3343}"/>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4" w:fontKey="{6E07BE12-4F3B-4076-BB3D-435233A56E41}"/>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5" w:fontKey="{6DC7D2BE-C40C-4FE0-976A-17547F5FAC02}"/>
  </w:font>
  <w:font w:name="Wingdings 2">
    <w:panose1 w:val="05020102010507070707"/>
    <w:charset w:val="02"/>
    <w:family w:val="roman"/>
    <w:pitch w:val="default"/>
    <w:sig w:usb0="00000000" w:usb1="00000000" w:usb2="00000000" w:usb3="00000000" w:csb0="80000000" w:csb1="00000000"/>
    <w:embedRegular r:id="rId6" w:fontKey="{32140F70-372D-41E1-9B95-B48CE720EC03}"/>
  </w:font>
  <w:font w:name="华文楷体">
    <w:panose1 w:val="02010600040101010101"/>
    <w:charset w:val="86"/>
    <w:family w:val="auto"/>
    <w:pitch w:val="default"/>
    <w:sig w:usb0="00000287" w:usb1="080F0000" w:usb2="00000000" w:usb3="00000000" w:csb0="0004009F" w:csb1="DFD70000"/>
    <w:embedRegular r:id="rId7" w:fontKey="{3268EB4A-B1E6-424D-9004-4B5099DA4B8B}"/>
  </w:font>
  <w:font w:name="楷体">
    <w:panose1 w:val="02010609060101010101"/>
    <w:charset w:val="86"/>
    <w:family w:val="auto"/>
    <w:pitch w:val="default"/>
    <w:sig w:usb0="800002BF" w:usb1="38CF7CFA" w:usb2="00000016" w:usb3="00000000" w:csb0="00040001" w:csb1="00000000"/>
    <w:embedRegular r:id="rId8" w:fontKey="{DDA0FAC4-0041-420D-B8E7-B0CE3C0E0BA1}"/>
  </w:font>
  <w:font w:name="方正小标宋_GBK">
    <w:panose1 w:val="02000000000000000000"/>
    <w:charset w:val="86"/>
    <w:family w:val="auto"/>
    <w:pitch w:val="default"/>
    <w:sig w:usb0="A00002BF" w:usb1="38CF7CFA" w:usb2="00082016" w:usb3="00000000" w:csb0="00040001" w:csb1="00000000"/>
    <w:embedRegular r:id="rId9" w:fontKey="{75881098-2A77-4C43-979A-BD0F39E6D4B1}"/>
  </w:font>
  <w:font w:name="华文中宋">
    <w:panose1 w:val="02010600040101010101"/>
    <w:charset w:val="50"/>
    <w:family w:val="auto"/>
    <w:pitch w:val="default"/>
    <w:sig w:usb0="00000287" w:usb1="080F0000" w:usb2="00000000" w:usb3="00000000" w:csb0="0004009F" w:csb1="DFD70000"/>
    <w:embedRegular r:id="rId10" w:fontKey="{9D01C00F-50A0-488F-A8B7-A619BF45E4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48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7"/>
                            <w:ind w:firstLine="36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1312;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CYPpbb1QEAAKUDAAAOAAAAZHJzL2Uyb0RvYy54bWytU0tu2zAQ3Rfo&#10;HQjua8mJ2y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Xm+WFyUbynheDQ/v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Jg+ltvVAQAApQMAAA4AAAAAAAAAAQAgAAAA&#10;IAEAAGRycy9lMm9Eb2MueG1sUEsFBgAAAAAGAAYAWQEAAGcFA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15</w:t>
                    </w:r>
                    <w:r>
                      <w:fldChar w:fldCharType="end"/>
                    </w:r>
                  </w:p>
                </w:txbxContent>
              </v:textbox>
            </v:shape>
          </w:pict>
        </mc:Fallback>
      </mc:AlternateContent>
    </w:r>
  </w:p>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1605" cy="3321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1605" cy="332105"/>
                      </a:xfrm>
                      <a:prstGeom prst="rect">
                        <a:avLst/>
                      </a:prstGeom>
                      <a:noFill/>
                      <a:ln w="6350">
                        <a:noFill/>
                      </a:ln>
                      <a:effectLst/>
                    </wps:spPr>
                    <wps:txbx>
                      <w:txbxContent>
                        <w:p>
                          <w:pPr>
                            <w:jc w:val="center"/>
                          </w:pPr>
                          <w:r>
                            <w:fldChar w:fldCharType="begin"/>
                          </w:r>
                          <w:r>
                            <w:rPr>
                              <w:rStyle w:val="30"/>
                            </w:rPr>
                            <w:instrText xml:space="preserve"> PAGE </w:instrText>
                          </w:r>
                          <w:r>
                            <w:fldChar w:fldCharType="separate"/>
                          </w:r>
                          <w:r>
                            <w:rPr>
                              <w:rStyle w:val="30"/>
                            </w:rPr>
                            <w:t>21</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6.15pt;width:11.15pt;mso-position-horizontal:center;mso-position-horizontal-relative:margin;mso-wrap-style:none;z-index:251660288;mso-width-relative:page;mso-height-relative:page;" filled="f" stroked="f" coordsize="21600,21600" o:gfxdata="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bvRJ0QAAAAMBAAAPAAAAAAAAAAEAIAAAACIAAABkcnMvZG93bnJldi54bWxQSwEC&#10;FAAUAAAACACHTuJAY8obTTQCAABhBAAADgAAAAAAAAABACAAAAAgAQAAZHJzL2Uyb0RvYy54bWxQ&#10;SwUGAAAAAAYABgBZAQAAxgUAAAAA&#10;">
              <v:fill on="f" focussize="0,0"/>
              <v:stroke on="f" weight="0.5pt"/>
              <v:imagedata o:title=""/>
              <o:lock v:ext="edit" aspectratio="f"/>
              <v:textbox inset="0mm,0mm,0mm,0mm" style="mso-fit-shape-to-text:t;">
                <w:txbxContent>
                  <w:p>
                    <w:pPr>
                      <w:jc w:val="center"/>
                    </w:pPr>
                    <w:r>
                      <w:fldChar w:fldCharType="begin"/>
                    </w:r>
                    <w:r>
                      <w:rPr>
                        <w:rStyle w:val="30"/>
                      </w:rPr>
                      <w:instrText xml:space="preserve"> PAGE </w:instrText>
                    </w:r>
                    <w:r>
                      <w:fldChar w:fldCharType="separate"/>
                    </w:r>
                    <w:r>
                      <w:rPr>
                        <w:rStyle w:val="30"/>
                      </w:rPr>
                      <w:t>21</w:t>
                    </w:r>
                    <w: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48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7"/>
                            <w:ind w:firstLine="360"/>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59264;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DXmeSz1QEAAKUDAAAOAAAAZHJzL2Uyb0RvYy54bWytU0tu2zAQ3Rfo&#10;HQjua8lx2i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bk4P78o31LC8Wi+uH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NeZ5LPVAQAApQMAAA4AAAAAAAAAAQAgAAAA&#10;IAEAAGRycy9lMm9Eb2MueG1sUEsFBgAAAAAGAAYAWQEAAGcFA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6"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B7AF930"/>
    <w:multiLevelType w:val="singleLevel"/>
    <w:tmpl w:val="DB7AF930"/>
    <w:lvl w:ilvl="0" w:tentative="0">
      <w:start w:val="2"/>
      <w:numFmt w:val="upperLetter"/>
      <w:suff w:val="space"/>
      <w:lvlText w:val="%1．"/>
      <w:lvlJc w:val="left"/>
    </w:lvl>
  </w:abstractNum>
  <w:abstractNum w:abstractNumId="3">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4">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6">
    <w:nsid w:val="3603CF9A"/>
    <w:multiLevelType w:val="singleLevel"/>
    <w:tmpl w:val="3603CF9A"/>
    <w:lvl w:ilvl="0" w:tentative="0">
      <w:start w:val="13"/>
      <w:numFmt w:val="chineseCounting"/>
      <w:suff w:val="nothing"/>
      <w:lvlText w:val="%1、"/>
      <w:lvlJc w:val="left"/>
      <w:rPr>
        <w:rFonts w:hint="eastAsia"/>
      </w:rPr>
    </w:lvl>
  </w:abstractNum>
  <w:abstractNum w:abstractNumId="7">
    <w:nsid w:val="500F27BF"/>
    <w:multiLevelType w:val="singleLevel"/>
    <w:tmpl w:val="500F27BF"/>
    <w:lvl w:ilvl="0" w:tentative="0">
      <w:start w:val="9"/>
      <w:numFmt w:val="chineseCounting"/>
      <w:suff w:val="nothing"/>
      <w:lvlText w:val="%1、"/>
      <w:lvlJc w:val="left"/>
      <w:rPr>
        <w:rFonts w:hint="eastAsia"/>
      </w:rPr>
    </w:lvl>
  </w:abstractNum>
  <w:abstractNum w:abstractNumId="8">
    <w:nsid w:val="51667A37"/>
    <w:multiLevelType w:val="singleLevel"/>
    <w:tmpl w:val="51667A37"/>
    <w:lvl w:ilvl="0" w:tentative="0">
      <w:start w:val="3"/>
      <w:numFmt w:val="chineseCounting"/>
      <w:suff w:val="nothing"/>
      <w:lvlText w:val="%1、"/>
      <w:lvlJc w:val="left"/>
      <w:rPr>
        <w:rFonts w:hint="eastAsia"/>
      </w:rPr>
    </w:lvl>
  </w:abstractNum>
  <w:num w:numId="1">
    <w:abstractNumId w:val="1"/>
  </w:num>
  <w:num w:numId="2">
    <w:abstractNumId w:val="5"/>
  </w:num>
  <w:num w:numId="3">
    <w:abstractNumId w:val="5"/>
    <w:lvlOverride w:ilvl="0">
      <w:startOverride w:val="1"/>
    </w:lvlOverride>
  </w:num>
  <w:num w:numId="4">
    <w:abstractNumId w:val="4"/>
  </w:num>
  <w:num w:numId="5">
    <w:abstractNumId w:val="0"/>
  </w:num>
  <w:num w:numId="6">
    <w:abstractNumId w:val="6"/>
  </w:num>
  <w:num w:numId="7">
    <w:abstractNumId w:val="8"/>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7efb1eb2-0d5d-4453-8990-e052e3b0c86c"/>
  </w:docVars>
  <w:rsids>
    <w:rsidRoot w:val="00173451"/>
    <w:rsid w:val="0001283D"/>
    <w:rsid w:val="000168CA"/>
    <w:rsid w:val="0002748A"/>
    <w:rsid w:val="000A75D9"/>
    <w:rsid w:val="00126DE8"/>
    <w:rsid w:val="0016145A"/>
    <w:rsid w:val="00164C26"/>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D06C4"/>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5647CC"/>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1F2C2E"/>
    <w:rsid w:val="05474D67"/>
    <w:rsid w:val="055A37C3"/>
    <w:rsid w:val="057351EA"/>
    <w:rsid w:val="059761EF"/>
    <w:rsid w:val="059F2433"/>
    <w:rsid w:val="05A12F8F"/>
    <w:rsid w:val="05B16949"/>
    <w:rsid w:val="05C614B1"/>
    <w:rsid w:val="05EC39B6"/>
    <w:rsid w:val="05EC3DBF"/>
    <w:rsid w:val="05F90297"/>
    <w:rsid w:val="060C39DD"/>
    <w:rsid w:val="061006D5"/>
    <w:rsid w:val="061E4834"/>
    <w:rsid w:val="06227012"/>
    <w:rsid w:val="06291D77"/>
    <w:rsid w:val="062929E2"/>
    <w:rsid w:val="06432CF5"/>
    <w:rsid w:val="064B1FD0"/>
    <w:rsid w:val="065169B7"/>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5B1279"/>
    <w:rsid w:val="078B5EF9"/>
    <w:rsid w:val="07914D92"/>
    <w:rsid w:val="07C93DD2"/>
    <w:rsid w:val="07DD5F1D"/>
    <w:rsid w:val="07F10BD9"/>
    <w:rsid w:val="07F33261"/>
    <w:rsid w:val="07FB3039"/>
    <w:rsid w:val="07FC2047"/>
    <w:rsid w:val="080A4F8B"/>
    <w:rsid w:val="081D312D"/>
    <w:rsid w:val="08290DFC"/>
    <w:rsid w:val="082B101D"/>
    <w:rsid w:val="082D031A"/>
    <w:rsid w:val="083227D0"/>
    <w:rsid w:val="083E61F6"/>
    <w:rsid w:val="08441F41"/>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9E23DA"/>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9D03F6"/>
    <w:rsid w:val="0AB60CBE"/>
    <w:rsid w:val="0AD24F83"/>
    <w:rsid w:val="0ADB488F"/>
    <w:rsid w:val="0ADF4740"/>
    <w:rsid w:val="0AF404CA"/>
    <w:rsid w:val="0B237F0C"/>
    <w:rsid w:val="0B25655D"/>
    <w:rsid w:val="0B2D2CDB"/>
    <w:rsid w:val="0B2D3076"/>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CE211A"/>
    <w:rsid w:val="0CE45ABA"/>
    <w:rsid w:val="0CE55D2A"/>
    <w:rsid w:val="0CEA1161"/>
    <w:rsid w:val="0D0E1A16"/>
    <w:rsid w:val="0D0F3FB6"/>
    <w:rsid w:val="0D10611A"/>
    <w:rsid w:val="0D204464"/>
    <w:rsid w:val="0D245D5D"/>
    <w:rsid w:val="0D2A5D78"/>
    <w:rsid w:val="0D5220FA"/>
    <w:rsid w:val="0D643C93"/>
    <w:rsid w:val="0D840310"/>
    <w:rsid w:val="0D8B2166"/>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762793"/>
    <w:rsid w:val="0FAE4A21"/>
    <w:rsid w:val="0FB81B5B"/>
    <w:rsid w:val="0FD00E8A"/>
    <w:rsid w:val="0FFE6FD8"/>
    <w:rsid w:val="1002386B"/>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11E9"/>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65675"/>
    <w:rsid w:val="128F2D41"/>
    <w:rsid w:val="12926138"/>
    <w:rsid w:val="129A697A"/>
    <w:rsid w:val="12C6189A"/>
    <w:rsid w:val="12CA7A4E"/>
    <w:rsid w:val="12CE785B"/>
    <w:rsid w:val="12D16BCB"/>
    <w:rsid w:val="12DC2AAB"/>
    <w:rsid w:val="12E74E3F"/>
    <w:rsid w:val="12ED7F8F"/>
    <w:rsid w:val="12F04674"/>
    <w:rsid w:val="12FE1AE7"/>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735B1"/>
    <w:rsid w:val="1588777F"/>
    <w:rsid w:val="15895244"/>
    <w:rsid w:val="159E013D"/>
    <w:rsid w:val="15BA0961"/>
    <w:rsid w:val="15BC6BCB"/>
    <w:rsid w:val="15D32868"/>
    <w:rsid w:val="15E35210"/>
    <w:rsid w:val="15EE1192"/>
    <w:rsid w:val="15FD0081"/>
    <w:rsid w:val="161713B9"/>
    <w:rsid w:val="1621024A"/>
    <w:rsid w:val="162117F2"/>
    <w:rsid w:val="1623256F"/>
    <w:rsid w:val="1635775C"/>
    <w:rsid w:val="163D38BD"/>
    <w:rsid w:val="164432FC"/>
    <w:rsid w:val="16611432"/>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0A07CD"/>
    <w:rsid w:val="181F7B0D"/>
    <w:rsid w:val="182257C2"/>
    <w:rsid w:val="183C3414"/>
    <w:rsid w:val="184D7361"/>
    <w:rsid w:val="18611ADF"/>
    <w:rsid w:val="18660D83"/>
    <w:rsid w:val="188F0361"/>
    <w:rsid w:val="18A34D8C"/>
    <w:rsid w:val="18AD0BE1"/>
    <w:rsid w:val="18B619A6"/>
    <w:rsid w:val="18BB43F9"/>
    <w:rsid w:val="18BD2A66"/>
    <w:rsid w:val="18C13AC1"/>
    <w:rsid w:val="18D119EE"/>
    <w:rsid w:val="18FF22A3"/>
    <w:rsid w:val="190102ED"/>
    <w:rsid w:val="19023710"/>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613F40"/>
    <w:rsid w:val="1A6450AE"/>
    <w:rsid w:val="1A6F3D1D"/>
    <w:rsid w:val="1A742AE7"/>
    <w:rsid w:val="1A8369AA"/>
    <w:rsid w:val="1A851E5E"/>
    <w:rsid w:val="1A976D8E"/>
    <w:rsid w:val="1A9A00BD"/>
    <w:rsid w:val="1A9F3526"/>
    <w:rsid w:val="1AA0077C"/>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F71AC"/>
    <w:rsid w:val="1E407FC7"/>
    <w:rsid w:val="1E484768"/>
    <w:rsid w:val="1E4A65BA"/>
    <w:rsid w:val="1E506677"/>
    <w:rsid w:val="1E5A2DA3"/>
    <w:rsid w:val="1E611165"/>
    <w:rsid w:val="1E6C6427"/>
    <w:rsid w:val="1E7646AA"/>
    <w:rsid w:val="1E8E1B7F"/>
    <w:rsid w:val="1E965D04"/>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121E5"/>
    <w:rsid w:val="206161F0"/>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337B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B5F35"/>
    <w:rsid w:val="24491800"/>
    <w:rsid w:val="244B3815"/>
    <w:rsid w:val="24530C8F"/>
    <w:rsid w:val="245534AD"/>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7A7F12"/>
    <w:rsid w:val="26845C6C"/>
    <w:rsid w:val="269408C3"/>
    <w:rsid w:val="269A360B"/>
    <w:rsid w:val="26A244E0"/>
    <w:rsid w:val="26AF5A72"/>
    <w:rsid w:val="26BE55EA"/>
    <w:rsid w:val="26C35476"/>
    <w:rsid w:val="26C762DB"/>
    <w:rsid w:val="26DC20E5"/>
    <w:rsid w:val="26E71E33"/>
    <w:rsid w:val="26F97745"/>
    <w:rsid w:val="270E3585"/>
    <w:rsid w:val="27154292"/>
    <w:rsid w:val="273F5F9F"/>
    <w:rsid w:val="274B353E"/>
    <w:rsid w:val="27524FD4"/>
    <w:rsid w:val="275319F4"/>
    <w:rsid w:val="27613BAA"/>
    <w:rsid w:val="276A2C20"/>
    <w:rsid w:val="276E6872"/>
    <w:rsid w:val="278E3101"/>
    <w:rsid w:val="27941CFF"/>
    <w:rsid w:val="27964BC3"/>
    <w:rsid w:val="279D100E"/>
    <w:rsid w:val="27BC1DF8"/>
    <w:rsid w:val="27C04E60"/>
    <w:rsid w:val="28076074"/>
    <w:rsid w:val="280D4614"/>
    <w:rsid w:val="281846D4"/>
    <w:rsid w:val="282B2CB9"/>
    <w:rsid w:val="282F78FD"/>
    <w:rsid w:val="28436F61"/>
    <w:rsid w:val="2853632C"/>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671ECA"/>
    <w:rsid w:val="29741CFA"/>
    <w:rsid w:val="297C2E49"/>
    <w:rsid w:val="29941624"/>
    <w:rsid w:val="29950707"/>
    <w:rsid w:val="299554BA"/>
    <w:rsid w:val="29956056"/>
    <w:rsid w:val="29AA3C23"/>
    <w:rsid w:val="29BF59D6"/>
    <w:rsid w:val="29C53546"/>
    <w:rsid w:val="29C941A2"/>
    <w:rsid w:val="29D3493B"/>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9215B2"/>
    <w:rsid w:val="2BA42C24"/>
    <w:rsid w:val="2BB623FD"/>
    <w:rsid w:val="2BBB0483"/>
    <w:rsid w:val="2BC5112A"/>
    <w:rsid w:val="2BC566C7"/>
    <w:rsid w:val="2BC81736"/>
    <w:rsid w:val="2BD04145"/>
    <w:rsid w:val="2BE3479D"/>
    <w:rsid w:val="2BEA5DA8"/>
    <w:rsid w:val="2BF20979"/>
    <w:rsid w:val="2BFB3F34"/>
    <w:rsid w:val="2C057779"/>
    <w:rsid w:val="2C19133D"/>
    <w:rsid w:val="2C1A1B3D"/>
    <w:rsid w:val="2C221397"/>
    <w:rsid w:val="2C81653D"/>
    <w:rsid w:val="2CA642C4"/>
    <w:rsid w:val="2CB9247E"/>
    <w:rsid w:val="2CF42A2C"/>
    <w:rsid w:val="2CF5656A"/>
    <w:rsid w:val="2D1547AA"/>
    <w:rsid w:val="2D1C0C8B"/>
    <w:rsid w:val="2D3E03AF"/>
    <w:rsid w:val="2D500625"/>
    <w:rsid w:val="2D511CF8"/>
    <w:rsid w:val="2D8E0155"/>
    <w:rsid w:val="2D8E5DB3"/>
    <w:rsid w:val="2D917516"/>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98672E"/>
    <w:rsid w:val="2EB774D0"/>
    <w:rsid w:val="2EC7564F"/>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1B5989"/>
    <w:rsid w:val="30446691"/>
    <w:rsid w:val="30536DA5"/>
    <w:rsid w:val="30555F0B"/>
    <w:rsid w:val="305B18F9"/>
    <w:rsid w:val="306675DB"/>
    <w:rsid w:val="306F4A5C"/>
    <w:rsid w:val="30704F1E"/>
    <w:rsid w:val="30963BE9"/>
    <w:rsid w:val="309D04B3"/>
    <w:rsid w:val="30A30E4C"/>
    <w:rsid w:val="30B74EB9"/>
    <w:rsid w:val="31075C26"/>
    <w:rsid w:val="31130579"/>
    <w:rsid w:val="31150AF7"/>
    <w:rsid w:val="312977F5"/>
    <w:rsid w:val="313B0A55"/>
    <w:rsid w:val="3140510D"/>
    <w:rsid w:val="3145125B"/>
    <w:rsid w:val="31490B16"/>
    <w:rsid w:val="31500AF0"/>
    <w:rsid w:val="31606BA9"/>
    <w:rsid w:val="316A07AA"/>
    <w:rsid w:val="317B5137"/>
    <w:rsid w:val="31AC0DC2"/>
    <w:rsid w:val="31B173FD"/>
    <w:rsid w:val="31B535AF"/>
    <w:rsid w:val="31EA44FA"/>
    <w:rsid w:val="31F304A6"/>
    <w:rsid w:val="32091243"/>
    <w:rsid w:val="32294765"/>
    <w:rsid w:val="322E6E41"/>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513AC"/>
    <w:rsid w:val="3478149B"/>
    <w:rsid w:val="347A05C3"/>
    <w:rsid w:val="347E5080"/>
    <w:rsid w:val="34853B4C"/>
    <w:rsid w:val="348D4D75"/>
    <w:rsid w:val="34902CE5"/>
    <w:rsid w:val="34965FFC"/>
    <w:rsid w:val="349E0792"/>
    <w:rsid w:val="34A437E9"/>
    <w:rsid w:val="34AC38BB"/>
    <w:rsid w:val="34B475AD"/>
    <w:rsid w:val="34C1398D"/>
    <w:rsid w:val="34D33C1F"/>
    <w:rsid w:val="34DB7174"/>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475E58"/>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BC51C3"/>
    <w:rsid w:val="37D66A01"/>
    <w:rsid w:val="37DD1744"/>
    <w:rsid w:val="37E72371"/>
    <w:rsid w:val="37F25243"/>
    <w:rsid w:val="380255AF"/>
    <w:rsid w:val="38333626"/>
    <w:rsid w:val="384E441A"/>
    <w:rsid w:val="38506C2F"/>
    <w:rsid w:val="38803B23"/>
    <w:rsid w:val="38877CF7"/>
    <w:rsid w:val="38961914"/>
    <w:rsid w:val="38974FF8"/>
    <w:rsid w:val="38A531E7"/>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6E1053"/>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B7C1A"/>
    <w:rsid w:val="3ABC09E4"/>
    <w:rsid w:val="3AC407C9"/>
    <w:rsid w:val="3AD658B8"/>
    <w:rsid w:val="3ADD1A06"/>
    <w:rsid w:val="3AF06CC1"/>
    <w:rsid w:val="3AFB1C37"/>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1A0CE5"/>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5C39B3"/>
    <w:rsid w:val="40622EEA"/>
    <w:rsid w:val="40646D0C"/>
    <w:rsid w:val="407D09B4"/>
    <w:rsid w:val="40892F96"/>
    <w:rsid w:val="408E1F25"/>
    <w:rsid w:val="40927306"/>
    <w:rsid w:val="409D774F"/>
    <w:rsid w:val="40A22DA0"/>
    <w:rsid w:val="40A354E5"/>
    <w:rsid w:val="40A82BD1"/>
    <w:rsid w:val="40B03322"/>
    <w:rsid w:val="40B75F3A"/>
    <w:rsid w:val="40C444B5"/>
    <w:rsid w:val="40DB60C2"/>
    <w:rsid w:val="40DF301D"/>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859C2"/>
    <w:rsid w:val="41ED6B4B"/>
    <w:rsid w:val="42065175"/>
    <w:rsid w:val="42203DE5"/>
    <w:rsid w:val="423339AE"/>
    <w:rsid w:val="42400071"/>
    <w:rsid w:val="42623E1B"/>
    <w:rsid w:val="42702AE2"/>
    <w:rsid w:val="427A3AB6"/>
    <w:rsid w:val="427B2568"/>
    <w:rsid w:val="427B6090"/>
    <w:rsid w:val="42885024"/>
    <w:rsid w:val="428A5209"/>
    <w:rsid w:val="42A32E9D"/>
    <w:rsid w:val="42A37451"/>
    <w:rsid w:val="42AA632B"/>
    <w:rsid w:val="42AE7F37"/>
    <w:rsid w:val="42B9327D"/>
    <w:rsid w:val="42CC28E0"/>
    <w:rsid w:val="42DF267A"/>
    <w:rsid w:val="43037BB1"/>
    <w:rsid w:val="4308583C"/>
    <w:rsid w:val="433E40E3"/>
    <w:rsid w:val="434C25F0"/>
    <w:rsid w:val="434D4AE8"/>
    <w:rsid w:val="43512BF1"/>
    <w:rsid w:val="435448CE"/>
    <w:rsid w:val="43572820"/>
    <w:rsid w:val="43633FF9"/>
    <w:rsid w:val="436B0A40"/>
    <w:rsid w:val="43715519"/>
    <w:rsid w:val="437B5074"/>
    <w:rsid w:val="437E400B"/>
    <w:rsid w:val="43993698"/>
    <w:rsid w:val="439C3F24"/>
    <w:rsid w:val="43A61D9A"/>
    <w:rsid w:val="43AE6369"/>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B55BF"/>
    <w:rsid w:val="4516216D"/>
    <w:rsid w:val="451F0B3D"/>
    <w:rsid w:val="452A57C8"/>
    <w:rsid w:val="452D2698"/>
    <w:rsid w:val="45344BE8"/>
    <w:rsid w:val="454E3658"/>
    <w:rsid w:val="45770104"/>
    <w:rsid w:val="45836B41"/>
    <w:rsid w:val="459027A8"/>
    <w:rsid w:val="45BA3A93"/>
    <w:rsid w:val="45BC2D40"/>
    <w:rsid w:val="45C41302"/>
    <w:rsid w:val="45D32B9D"/>
    <w:rsid w:val="45D51F09"/>
    <w:rsid w:val="45E335B5"/>
    <w:rsid w:val="45FF0921"/>
    <w:rsid w:val="460724A5"/>
    <w:rsid w:val="46072FDC"/>
    <w:rsid w:val="460B44C8"/>
    <w:rsid w:val="46136A51"/>
    <w:rsid w:val="46144FA7"/>
    <w:rsid w:val="461F3C01"/>
    <w:rsid w:val="462D4AD7"/>
    <w:rsid w:val="463D21DE"/>
    <w:rsid w:val="463E6D3E"/>
    <w:rsid w:val="46566AA9"/>
    <w:rsid w:val="46661558"/>
    <w:rsid w:val="46673595"/>
    <w:rsid w:val="466A3548"/>
    <w:rsid w:val="466C4AED"/>
    <w:rsid w:val="46967F5B"/>
    <w:rsid w:val="469D6AD4"/>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1C055A"/>
    <w:rsid w:val="4D533AAF"/>
    <w:rsid w:val="4D6F1CC9"/>
    <w:rsid w:val="4D79073E"/>
    <w:rsid w:val="4D7B0185"/>
    <w:rsid w:val="4D9E34B9"/>
    <w:rsid w:val="4DBF6851"/>
    <w:rsid w:val="4DC73C39"/>
    <w:rsid w:val="4DC90683"/>
    <w:rsid w:val="4DC94ACF"/>
    <w:rsid w:val="4DCE1C69"/>
    <w:rsid w:val="4DE047C5"/>
    <w:rsid w:val="4DE54991"/>
    <w:rsid w:val="4DF02A66"/>
    <w:rsid w:val="4DF05258"/>
    <w:rsid w:val="4E09036F"/>
    <w:rsid w:val="4E252D2A"/>
    <w:rsid w:val="4E3F795C"/>
    <w:rsid w:val="4E40707C"/>
    <w:rsid w:val="4E42373A"/>
    <w:rsid w:val="4E50145C"/>
    <w:rsid w:val="4E507D99"/>
    <w:rsid w:val="4E892804"/>
    <w:rsid w:val="4E8C7B5A"/>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F5219"/>
    <w:rsid w:val="4F8E4B27"/>
    <w:rsid w:val="4F907AA4"/>
    <w:rsid w:val="4F995445"/>
    <w:rsid w:val="4FA42C81"/>
    <w:rsid w:val="4FA60918"/>
    <w:rsid w:val="4FB476B5"/>
    <w:rsid w:val="4FBC4BF4"/>
    <w:rsid w:val="4FD65B1E"/>
    <w:rsid w:val="50051405"/>
    <w:rsid w:val="500832F8"/>
    <w:rsid w:val="501136F0"/>
    <w:rsid w:val="50147D4D"/>
    <w:rsid w:val="502256AD"/>
    <w:rsid w:val="504215FA"/>
    <w:rsid w:val="50451DB7"/>
    <w:rsid w:val="504B791D"/>
    <w:rsid w:val="50754C44"/>
    <w:rsid w:val="5079410E"/>
    <w:rsid w:val="508B4900"/>
    <w:rsid w:val="508F60CA"/>
    <w:rsid w:val="50981162"/>
    <w:rsid w:val="5098458C"/>
    <w:rsid w:val="50BC7B28"/>
    <w:rsid w:val="50C06385"/>
    <w:rsid w:val="50CE6418"/>
    <w:rsid w:val="50D12D28"/>
    <w:rsid w:val="50D327FF"/>
    <w:rsid w:val="50D40BCA"/>
    <w:rsid w:val="50D4778F"/>
    <w:rsid w:val="50D70E9D"/>
    <w:rsid w:val="50D91CCC"/>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3432C3"/>
    <w:rsid w:val="52414306"/>
    <w:rsid w:val="52457AEB"/>
    <w:rsid w:val="52564EE5"/>
    <w:rsid w:val="52666F95"/>
    <w:rsid w:val="526763FB"/>
    <w:rsid w:val="52741EC2"/>
    <w:rsid w:val="5274205C"/>
    <w:rsid w:val="53326854"/>
    <w:rsid w:val="53336AAE"/>
    <w:rsid w:val="533A136C"/>
    <w:rsid w:val="53480B19"/>
    <w:rsid w:val="5355264E"/>
    <w:rsid w:val="535F2BBA"/>
    <w:rsid w:val="536504C6"/>
    <w:rsid w:val="537C67BA"/>
    <w:rsid w:val="53850D63"/>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A76FF"/>
    <w:rsid w:val="54AC3199"/>
    <w:rsid w:val="54B92F65"/>
    <w:rsid w:val="54C2246A"/>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B21B09"/>
    <w:rsid w:val="57BF0950"/>
    <w:rsid w:val="57C55E8A"/>
    <w:rsid w:val="57E01724"/>
    <w:rsid w:val="57F307C1"/>
    <w:rsid w:val="57FA2BAA"/>
    <w:rsid w:val="580162E5"/>
    <w:rsid w:val="58041F34"/>
    <w:rsid w:val="58132059"/>
    <w:rsid w:val="5815497A"/>
    <w:rsid w:val="581C6799"/>
    <w:rsid w:val="58327181"/>
    <w:rsid w:val="583E3122"/>
    <w:rsid w:val="584D4B72"/>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775D4C"/>
    <w:rsid w:val="598A7A09"/>
    <w:rsid w:val="59B33075"/>
    <w:rsid w:val="59B63D96"/>
    <w:rsid w:val="59BA3374"/>
    <w:rsid w:val="59C13ED2"/>
    <w:rsid w:val="59DE4FE1"/>
    <w:rsid w:val="59E6253A"/>
    <w:rsid w:val="59E7033F"/>
    <w:rsid w:val="5A0354F7"/>
    <w:rsid w:val="5A1E5359"/>
    <w:rsid w:val="5A291824"/>
    <w:rsid w:val="5A344ECC"/>
    <w:rsid w:val="5A390B46"/>
    <w:rsid w:val="5A492723"/>
    <w:rsid w:val="5A5D74BC"/>
    <w:rsid w:val="5A7C5C8F"/>
    <w:rsid w:val="5A7F5FF4"/>
    <w:rsid w:val="5A90403D"/>
    <w:rsid w:val="5A9D71ED"/>
    <w:rsid w:val="5AA2571A"/>
    <w:rsid w:val="5AAD1616"/>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71C77"/>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3A08C8"/>
    <w:rsid w:val="60671E65"/>
    <w:rsid w:val="606936DB"/>
    <w:rsid w:val="607562A7"/>
    <w:rsid w:val="608664A5"/>
    <w:rsid w:val="608C7B28"/>
    <w:rsid w:val="608F41F2"/>
    <w:rsid w:val="608F48B0"/>
    <w:rsid w:val="60934545"/>
    <w:rsid w:val="609E6925"/>
    <w:rsid w:val="60BA77CD"/>
    <w:rsid w:val="60C63F24"/>
    <w:rsid w:val="60CA2B58"/>
    <w:rsid w:val="60D12704"/>
    <w:rsid w:val="60EC7957"/>
    <w:rsid w:val="60F80C2F"/>
    <w:rsid w:val="613468C2"/>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B7979"/>
    <w:rsid w:val="62073433"/>
    <w:rsid w:val="620B3059"/>
    <w:rsid w:val="620D753C"/>
    <w:rsid w:val="62181D46"/>
    <w:rsid w:val="626B7791"/>
    <w:rsid w:val="62721747"/>
    <w:rsid w:val="62774225"/>
    <w:rsid w:val="628762A4"/>
    <w:rsid w:val="628875C0"/>
    <w:rsid w:val="62894AFB"/>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6813A7"/>
    <w:rsid w:val="637A72AA"/>
    <w:rsid w:val="63A83A82"/>
    <w:rsid w:val="63CB3622"/>
    <w:rsid w:val="63D600F2"/>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053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E7CFD"/>
    <w:rsid w:val="68221B5F"/>
    <w:rsid w:val="682633F9"/>
    <w:rsid w:val="68270406"/>
    <w:rsid w:val="68273145"/>
    <w:rsid w:val="682A5BF7"/>
    <w:rsid w:val="68344C36"/>
    <w:rsid w:val="684E5727"/>
    <w:rsid w:val="68535738"/>
    <w:rsid w:val="68721156"/>
    <w:rsid w:val="687C423F"/>
    <w:rsid w:val="689C4889"/>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7D0373"/>
    <w:rsid w:val="69874F79"/>
    <w:rsid w:val="69974F12"/>
    <w:rsid w:val="69997553"/>
    <w:rsid w:val="69AA23F5"/>
    <w:rsid w:val="69BF7EC3"/>
    <w:rsid w:val="69C246D0"/>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DE5A3A"/>
    <w:rsid w:val="6DE374BA"/>
    <w:rsid w:val="6DEC6B1D"/>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1147566"/>
    <w:rsid w:val="711E76A8"/>
    <w:rsid w:val="71287630"/>
    <w:rsid w:val="712C1AEB"/>
    <w:rsid w:val="713148BC"/>
    <w:rsid w:val="71371CF9"/>
    <w:rsid w:val="713E5AE7"/>
    <w:rsid w:val="716F1C44"/>
    <w:rsid w:val="717E7A69"/>
    <w:rsid w:val="71806D32"/>
    <w:rsid w:val="7191451E"/>
    <w:rsid w:val="71920A3D"/>
    <w:rsid w:val="71927E43"/>
    <w:rsid w:val="71AD6FAE"/>
    <w:rsid w:val="71AE30B5"/>
    <w:rsid w:val="71C27EC8"/>
    <w:rsid w:val="71C33DD0"/>
    <w:rsid w:val="71D129F4"/>
    <w:rsid w:val="71FB10E2"/>
    <w:rsid w:val="72005AE6"/>
    <w:rsid w:val="720E57EF"/>
    <w:rsid w:val="72104AC2"/>
    <w:rsid w:val="72124041"/>
    <w:rsid w:val="72135B21"/>
    <w:rsid w:val="721601E1"/>
    <w:rsid w:val="72337620"/>
    <w:rsid w:val="723F5BDB"/>
    <w:rsid w:val="72495D85"/>
    <w:rsid w:val="72570EA7"/>
    <w:rsid w:val="725F047E"/>
    <w:rsid w:val="72726B56"/>
    <w:rsid w:val="727355E2"/>
    <w:rsid w:val="72A11E23"/>
    <w:rsid w:val="72A322A5"/>
    <w:rsid w:val="72AF0917"/>
    <w:rsid w:val="72B3210B"/>
    <w:rsid w:val="72BD5346"/>
    <w:rsid w:val="72C723BB"/>
    <w:rsid w:val="72CF7ADB"/>
    <w:rsid w:val="72E75951"/>
    <w:rsid w:val="72E91B02"/>
    <w:rsid w:val="72F80040"/>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B02C3A"/>
    <w:rsid w:val="74C73FE3"/>
    <w:rsid w:val="74DC5A55"/>
    <w:rsid w:val="74E71A82"/>
    <w:rsid w:val="74F64E3F"/>
    <w:rsid w:val="74FD1B30"/>
    <w:rsid w:val="751D0E17"/>
    <w:rsid w:val="754A05DC"/>
    <w:rsid w:val="757530A7"/>
    <w:rsid w:val="75942A40"/>
    <w:rsid w:val="75A023F2"/>
    <w:rsid w:val="75C5780F"/>
    <w:rsid w:val="75D41993"/>
    <w:rsid w:val="75FB2A56"/>
    <w:rsid w:val="75FF18EA"/>
    <w:rsid w:val="76023351"/>
    <w:rsid w:val="761730DD"/>
    <w:rsid w:val="762514F1"/>
    <w:rsid w:val="762C5C47"/>
    <w:rsid w:val="76471BD8"/>
    <w:rsid w:val="765512FB"/>
    <w:rsid w:val="766477E6"/>
    <w:rsid w:val="76687032"/>
    <w:rsid w:val="7672045B"/>
    <w:rsid w:val="76766B2A"/>
    <w:rsid w:val="7677598C"/>
    <w:rsid w:val="767F2D37"/>
    <w:rsid w:val="767F4D21"/>
    <w:rsid w:val="76895AED"/>
    <w:rsid w:val="7698131F"/>
    <w:rsid w:val="76984EB1"/>
    <w:rsid w:val="76991A17"/>
    <w:rsid w:val="76BA50E5"/>
    <w:rsid w:val="76C01D43"/>
    <w:rsid w:val="76C42FE0"/>
    <w:rsid w:val="76D42781"/>
    <w:rsid w:val="76D45B4A"/>
    <w:rsid w:val="76D81D5A"/>
    <w:rsid w:val="77067FBD"/>
    <w:rsid w:val="77187FCF"/>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2073FF"/>
    <w:rsid w:val="79255B1E"/>
    <w:rsid w:val="79263473"/>
    <w:rsid w:val="79327BE3"/>
    <w:rsid w:val="793423B9"/>
    <w:rsid w:val="794674FF"/>
    <w:rsid w:val="794F5E9D"/>
    <w:rsid w:val="7950305C"/>
    <w:rsid w:val="79596ED9"/>
    <w:rsid w:val="795A422D"/>
    <w:rsid w:val="795F7A95"/>
    <w:rsid w:val="79645F30"/>
    <w:rsid w:val="796606AB"/>
    <w:rsid w:val="797279F9"/>
    <w:rsid w:val="798B6440"/>
    <w:rsid w:val="79976759"/>
    <w:rsid w:val="799C0BFC"/>
    <w:rsid w:val="79B50C6F"/>
    <w:rsid w:val="79D319E8"/>
    <w:rsid w:val="79E06AB0"/>
    <w:rsid w:val="79F82F77"/>
    <w:rsid w:val="7A0527D6"/>
    <w:rsid w:val="7A057D3D"/>
    <w:rsid w:val="7A073B40"/>
    <w:rsid w:val="7A1E66A7"/>
    <w:rsid w:val="7A3E3C86"/>
    <w:rsid w:val="7A421F6B"/>
    <w:rsid w:val="7A434534"/>
    <w:rsid w:val="7A6A1622"/>
    <w:rsid w:val="7A8910FB"/>
    <w:rsid w:val="7A961F78"/>
    <w:rsid w:val="7A9C129D"/>
    <w:rsid w:val="7AAC617C"/>
    <w:rsid w:val="7ABB0835"/>
    <w:rsid w:val="7ABE7A74"/>
    <w:rsid w:val="7AC001C9"/>
    <w:rsid w:val="7AC3193E"/>
    <w:rsid w:val="7AD825ED"/>
    <w:rsid w:val="7AE7522B"/>
    <w:rsid w:val="7AEF05B0"/>
    <w:rsid w:val="7AF11E4A"/>
    <w:rsid w:val="7AF55C9A"/>
    <w:rsid w:val="7AFC756B"/>
    <w:rsid w:val="7B0A616D"/>
    <w:rsid w:val="7B1001C7"/>
    <w:rsid w:val="7B1530FA"/>
    <w:rsid w:val="7B2119B9"/>
    <w:rsid w:val="7B385861"/>
    <w:rsid w:val="7B6A65F9"/>
    <w:rsid w:val="7B6E44EE"/>
    <w:rsid w:val="7B73525D"/>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6F7FEF"/>
    <w:rsid w:val="7C7E611D"/>
    <w:rsid w:val="7C7F077B"/>
    <w:rsid w:val="7C916907"/>
    <w:rsid w:val="7C9A2C55"/>
    <w:rsid w:val="7CB570A3"/>
    <w:rsid w:val="7CBB543F"/>
    <w:rsid w:val="7CC85D2E"/>
    <w:rsid w:val="7CFA0A3C"/>
    <w:rsid w:val="7CFB25C5"/>
    <w:rsid w:val="7D024938"/>
    <w:rsid w:val="7D0432EA"/>
    <w:rsid w:val="7D071A67"/>
    <w:rsid w:val="7D153027"/>
    <w:rsid w:val="7D240558"/>
    <w:rsid w:val="7D29036A"/>
    <w:rsid w:val="7D4337AE"/>
    <w:rsid w:val="7D441B35"/>
    <w:rsid w:val="7D4E4391"/>
    <w:rsid w:val="7D6A50D1"/>
    <w:rsid w:val="7D6C1F0C"/>
    <w:rsid w:val="7D6F7C2B"/>
    <w:rsid w:val="7D7B5BD6"/>
    <w:rsid w:val="7D7F6644"/>
    <w:rsid w:val="7D812A55"/>
    <w:rsid w:val="7D9828AA"/>
    <w:rsid w:val="7DA15DD8"/>
    <w:rsid w:val="7DA54E7B"/>
    <w:rsid w:val="7DAD4B1E"/>
    <w:rsid w:val="7DCE4670"/>
    <w:rsid w:val="7DCF6D6F"/>
    <w:rsid w:val="7DDB6F5C"/>
    <w:rsid w:val="7DDF08B2"/>
    <w:rsid w:val="7DDF7781"/>
    <w:rsid w:val="7E2F58AE"/>
    <w:rsid w:val="7E464EB2"/>
    <w:rsid w:val="7E540C52"/>
    <w:rsid w:val="7E5724CE"/>
    <w:rsid w:val="7E5B4BE3"/>
    <w:rsid w:val="7E6C79E8"/>
    <w:rsid w:val="7E6E14DC"/>
    <w:rsid w:val="7EB90785"/>
    <w:rsid w:val="7EE97E69"/>
    <w:rsid w:val="7EEF15E6"/>
    <w:rsid w:val="7F0F3C4C"/>
    <w:rsid w:val="7F102E25"/>
    <w:rsid w:val="7F2B3490"/>
    <w:rsid w:val="7F3731B4"/>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link w:val="39"/>
    <w:autoRedefine/>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autoRedefine/>
    <w:qFormat/>
    <w:uiPriority w:val="0"/>
    <w:pPr>
      <w:keepNext/>
      <w:keepLines/>
      <w:outlineLvl w:val="2"/>
    </w:pPr>
    <w:rPr>
      <w:rFonts w:ascii="宋体" w:hAnsi="宋体" w:eastAsia="黑体"/>
      <w:bCs/>
      <w:sz w:val="24"/>
      <w:szCs w:val="28"/>
    </w:rPr>
  </w:style>
  <w:style w:type="paragraph" w:styleId="8">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header"/>
    <w:basedOn w:val="1"/>
    <w:next w:val="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9">
    <w:name w:val="List 3"/>
    <w:basedOn w:val="1"/>
    <w:autoRedefine/>
    <w:qFormat/>
    <w:uiPriority w:val="0"/>
    <w:pPr>
      <w:spacing w:line="240" w:lineRule="auto"/>
      <w:ind w:firstLine="0" w:firstLineChars="0"/>
    </w:pPr>
    <w:rPr>
      <w:szCs w:val="20"/>
    </w:rPr>
  </w:style>
  <w:style w:type="paragraph" w:styleId="10">
    <w:name w:val="Normal Indent"/>
    <w:basedOn w:val="1"/>
    <w:autoRedefine/>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beforeLines="50"/>
    </w:pPr>
    <w:rPr>
      <w:rFonts w:ascii="宋体" w:hAnsi="宋体"/>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Plain Text"/>
    <w:basedOn w:val="1"/>
    <w:autoRedefine/>
    <w:qFormat/>
    <w:uiPriority w:val="0"/>
    <w:rPr>
      <w:rFonts w:ascii="宋体" w:hAnsi="Courier New"/>
      <w:szCs w:val="20"/>
    </w:rPr>
  </w:style>
  <w:style w:type="paragraph" w:styleId="16">
    <w:name w:val="Balloon Text"/>
    <w:basedOn w:val="1"/>
    <w:link w:val="48"/>
    <w:autoRedefine/>
    <w:qFormat/>
    <w:uiPriority w:val="0"/>
    <w:rPr>
      <w:rFonts w:ascii="Heiti SC Light" w:eastAsia="Heiti SC Light"/>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3"/>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Emphasis"/>
    <w:basedOn w:val="28"/>
    <w:autoRedefine/>
    <w:qFormat/>
    <w:uiPriority w:val="0"/>
    <w:rPr>
      <w:i/>
    </w:rPr>
  </w:style>
  <w:style w:type="character" w:styleId="32">
    <w:name w:val="Hyperlink"/>
    <w:basedOn w:val="28"/>
    <w:autoRedefine/>
    <w:qFormat/>
    <w:uiPriority w:val="0"/>
    <w:rPr>
      <w:color w:val="0000FF"/>
      <w:u w:val="single"/>
    </w:rPr>
  </w:style>
  <w:style w:type="character" w:styleId="33">
    <w:name w:val="annotation reference"/>
    <w:autoRedefine/>
    <w:qFormat/>
    <w:uiPriority w:val="0"/>
    <w:rPr>
      <w:sz w:val="21"/>
      <w:szCs w:val="21"/>
    </w:rPr>
  </w:style>
  <w:style w:type="character" w:styleId="34">
    <w:name w:val="footnote reference"/>
    <w:autoRedefine/>
    <w:qFormat/>
    <w:uiPriority w:val="0"/>
    <w:rPr>
      <w:vertAlign w:val="superscript"/>
    </w:rPr>
  </w:style>
  <w:style w:type="paragraph" w:customStyle="1" w:styleId="35">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6">
    <w:name w:val="表格"/>
    <w:basedOn w:val="1"/>
    <w:autoRedefine/>
    <w:qFormat/>
    <w:uiPriority w:val="0"/>
    <w:pPr>
      <w:textAlignment w:val="center"/>
    </w:pPr>
    <w:rPr>
      <w:rFonts w:ascii="华文细黑" w:hAnsi="华文细黑"/>
      <w:kern w:val="0"/>
      <w:szCs w:val="20"/>
    </w:rPr>
  </w:style>
  <w:style w:type="paragraph" w:customStyle="1" w:styleId="37">
    <w:name w:val="正文 题目"/>
    <w:basedOn w:val="1"/>
    <w:autoRedefine/>
    <w:qFormat/>
    <w:uiPriority w:val="0"/>
    <w:pPr>
      <w:jc w:val="center"/>
    </w:pPr>
    <w:rPr>
      <w:rFonts w:ascii="黑体" w:hAnsi="黑体" w:eastAsia="黑体"/>
      <w:sz w:val="28"/>
    </w:rPr>
  </w:style>
  <w:style w:type="paragraph" w:customStyle="1" w:styleId="38">
    <w:name w:val="列出段落1"/>
    <w:basedOn w:val="1"/>
    <w:autoRedefine/>
    <w:qFormat/>
    <w:uiPriority w:val="99"/>
    <w:rPr>
      <w:rFonts w:ascii="Times New Roman" w:hAnsi="Times New Roman"/>
    </w:rPr>
  </w:style>
  <w:style w:type="character" w:customStyle="1" w:styleId="39">
    <w:name w:val="标题 2 Char"/>
    <w:link w:val="6"/>
    <w:autoRedefine/>
    <w:qFormat/>
    <w:uiPriority w:val="0"/>
    <w:rPr>
      <w:rFonts w:ascii="Arial" w:hAnsi="Arial"/>
      <w:b/>
      <w:bCs/>
      <w:sz w:val="28"/>
      <w:szCs w:val="32"/>
    </w:rPr>
  </w:style>
  <w:style w:type="paragraph" w:customStyle="1" w:styleId="4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WPSOffice手动目录 1"/>
    <w:autoRedefine/>
    <w:qFormat/>
    <w:uiPriority w:val="0"/>
    <w:rPr>
      <w:rFonts w:asciiTheme="minorHAnsi" w:hAnsiTheme="minorHAnsi" w:eastAsiaTheme="minorEastAsia" w:cstheme="minorBidi"/>
      <w:lang w:val="en-US" w:eastAsia="zh-CN" w:bidi="ar-SA"/>
    </w:rPr>
  </w:style>
  <w:style w:type="paragraph" w:customStyle="1" w:styleId="4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3">
    <w:name w:val="font21"/>
    <w:basedOn w:val="28"/>
    <w:autoRedefine/>
    <w:qFormat/>
    <w:uiPriority w:val="0"/>
    <w:rPr>
      <w:rFonts w:hint="eastAsia" w:ascii="宋体" w:hAnsi="宋体" w:eastAsia="宋体" w:cs="宋体"/>
      <w:color w:val="000000"/>
      <w:sz w:val="24"/>
      <w:szCs w:val="24"/>
      <w:u w:val="none"/>
    </w:rPr>
  </w:style>
  <w:style w:type="character" w:customStyle="1" w:styleId="44">
    <w:name w:val="font01"/>
    <w:basedOn w:val="28"/>
    <w:autoRedefine/>
    <w:qFormat/>
    <w:uiPriority w:val="0"/>
    <w:rPr>
      <w:rFonts w:hint="default" w:ascii="Times New Roman" w:hAnsi="Times New Roman" w:cs="Times New Roman"/>
      <w:color w:val="000000"/>
      <w:sz w:val="24"/>
      <w:szCs w:val="24"/>
      <w:u w:val="none"/>
    </w:rPr>
  </w:style>
  <w:style w:type="character" w:customStyle="1" w:styleId="45">
    <w:name w:val="font11"/>
    <w:basedOn w:val="28"/>
    <w:autoRedefine/>
    <w:qFormat/>
    <w:uiPriority w:val="0"/>
    <w:rPr>
      <w:rFonts w:hint="default" w:ascii="Times New Roman" w:hAnsi="Times New Roman" w:cs="Times New Roman"/>
      <w:color w:val="000000"/>
      <w:sz w:val="20"/>
      <w:szCs w:val="20"/>
      <w:u w:val="none"/>
    </w:rPr>
  </w:style>
  <w:style w:type="character" w:customStyle="1" w:styleId="46">
    <w:name w:val="font31"/>
    <w:basedOn w:val="28"/>
    <w:autoRedefine/>
    <w:qFormat/>
    <w:uiPriority w:val="0"/>
    <w:rPr>
      <w:rFonts w:hint="eastAsia" w:ascii="宋体" w:hAnsi="宋体" w:eastAsia="宋体" w:cs="宋体"/>
      <w:color w:val="000000"/>
      <w:sz w:val="20"/>
      <w:szCs w:val="20"/>
      <w:u w:val="none"/>
    </w:rPr>
  </w:style>
  <w:style w:type="paragraph" w:customStyle="1" w:styleId="47">
    <w:name w:val="Table Paragraph"/>
    <w:basedOn w:val="1"/>
    <w:autoRedefine/>
    <w:qFormat/>
    <w:uiPriority w:val="99"/>
  </w:style>
  <w:style w:type="character" w:customStyle="1" w:styleId="48">
    <w:name w:val="批注框文本 Char"/>
    <w:basedOn w:val="28"/>
    <w:link w:val="16"/>
    <w:autoRedefine/>
    <w:qFormat/>
    <w:uiPriority w:val="0"/>
    <w:rPr>
      <w:rFonts w:ascii="Heiti SC Light" w:eastAsia="Heiti SC Light" w:hAnsiTheme="minorHAnsi" w:cstheme="minorBidi"/>
      <w:kern w:val="2"/>
      <w:sz w:val="18"/>
      <w:szCs w:val="18"/>
    </w:rPr>
  </w:style>
  <w:style w:type="paragraph" w:customStyle="1" w:styleId="49">
    <w:name w:val="样式 标题 2 + Times New Roman 四号 非加粗 段前: 5 磅 段后: 0 磅 行距: 固定值 20..."/>
    <w:basedOn w:val="6"/>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50">
    <w:name w:val="List Paragraph"/>
    <w:basedOn w:val="1"/>
    <w:autoRedefine/>
    <w:qFormat/>
    <w:uiPriority w:val="1"/>
    <w:pPr>
      <w:ind w:left="235" w:hanging="527"/>
    </w:pPr>
    <w:rPr>
      <w:rFonts w:ascii="宋体" w:hAnsi="宋体" w:eastAsia="宋体" w:cs="宋体"/>
      <w:lang w:val="zh-CN" w:eastAsia="zh-CN" w:bidi="zh-CN"/>
    </w:rPr>
  </w:style>
  <w:style w:type="character" w:customStyle="1" w:styleId="51">
    <w:name w:val="font121"/>
    <w:autoRedefine/>
    <w:qFormat/>
    <w:uiPriority w:val="0"/>
    <w:rPr>
      <w:rFonts w:hint="default" w:ascii="Calibri" w:hAnsi="Calibri" w:cs="Calibri"/>
      <w:color w:val="000000"/>
      <w:sz w:val="24"/>
      <w:szCs w:val="24"/>
      <w:u w:val="none"/>
    </w:rPr>
  </w:style>
  <w:style w:type="character" w:customStyle="1" w:styleId="52">
    <w:name w:val="font81"/>
    <w:basedOn w:val="28"/>
    <w:autoRedefine/>
    <w:qFormat/>
    <w:uiPriority w:val="0"/>
    <w:rPr>
      <w:rFonts w:ascii="Arial" w:hAnsi="Arial" w:cs="Arial"/>
      <w:color w:val="FF0000"/>
      <w:sz w:val="20"/>
      <w:szCs w:val="20"/>
      <w:u w:val="none"/>
    </w:rPr>
  </w:style>
  <w:style w:type="paragraph" w:customStyle="1" w:styleId="53">
    <w:name w:val="引用1"/>
    <w:basedOn w:val="1"/>
    <w:next w:val="1"/>
    <w:autoRedefine/>
    <w:unhideWhenUsed/>
    <w:qFormat/>
    <w:uiPriority w:val="99"/>
    <w:pPr>
      <w:ind w:left="864" w:right="864"/>
      <w:jc w:val="center"/>
    </w:pPr>
    <w:rPr>
      <w:rFonts w:ascii="Times New Roman" w:hAnsi="Times New Roman"/>
      <w:i/>
      <w:iCs/>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64</Pages>
  <Words>24516</Words>
  <Characters>25893</Characters>
  <Lines>269</Lines>
  <Paragraphs>75</Paragraphs>
  <TotalTime>5</TotalTime>
  <ScaleCrop>false</ScaleCrop>
  <LinksUpToDate>false</LinksUpToDate>
  <CharactersWithSpaces>29071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2024-04-19T03:47:00Z</cp:lastPrinted>
  <dcterms:modified xsi:type="dcterms:W3CDTF">2024-07-03T13:26:34Z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F1B5E3A98460444FB144018D8C071BBA_13</vt:lpwstr>
  </property>
</Properties>
</file>