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合肥至周口高速公路颍上（南照）至临泉（皖豫界）段房间仿石材砖采购项目</w:t>
      </w:r>
    </w:p>
    <w:p>
      <w:pPr>
        <w:spacing w:line="540" w:lineRule="exact"/>
        <w:ind w:firstLine="420"/>
        <w:rPr>
          <w:rFonts w:ascii="Times New Roman" w:hAnsi="Times New Roman" w:cs="Times New Roman"/>
          <w:szCs w:val="21"/>
        </w:rPr>
      </w:pPr>
    </w:p>
    <w:p>
      <w:pPr>
        <w:pStyle w:val="2"/>
        <w:rPr>
          <w:rFonts w:ascii="Times New Roman" w:hAnsi="Times New Roman" w:cs="Times New Roman"/>
          <w:szCs w:val="21"/>
        </w:rPr>
      </w:pPr>
    </w:p>
    <w:p/>
    <w:p>
      <w:pPr>
        <w:pStyle w:val="2"/>
        <w:rPr>
          <w:rFonts w:ascii="Times New Roman" w:hAnsi="Times New Roman" w:cs="Times New Roman"/>
          <w:szCs w:val="21"/>
        </w:rPr>
      </w:pPr>
    </w:p>
    <w:p>
      <w:pPr>
        <w:pStyle w:val="2"/>
        <w:rPr>
          <w:rFonts w:ascii="Times New Roman" w:hAnsi="Times New Roman" w:cs="Times New Roman"/>
          <w:szCs w:val="21"/>
        </w:rPr>
      </w:pPr>
    </w:p>
    <w:p>
      <w:pPr>
        <w:pStyle w:val="11"/>
        <w:rPr>
          <w:rFonts w:ascii="Times New Roman" w:hAnsi="Times New Roman" w:cs="Times New Roman"/>
          <w:szCs w:val="21"/>
        </w:rPr>
      </w:pPr>
    </w:p>
    <w:p>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7</w:t>
      </w:r>
      <w:r>
        <w:rPr>
          <w:rFonts w:hint="eastAsia" w:ascii="黑体" w:hAnsi="黑体" w:eastAsia="黑体" w:cs="黑体"/>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pPr>
        <w:snapToGrid w:val="0"/>
        <w:ind w:firstLine="1920" w:firstLineChars="600"/>
        <w:rPr>
          <w:rFonts w:ascii="Times New Roman" w:hAnsi="Times New Roman" w:cs="Times New Roman"/>
          <w:sz w:val="32"/>
          <w:szCs w:val="32"/>
        </w:rPr>
      </w:pPr>
    </w:p>
    <w:p>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pPr>
            <w:pStyle w:val="13"/>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0"/>
              <w:szCs w:val="22"/>
            </w:rPr>
            <w:fldChar w:fldCharType="begin"/>
          </w:r>
          <w:r>
            <w:rPr>
              <w:rFonts w:hint="default" w:ascii="Times New Roman" w:hAnsi="Times New Roman" w:eastAsia="宋体" w:cs="Times New Roman"/>
              <w:sz w:val="20"/>
              <w:szCs w:val="22"/>
            </w:rPr>
            <w:instrText xml:space="preserve">TOC \o "1-1" \h \u </w:instrText>
          </w:r>
          <w:r>
            <w:rPr>
              <w:rFonts w:hint="default" w:ascii="Times New Roman" w:hAnsi="Times New Roman" w:eastAsia="宋体" w:cs="Times New Roman"/>
              <w:sz w:val="20"/>
              <w:szCs w:val="22"/>
            </w:rPr>
            <w:fldChar w:fldCharType="separate"/>
          </w: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_Toc23966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rPr>
            <w:t>第一章 采购公告</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_Toc23966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3"/>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_Toc26240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rPr>
            <w:t>第二章 供应商须知</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_Toc26240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6</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3"/>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_Toc2394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rPr>
            <w:t>第三章 评审办法</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_Toc2394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15</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3"/>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_Toc25343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lang w:val="en-US" w:eastAsia="zh-CN"/>
            </w:rPr>
            <w:t xml:space="preserve">第四章 </w:t>
          </w:r>
          <w:r>
            <w:rPr>
              <w:rFonts w:hint="default" w:ascii="Times New Roman" w:hAnsi="Times New Roman" w:eastAsia="宋体" w:cs="Times New Roman"/>
              <w:sz w:val="24"/>
              <w:szCs w:val="32"/>
            </w:rPr>
            <w:t>合同内容</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_Toc25343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22</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3"/>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_Toc24422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lang w:val="en-US" w:eastAsia="zh-CN"/>
            </w:rPr>
            <w:t>第五章 供货要</w:t>
          </w:r>
          <w:r>
            <w:rPr>
              <w:rFonts w:hint="default" w:ascii="Times New Roman" w:hAnsi="Times New Roman" w:eastAsia="宋体" w:cs="Times New Roman"/>
              <w:sz w:val="24"/>
              <w:szCs w:val="32"/>
            </w:rPr>
            <w:t>求及清单</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_Toc24422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35</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3"/>
            <w:tabs>
              <w:tab w:val="right" w:leader="dot" w:pos="8312"/>
            </w:tabs>
            <w:rPr>
              <w:rFonts w:hint="default" w:ascii="Times New Roman" w:hAnsi="Times New Roman" w:cs="Times New Roman"/>
              <w:sz w:val="20"/>
              <w:szCs w:val="2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_Toc7773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lang w:val="en-US" w:eastAsia="zh-CN"/>
            </w:rPr>
            <w:t xml:space="preserve">第六章 </w:t>
          </w:r>
          <w:r>
            <w:rPr>
              <w:rFonts w:hint="default" w:ascii="Times New Roman" w:hAnsi="Times New Roman" w:eastAsia="宋体" w:cs="Times New Roman"/>
              <w:sz w:val="24"/>
              <w:szCs w:val="32"/>
            </w:rPr>
            <w:t>响应文件格式</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_Toc7773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36</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fldChar w:fldCharType="end"/>
          </w:r>
        </w:p>
      </w:sdtContent>
    </w:sdt>
    <w:p>
      <w:pPr>
        <w:jc w:val="center"/>
        <w:rPr>
          <w:rFonts w:ascii="宋体" w:hAnsi="宋体" w:eastAsia="宋体"/>
        </w:rPr>
      </w:pPr>
    </w:p>
    <w:p>
      <w:pPr>
        <w:jc w:val="center"/>
        <w:rPr>
          <w:rFonts w:ascii="宋体" w:hAnsi="宋体" w:eastAsia="宋体"/>
        </w:rPr>
      </w:pPr>
      <w:bookmarkStart w:id="154" w:name="_GoBack"/>
      <w:bookmarkEnd w:id="154"/>
    </w:p>
    <w:p>
      <w:pPr>
        <w:pStyle w:val="3"/>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3"/>
        <w:spacing w:before="312" w:after="312"/>
        <w:rPr>
          <w:rFonts w:ascii="Times New Roman" w:hAnsi="Times New Roman" w:eastAsia="宋体" w:cs="Times New Roman"/>
        </w:rPr>
      </w:pPr>
      <w:bookmarkStart w:id="0" w:name="_Toc23966"/>
      <w:r>
        <w:rPr>
          <w:rFonts w:ascii="Times New Roman" w:hAnsi="Times New Roman" w:eastAsia="宋体" w:cs="Times New Roman"/>
        </w:rPr>
        <w:t>采购公告</w:t>
      </w:r>
      <w:bookmarkEnd w:id="0"/>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525632585"/>
      <w:bookmarkStart w:id="2" w:name="_Toc24354_WPSOffice_Level2"/>
      <w:bookmarkStart w:id="3" w:name="_Toc6496_WPSOffice_Level2"/>
      <w:bookmarkStart w:id="4" w:name="_Toc10395_WPSOffice_Level2"/>
      <w:bookmarkStart w:id="5" w:name="_Toc13871"/>
      <w:bookmarkStart w:id="6" w:name="_Toc4489_WPSOffice_Level2"/>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u w:val="single"/>
          <w:lang w:val="en-US" w:eastAsia="zh-CN"/>
        </w:rPr>
        <w:t>合肥至周口高速公路颍上（南照）至临泉（皖豫界）段房间仿石材砖采购项目</w:t>
      </w:r>
    </w:p>
    <w:p>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default" w:ascii="Times New Roman" w:hAnsi="Times New Roman" w:eastAsia="宋体" w:cs="Times New Roman"/>
          <w:sz w:val="21"/>
          <w:szCs w:val="21"/>
          <w:u w:val="single"/>
          <w:lang w:val="en-US" w:eastAsia="zh-CN"/>
        </w:rPr>
        <w:t>合肥至周口高速公路颍上（南照）至临泉（皖豫界）段房间</w:t>
      </w:r>
      <w:r>
        <w:rPr>
          <w:rFonts w:hint="eastAsia" w:ascii="Times New Roman" w:hAnsi="Times New Roman" w:eastAsia="宋体" w:cs="Times New Roman"/>
          <w:sz w:val="21"/>
          <w:szCs w:val="21"/>
          <w:u w:val="single"/>
          <w:lang w:val="en-US" w:eastAsia="zh-CN"/>
        </w:rPr>
        <w:t>仿石材砖</w:t>
      </w:r>
      <w:r>
        <w:rPr>
          <w:rFonts w:hint="default" w:ascii="Times New Roman" w:hAnsi="Times New Roman" w:eastAsia="宋体" w:cs="Times New Roman"/>
          <w:sz w:val="21"/>
          <w:szCs w:val="21"/>
          <w:u w:val="single"/>
          <w:lang w:val="en-US" w:eastAsia="zh-CN"/>
        </w:rPr>
        <w:t>采购</w:t>
      </w:r>
      <w:r>
        <w:rPr>
          <w:rFonts w:hint="default" w:ascii="Times New Roman" w:hAnsi="Times New Roman" w:eastAsia="宋体" w:cs="Times New Roman"/>
          <w:kern w:val="0"/>
          <w:sz w:val="21"/>
          <w:szCs w:val="21"/>
          <w:highlight w:val="none"/>
          <w:u w:val="none"/>
          <w:lang w:eastAsia="zh-CN"/>
        </w:rPr>
        <w:t>。</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8128_WPSOffice_Level2"/>
      <w:bookmarkStart w:id="9" w:name="_Toc23266_WPSOffice_Level2"/>
      <w:bookmarkStart w:id="10" w:name="_Toc17858_WPSOffice_Level2"/>
      <w:bookmarkStart w:id="11" w:name="_Toc18453"/>
      <w:bookmarkStart w:id="12" w:name="_Toc10274"/>
      <w:bookmarkStart w:id="13" w:name="_Toc525632586"/>
      <w:bookmarkStart w:id="14" w:name="_Toc18367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eastAsia" w:ascii="Times New Roman" w:hAnsi="Times New Roman" w:eastAsia="宋体" w:cs="Times New Roman"/>
          <w:color w:val="auto"/>
          <w:szCs w:val="21"/>
          <w:highlight w:val="none"/>
          <w:u w:val="single"/>
          <w:lang w:val="en-US" w:eastAsia="zh-CN"/>
        </w:rPr>
        <w:t>瓷砖</w:t>
      </w:r>
      <w:r>
        <w:rPr>
          <w:rFonts w:hint="default" w:ascii="Times New Roman" w:hAnsi="Times New Roman" w:eastAsia="宋体" w:cs="Times New Roman"/>
          <w:color w:val="auto"/>
          <w:szCs w:val="21"/>
          <w:highlight w:val="none"/>
          <w:u w:val="single"/>
          <w:lang w:val="en-US" w:eastAsia="zh-CN"/>
        </w:rPr>
        <w:t>等，具体详见第五章供货要求及清单。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诺贝尔、冠军、斯米克、东鹏、蒙娜丽莎、亚细亚、鹰牌。符合《国标 GBT 4100-2015 陶瓷砖》的标准要求；应符合GB6566-2010《建筑材料放射性核素限量》标准要求；。</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89</w:t>
      </w:r>
      <w:r>
        <w:rPr>
          <w:rFonts w:hint="default" w:ascii="Times New Roman" w:hAnsi="Times New Roman" w:eastAsia="宋体" w:cs="Times New Roman"/>
          <w:color w:val="auto"/>
          <w:szCs w:val="21"/>
          <w:highlight w:val="none"/>
          <w:u w:val="single"/>
          <w:lang w:val="en-US" w:eastAsia="zh-CN"/>
        </w:rPr>
        <w:t>万元</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u w:val="single"/>
          <w:lang w:val="en-US" w:eastAsia="zh-CN"/>
        </w:rPr>
        <w:t>在</w:t>
      </w:r>
      <w:r>
        <w:rPr>
          <w:rFonts w:hint="default" w:ascii="Times New Roman" w:hAnsi="Times New Roman" w:eastAsia="宋体" w:cs="Times New Roman"/>
          <w:color w:val="auto"/>
          <w:kern w:val="0"/>
          <w:sz w:val="21"/>
          <w:szCs w:val="21"/>
          <w:highlight w:val="none"/>
          <w:u w:val="single"/>
        </w:rPr>
        <w:t>接到甲方通知之日起</w:t>
      </w:r>
      <w:r>
        <w:rPr>
          <w:rFonts w:hint="eastAsia" w:ascii="Times New Roman" w:hAnsi="Times New Roman" w:eastAsia="宋体" w:cs="Times New Roman"/>
          <w:color w:val="auto"/>
          <w:kern w:val="0"/>
          <w:sz w:val="21"/>
          <w:szCs w:val="21"/>
          <w:highlight w:val="none"/>
          <w:u w:val="single"/>
          <w:lang w:val="en-US" w:eastAsia="zh-CN"/>
        </w:rPr>
        <w:t>7</w:t>
      </w:r>
      <w:r>
        <w:rPr>
          <w:rFonts w:hint="default" w:ascii="Times New Roman" w:hAnsi="Times New Roman" w:eastAsia="宋体" w:cs="Times New Roman"/>
          <w:color w:val="auto"/>
          <w:kern w:val="0"/>
          <w:sz w:val="21"/>
          <w:szCs w:val="21"/>
          <w:highlight w:val="none"/>
          <w:u w:val="single"/>
        </w:rPr>
        <w:t>个日历天内交货</w:t>
      </w:r>
      <w:r>
        <w:rPr>
          <w:rFonts w:hint="default" w:ascii="Times New Roman" w:hAnsi="Times New Roman" w:eastAsia="宋体" w:cs="Times New Roman"/>
          <w:color w:val="auto"/>
          <w:kern w:val="0"/>
          <w:sz w:val="21"/>
          <w:szCs w:val="21"/>
          <w:highlight w:val="none"/>
          <w:u w:val="single"/>
          <w:lang w:eastAsia="zh-CN"/>
        </w:rPr>
        <w:t>。</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3714"/>
      <w:bookmarkStart w:id="19" w:name="_Toc29516_WPSOffice_Level2"/>
      <w:bookmarkStart w:id="20" w:name="_Toc1622_WPSOffice_Level2"/>
      <w:bookmarkStart w:id="21" w:name="_Toc22379_WPSOffice_Level2"/>
      <w:bookmarkStart w:id="22" w:name="_Toc6388"/>
      <w:bookmarkStart w:id="23" w:name="_Toc31673_WPSOffice_Level2"/>
      <w:bookmarkStart w:id="24" w:name="_Toc525632587"/>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b w:val="0"/>
          <w:bCs w:val="0"/>
          <w:szCs w:val="22"/>
        </w:rPr>
      </w:pPr>
      <w:r>
        <w:rPr>
          <w:rFonts w:hint="default" w:ascii="Times New Roman" w:hAnsi="Times New Roman" w:cs="Times New Roman" w:eastAsiaTheme="minorEastAsia"/>
          <w:b w:val="0"/>
          <w:bCs w:val="0"/>
          <w:szCs w:val="22"/>
          <w:lang w:val="en-US" w:eastAsia="zh-CN"/>
        </w:rPr>
        <w:t>（1）</w:t>
      </w:r>
      <w:r>
        <w:rPr>
          <w:rFonts w:hint="default" w:ascii="Times New Roman" w:hAnsi="Times New Roman" w:cs="Times New Roman" w:eastAsiaTheme="minorEastAsia"/>
          <w:b w:val="0"/>
          <w:bCs w:val="0"/>
          <w:szCs w:val="22"/>
        </w:rPr>
        <w:t>资质最低要求：</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b w:val="0"/>
          <w:bCs w:val="0"/>
          <w:color w:val="auto"/>
          <w:szCs w:val="22"/>
          <w:lang w:eastAsia="zh-CN"/>
        </w:rPr>
      </w:pPr>
      <w:r>
        <w:rPr>
          <w:rFonts w:hint="default" w:ascii="Times New Roman" w:hAnsi="Times New Roman" w:cs="Times New Roman" w:eastAsiaTheme="minorEastAsia"/>
          <w:b w:val="0"/>
          <w:bCs w:val="0"/>
          <w:color w:val="auto"/>
          <w:szCs w:val="22"/>
        </w:rPr>
        <w:t>具有独立完成本项目相关能力</w:t>
      </w:r>
      <w:r>
        <w:rPr>
          <w:rFonts w:hint="default" w:ascii="Times New Roman" w:hAnsi="Times New Roman" w:cs="Times New Roman" w:eastAsiaTheme="minorEastAsia"/>
          <w:b w:val="0"/>
          <w:bCs w:val="0"/>
          <w:color w:val="auto"/>
          <w:szCs w:val="22"/>
          <w:lang w:eastAsia="zh-CN"/>
        </w:rPr>
        <w:t>，</w:t>
      </w:r>
      <w:r>
        <w:rPr>
          <w:rFonts w:hint="default" w:ascii="Times New Roman" w:hAnsi="Times New Roman" w:cs="Times New Roman" w:eastAsiaTheme="minorEastAsia"/>
          <w:b w:val="0"/>
          <w:bCs w:val="0"/>
          <w:color w:val="auto"/>
          <w:szCs w:val="22"/>
        </w:rPr>
        <w:t>具备独立法人资格，持有有效的营业执照</w:t>
      </w:r>
      <w:r>
        <w:rPr>
          <w:rFonts w:hint="default" w:ascii="Times New Roman" w:hAnsi="Times New Roman" w:cs="Times New Roman" w:eastAsiaTheme="minorEastAsia"/>
          <w:b w:val="0"/>
          <w:bCs w:val="0"/>
          <w:color w:val="auto"/>
          <w:szCs w:val="2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至少提供1个自2021年1月1日以来，单项合同额不低于</w:t>
      </w:r>
      <w:r>
        <w:rPr>
          <w:rFonts w:hint="eastAsia" w:ascii="Times New Roman" w:hAnsi="Times New Roman" w:cs="Times New Roman"/>
          <w:b w:val="0"/>
          <w:bCs w:val="0"/>
          <w:color w:val="auto"/>
          <w:highlight w:val="none"/>
          <w:u w:val="single"/>
          <w:lang w:val="en-US" w:eastAsia="zh-CN"/>
        </w:rPr>
        <w:t>5</w:t>
      </w:r>
      <w:r>
        <w:rPr>
          <w:rFonts w:hint="default" w:ascii="Times New Roman" w:hAnsi="Times New Roman" w:cs="Times New Roman" w:eastAsiaTheme="minorEastAsia"/>
          <w:b w:val="0"/>
          <w:bCs w:val="0"/>
          <w:color w:val="auto"/>
          <w:highlight w:val="none"/>
          <w:u w:val="single"/>
          <w:lang w:val="en-US" w:eastAsia="zh-CN"/>
        </w:rPr>
        <w:t>0万元的</w:t>
      </w:r>
      <w:r>
        <w:rPr>
          <w:rFonts w:hint="eastAsia" w:ascii="Times New Roman" w:hAnsi="Times New Roman" w:cs="Times New Roman"/>
          <w:b w:val="0"/>
          <w:bCs w:val="0"/>
          <w:color w:val="auto"/>
          <w:highlight w:val="none"/>
          <w:u w:val="single"/>
          <w:lang w:val="en-US" w:eastAsia="zh-CN"/>
        </w:rPr>
        <w:t>瓷砖</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合同业绩，投标人若为代理商，可提供授权厂家的业绩合同，但必须提供生产厂家的授权委托书扫描件。</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pPr>
        <w:pStyle w:val="18"/>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4751"/>
      <w:bookmarkStart w:id="26" w:name="_Toc25666_WPSOffice_Level2"/>
      <w:bookmarkStart w:id="27" w:name="_Toc2996_WPSOffice_Level2"/>
      <w:bookmarkStart w:id="28" w:name="_Toc4109_WPSOffice_Level2"/>
      <w:bookmarkStart w:id="29" w:name="_Toc525632588"/>
      <w:bookmarkStart w:id="30" w:name="_Toc1994"/>
      <w:bookmarkStart w:id="31" w:name="_Toc29452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default" w:ascii="Times New Roman" w:hAnsi="Times New Roman" w:eastAsia="宋体" w:cs="Times New Roman"/>
          <w:kern w:val="0"/>
          <w:sz w:val="21"/>
          <w:szCs w:val="21"/>
          <w:highlight w:val="none"/>
          <w:lang w:val="en-US" w:eastAsia="zh-CN" w:bidi="ar-SA"/>
        </w:rPr>
      </w:pPr>
      <w:bookmarkStart w:id="32" w:name="_Toc525632589"/>
      <w:bookmarkStart w:id="33" w:name="_Toc726"/>
      <w:r>
        <w:rPr>
          <w:rFonts w:hint="default" w:ascii="Times New Roman" w:hAnsi="Times New Roman" w:eastAsia="宋体" w:cs="Times New Roman"/>
          <w:kern w:val="0"/>
          <w:sz w:val="21"/>
          <w:szCs w:val="21"/>
          <w:highlight w:val="none"/>
          <w:lang w:val="en-US" w:eastAsia="zh-CN" w:bidi="ar-SA"/>
        </w:rPr>
        <w:t>供应商应在递交响应文件的截止时间前</w:t>
      </w:r>
      <w:r>
        <w:rPr>
          <w:rFonts w:hint="default" w:ascii="Times New Roman" w:hAnsi="Times New Roman" w:cs="Times New Roman"/>
          <w:kern w:val="0"/>
          <w:sz w:val="21"/>
          <w:szCs w:val="21"/>
          <w:highlight w:val="none"/>
          <w:lang w:val="en-US" w:eastAsia="zh-CN" w:bidi="ar-SA"/>
        </w:rPr>
        <w:t>查询公告</w:t>
      </w:r>
      <w:r>
        <w:rPr>
          <w:rFonts w:hint="default" w:ascii="Times New Roman" w:hAnsi="Times New Roman" w:eastAsia="宋体" w:cs="Times New Roman"/>
          <w:kern w:val="0"/>
          <w:sz w:val="21"/>
          <w:szCs w:val="21"/>
          <w:highlight w:val="none"/>
          <w:lang w:val="en-US" w:eastAsia="zh-CN" w:bidi="ar-SA"/>
        </w:rPr>
        <w:t>，自行下载询比文件及相关资料（含澄清、补遗及相关补充文件）。未按规定下载询比文件的，后续将不予接受其响应文件。</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525632591"/>
      <w:bookmarkStart w:id="35"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none"/>
          <w:u w:val="single"/>
          <w:lang w:val="en-US" w:eastAsia="zh-CN" w:bidi="ar-SA"/>
        </w:rPr>
        <w:t>2024</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7</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10</w:t>
      </w:r>
      <w:r>
        <w:rPr>
          <w:rFonts w:hint="default" w:ascii="Times New Roman" w:hAnsi="Times New Roman" w:eastAsia="宋体" w:cs="Times New Roman"/>
          <w:b/>
          <w:bCs/>
          <w:color w:val="auto"/>
          <w:kern w:val="0"/>
          <w:sz w:val="21"/>
          <w:szCs w:val="21"/>
          <w:highlight w:val="none"/>
          <w:lang w:val="en-US" w:eastAsia="zh-CN" w:bidi="ar-SA"/>
        </w:rPr>
        <w:t>日</w:t>
      </w:r>
      <w:r>
        <w:rPr>
          <w:rFonts w:hint="default" w:ascii="Times New Roman" w:hAnsi="Times New Roman" w:eastAsia="宋体" w:cs="Times New Roman"/>
          <w:b/>
          <w:bCs/>
          <w:color w:val="auto"/>
          <w:kern w:val="0"/>
          <w:sz w:val="21"/>
          <w:szCs w:val="21"/>
          <w:highlight w:val="none"/>
          <w:u w:val="single"/>
          <w:lang w:val="en-US" w:eastAsia="zh-CN" w:bidi="ar-SA"/>
        </w:rPr>
        <w:t>1</w:t>
      </w:r>
      <w:r>
        <w:rPr>
          <w:rFonts w:hint="eastAsia" w:ascii="Times New Roman" w:hAnsi="Times New Roman" w:eastAsia="宋体" w:cs="Times New Roman"/>
          <w:b/>
          <w:bCs/>
          <w:color w:val="auto"/>
          <w:kern w:val="0"/>
          <w:sz w:val="21"/>
          <w:szCs w:val="21"/>
          <w:highlight w:val="none"/>
          <w:u w:val="single"/>
          <w:lang w:val="en-US" w:eastAsia="zh-CN" w:bidi="ar-SA"/>
        </w:rPr>
        <w:t>4</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w:t>
      </w:r>
      <w:r>
        <w:rPr>
          <w:rFonts w:hint="default" w:ascii="Times New Roman" w:hAnsi="Times New Roman" w:eastAsia="宋体" w:cs="Times New Roman"/>
          <w:b/>
          <w:bCs/>
          <w:color w:val="auto"/>
          <w:kern w:val="0"/>
          <w:sz w:val="21"/>
          <w:szCs w:val="21"/>
          <w:highlight w:val="none"/>
          <w:u w:val="single"/>
          <w:lang w:val="en-US" w:eastAsia="zh-CN" w:bidi="ar-SA"/>
        </w:rPr>
        <w:t>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本项目响应保证金：</w:t>
      </w:r>
      <w:r>
        <w:rPr>
          <w:rFonts w:hint="eastAsia" w:ascii="Times New Roman" w:hAnsi="Times New Roman" w:eastAsia="宋体" w:cs="Times New Roman"/>
          <w:b/>
          <w:bCs/>
          <w:kern w:val="2"/>
          <w:sz w:val="21"/>
          <w:szCs w:val="21"/>
          <w:highlight w:val="none"/>
          <w:lang w:val="en-US" w:eastAsia="zh-CN" w:bidi="ar-SA"/>
        </w:rPr>
        <w:t>10000元（大写：壹万元整）</w:t>
      </w:r>
      <w:r>
        <w:rPr>
          <w:rFonts w:hint="default" w:ascii="Times New Roman" w:hAnsi="Times New Roman" w:eastAsia="宋体" w:cs="Times New Roman"/>
          <w:b/>
          <w:bCs/>
          <w:kern w:val="2"/>
          <w:sz w:val="21"/>
          <w:szCs w:val="21"/>
          <w:highlight w:val="none"/>
          <w:lang w:val="en-US" w:eastAsia="zh-CN" w:bidi="ar-SA"/>
        </w:rPr>
        <w:t>。</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0"/>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报价方应向询价方以下账户递交询价响应保证金，以转账方式从报价方账户转出</w:t>
      </w: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eastAsia="宋体" w:cs="Times New Roman"/>
          <w:b/>
          <w:bCs/>
          <w:kern w:val="2"/>
          <w:sz w:val="21"/>
          <w:szCs w:val="21"/>
          <w:highlight w:val="none"/>
          <w:lang w:val="en-US" w:eastAsia="zh-CN" w:bidi="ar-SA"/>
        </w:rPr>
        <w:t>并将银行的电子回执单作为其响应文件的组成部分。</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户名：安徽省经工物资有限公司</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开户银行：工行合肥蜀山支行</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账号：1302 0121 1920 0034 038</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both"/>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lang w:val="en-US" w:eastAsia="zh-CN" w:bidi="ar-SA"/>
        </w:rPr>
        <w:t>汇款或转账时，报价方必须在付款凭证备注栏中注明</w:t>
      </w:r>
      <w:r>
        <w:rPr>
          <w:rFonts w:hint="default" w:ascii="Times New Roman" w:hAnsi="Times New Roman" w:eastAsia="宋体" w:cs="Times New Roman"/>
          <w:b/>
          <w:bCs/>
          <w:kern w:val="2"/>
          <w:sz w:val="21"/>
          <w:szCs w:val="21"/>
          <w:highlight w:val="none"/>
          <w:u w:val="single"/>
          <w:lang w:val="en-US" w:eastAsia="zh-CN" w:bidi="ar-SA"/>
        </w:rPr>
        <w:t>“</w:t>
      </w:r>
      <w:r>
        <w:rPr>
          <w:rFonts w:hint="eastAsia" w:ascii="Times New Roman" w:hAnsi="Times New Roman" w:eastAsia="宋体" w:cs="Times New Roman"/>
          <w:b/>
          <w:bCs/>
          <w:kern w:val="2"/>
          <w:sz w:val="21"/>
          <w:szCs w:val="21"/>
          <w:highlight w:val="none"/>
          <w:u w:val="single"/>
          <w:lang w:val="en-US" w:eastAsia="zh-CN" w:bidi="ar-SA"/>
        </w:rPr>
        <w:t>瓷砖</w:t>
      </w:r>
      <w:r>
        <w:rPr>
          <w:rFonts w:hint="default" w:ascii="Times New Roman" w:hAnsi="Times New Roman" w:eastAsia="宋体" w:cs="Times New Roman"/>
          <w:b/>
          <w:bCs/>
          <w:kern w:val="2"/>
          <w:sz w:val="21"/>
          <w:szCs w:val="21"/>
          <w:highlight w:val="none"/>
          <w:u w:val="single"/>
          <w:lang w:val="en-US" w:eastAsia="zh-CN" w:bidi="ar-SA"/>
        </w:rPr>
        <w:t>采购项目”</w:t>
      </w:r>
      <w:r>
        <w:rPr>
          <w:rFonts w:hint="default" w:ascii="Times New Roman" w:hAnsi="Times New Roman" w:eastAsia="宋体" w:cs="Times New Roman"/>
          <w:kern w:val="2"/>
          <w:sz w:val="21"/>
          <w:szCs w:val="21"/>
          <w:lang w:val="en-US" w:eastAsia="zh-CN" w:bidi="ar-SA"/>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default" w:ascii="Times New Roman" w:hAnsi="Times New Roman" w:eastAsia="宋体" w:cs="Times New Roman"/>
          <w:b/>
          <w:bCs/>
          <w:kern w:val="2"/>
          <w:sz w:val="21"/>
          <w:szCs w:val="21"/>
          <w:highlight w:val="none"/>
          <w:u w:val="single"/>
          <w:lang w:val="en-US" w:eastAsia="zh-CN" w:bidi="ar-SA"/>
        </w:rPr>
        <w:t>投标截止时间前一个小时到账，否则无效</w:t>
      </w:r>
      <w:r>
        <w:rPr>
          <w:rFonts w:hint="default" w:ascii="Times New Roman" w:hAnsi="Times New Roman" w:eastAsia="宋体" w:cs="Times New Roman"/>
          <w:kern w:val="2"/>
          <w:sz w:val="21"/>
          <w:szCs w:val="21"/>
          <w:highlight w:val="none"/>
          <w:lang w:val="en-US" w:eastAsia="zh-CN" w:bidi="ar-SA"/>
        </w:rPr>
        <w:t xml:space="preserve">。 </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bookmarkStart w:id="36" w:name="_Toc525632592"/>
      <w:bookmarkStart w:id="37" w:name="_Toc8501"/>
      <w:bookmarkStart w:id="38" w:name="_Toc28571_WPSOffice_Level2"/>
      <w:bookmarkStart w:id="39" w:name="_Toc14943_WPSOffice_Level2"/>
      <w:bookmarkStart w:id="40" w:name="_Toc26829"/>
      <w:bookmarkStart w:id="41" w:name="_Toc321_WPSOffice_Level2"/>
      <w:bookmarkStart w:id="42" w:name="_Toc20572_WPSOffice_Level2"/>
      <w:r>
        <w:rPr>
          <w:rFonts w:hint="default" w:ascii="Times New Roman" w:hAnsi="Times New Roman" w:eastAsia="宋体" w:cs="Times New Roman"/>
          <w:kern w:val="2"/>
          <w:sz w:val="21"/>
          <w:szCs w:val="21"/>
          <w:lang w:val="en-US" w:eastAsia="zh-CN" w:bidi="ar-SA"/>
        </w:rPr>
        <w:t>本次采购公告在安徽交控建设工程集团</w:t>
      </w:r>
      <w:r>
        <w:rPr>
          <w:rFonts w:hint="default" w:ascii="Times New Roman" w:hAnsi="Times New Roman" w:cs="Times New Roman"/>
          <w:kern w:val="2"/>
          <w:sz w:val="21"/>
          <w:szCs w:val="21"/>
          <w:lang w:val="en-US" w:eastAsia="zh-CN" w:bidi="ar-SA"/>
        </w:rPr>
        <w:t>有限公司</w:t>
      </w:r>
      <w:r>
        <w:rPr>
          <w:rFonts w:hint="default" w:ascii="Times New Roman" w:hAnsi="Times New Roman" w:eastAsia="宋体" w:cs="Times New Roman"/>
          <w:kern w:val="2"/>
          <w:sz w:val="21"/>
          <w:szCs w:val="21"/>
          <w:lang w:val="en-US" w:eastAsia="zh-CN" w:bidi="ar-SA"/>
        </w:rPr>
        <w:t>（网址：http://www.ahjggroup.com）、安徽省阳光采购服务平台（网址：http://ygcg.ahbc.com.cn）上发布。</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 系 人：</w:t>
      </w:r>
      <w:r>
        <w:rPr>
          <w:rFonts w:hint="default" w:ascii="Times New Roman" w:hAnsi="Times New Roman" w:eastAsia="宋体" w:cs="Times New Roman"/>
          <w:sz w:val="21"/>
          <w:szCs w:val="21"/>
          <w:u w:val="single"/>
          <w:lang w:val="en-US" w:eastAsia="zh-CN"/>
        </w:rPr>
        <w:t xml:space="preserve">     高工、周工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rPr>
        <w:t>电    话：</w:t>
      </w:r>
      <w:r>
        <w:rPr>
          <w:rFonts w:hint="default" w:ascii="Times New Roman" w:hAnsi="Times New Roman" w:eastAsia="宋体" w:cs="Times New Roman"/>
          <w:sz w:val="21"/>
          <w:szCs w:val="21"/>
          <w:u w:val="single"/>
          <w:lang w:val="en-US" w:eastAsia="zh-CN"/>
        </w:rPr>
        <w:t xml:space="preserve">   13135521559、15855127123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电子邮箱：</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pStyle w:val="31"/>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rPr>
          <w:rFonts w:ascii="Times New Roman" w:hAnsi="Times New Roman" w:cs="Times New Roman"/>
          <w:sz w:val="24"/>
          <w:szCs w:val="28"/>
        </w:rPr>
      </w:pPr>
      <w:r>
        <w:rPr>
          <w:rFonts w:ascii="Times New Roman" w:hAnsi="Times New Roman" w:cs="Times New Roman"/>
          <w:sz w:val="24"/>
          <w:szCs w:val="28"/>
        </w:rPr>
        <w:br w:type="page"/>
      </w:r>
    </w:p>
    <w:p>
      <w:pPr>
        <w:pStyle w:val="3"/>
        <w:spacing w:before="312" w:after="312"/>
        <w:rPr>
          <w:rFonts w:ascii="Times New Roman" w:hAnsi="Times New Roman" w:eastAsia="宋体" w:cs="Times New Roman"/>
        </w:rPr>
      </w:pPr>
      <w:bookmarkStart w:id="43" w:name="_Toc26240"/>
      <w:r>
        <w:rPr>
          <w:rFonts w:ascii="Times New Roman" w:hAnsi="Times New Roman" w:eastAsia="宋体" w:cs="Times New Roman"/>
        </w:rPr>
        <w:t>供应商须知</w:t>
      </w:r>
      <w:bookmarkEnd w:id="43"/>
    </w:p>
    <w:p>
      <w:pPr>
        <w:spacing w:line="440" w:lineRule="exact"/>
        <w:jc w:val="center"/>
        <w:outlineLvl w:val="1"/>
        <w:rPr>
          <w:rFonts w:ascii="Times New Roman" w:hAnsi="Times New Roman" w:eastAsia="黑体" w:cs="Times New Roman"/>
          <w:sz w:val="28"/>
          <w:szCs w:val="28"/>
        </w:rPr>
      </w:pPr>
      <w:bookmarkStart w:id="44" w:name="_Toc29381_WPSOffice_Level2"/>
      <w:bookmarkStart w:id="45" w:name="_Toc55466811"/>
      <w:bookmarkStart w:id="46" w:name="_Toc19501"/>
      <w:bookmarkStart w:id="47" w:name="_Toc26656928"/>
      <w:bookmarkStart w:id="48" w:name="_Toc16069"/>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19"/>
        <w:tblW w:w="4998" w:type="pct"/>
        <w:tblInd w:w="0" w:type="dxa"/>
        <w:tblLayout w:type="autofit"/>
        <w:tblCellMar>
          <w:top w:w="0" w:type="dxa"/>
          <w:left w:w="108" w:type="dxa"/>
          <w:bottom w:w="0" w:type="dxa"/>
          <w:right w:w="108" w:type="dxa"/>
        </w:tblCellMar>
      </w:tblPr>
      <w:tblGrid>
        <w:gridCol w:w="928"/>
        <w:gridCol w:w="1829"/>
        <w:gridCol w:w="5768"/>
      </w:tblGrid>
      <w:tr>
        <w:tblPrEx>
          <w:tblCellMar>
            <w:top w:w="0" w:type="dxa"/>
            <w:left w:w="108" w:type="dxa"/>
            <w:bottom w:w="0" w:type="dxa"/>
            <w:right w:w="108" w:type="dxa"/>
          </w:tblCellMar>
        </w:tblPrEx>
        <w:trPr>
          <w:trHeight w:val="567" w:hRule="atLeast"/>
        </w:trPr>
        <w:tc>
          <w:tcPr>
            <w:tcW w:w="5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10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33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567" w:hRule="atLeast"/>
        </w:trPr>
        <w:tc>
          <w:tcPr>
            <w:tcW w:w="5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10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33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满足国家最新颁布的质量技术标准和本项目的特殊要求。</w:t>
            </w:r>
          </w:p>
        </w:tc>
      </w:tr>
      <w:tr>
        <w:tblPrEx>
          <w:tblCellMar>
            <w:top w:w="0" w:type="dxa"/>
            <w:left w:w="108" w:type="dxa"/>
            <w:bottom w:w="0" w:type="dxa"/>
            <w:right w:w="108" w:type="dxa"/>
          </w:tblCellMar>
        </w:tblPrEx>
        <w:trPr>
          <w:trHeight w:val="567" w:hRule="atLeast"/>
        </w:trPr>
        <w:tc>
          <w:tcPr>
            <w:tcW w:w="5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10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33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tblPrEx>
          <w:tblCellMar>
            <w:top w:w="0" w:type="dxa"/>
            <w:left w:w="108" w:type="dxa"/>
            <w:bottom w:w="0" w:type="dxa"/>
            <w:right w:w="108" w:type="dxa"/>
          </w:tblCellMar>
        </w:tblPrEx>
        <w:trPr>
          <w:trHeight w:val="567" w:hRule="atLeast"/>
        </w:trPr>
        <w:tc>
          <w:tcPr>
            <w:tcW w:w="5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1.2.3</w:t>
            </w:r>
          </w:p>
        </w:tc>
        <w:tc>
          <w:tcPr>
            <w:tcW w:w="10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105" w:leftChars="50"/>
              <w:jc w:val="center"/>
              <w:rPr>
                <w:rFonts w:hint="eastAsia" w:ascii="Times New Roman" w:hAnsi="Times New Roman" w:eastAsia="宋体" w:cs="Times New Roman"/>
                <w:szCs w:val="21"/>
              </w:rPr>
            </w:pPr>
            <w:r>
              <w:rPr>
                <w:rFonts w:hint="eastAsia" w:ascii="Times New Roman" w:hAnsi="Times New Roman" w:eastAsia="宋体" w:cs="Times New Roman"/>
                <w:szCs w:val="21"/>
                <w:lang w:eastAsia="zh-CN"/>
              </w:rPr>
              <w:t>供应商</w:t>
            </w:r>
            <w:r>
              <w:rPr>
                <w:rFonts w:hint="eastAsia" w:ascii="Times New Roman" w:hAnsi="Times New Roman" w:eastAsia="宋体" w:cs="Times New Roman"/>
                <w:szCs w:val="21"/>
              </w:rPr>
              <w:t>资质条件、能力、信誉</w:t>
            </w:r>
          </w:p>
        </w:tc>
        <w:tc>
          <w:tcPr>
            <w:tcW w:w="33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资质条件：见附录1</w:t>
            </w:r>
          </w:p>
          <w:p>
            <w:pPr>
              <w:keepNext w:val="0"/>
              <w:keepLines w:val="0"/>
              <w:pageBreakBefore w:val="0"/>
              <w:widowControl/>
              <w:kinsoku/>
              <w:wordWrap/>
              <w:overflowPunct/>
              <w:topLinePunct w:val="0"/>
              <w:autoSpaceDE/>
              <w:autoSpaceDN/>
              <w:bidi w:val="0"/>
              <w:adjustRightInd/>
              <w:spacing w:line="240" w:lineRule="auto"/>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业绩要求：见附录2</w:t>
            </w:r>
          </w:p>
          <w:p>
            <w:pPr>
              <w:keepNext w:val="0"/>
              <w:keepLines w:val="0"/>
              <w:pageBreakBefore w:val="0"/>
              <w:widowControl/>
              <w:kinsoku/>
              <w:wordWrap/>
              <w:overflowPunct/>
              <w:topLinePunct w:val="0"/>
              <w:autoSpaceDE/>
              <w:autoSpaceDN/>
              <w:bidi w:val="0"/>
              <w:adjustRightInd/>
              <w:spacing w:line="240" w:lineRule="auto"/>
              <w:jc w:val="left"/>
              <w:rPr>
                <w:rFonts w:hint="eastAsia" w:ascii="Times New Roman" w:hAnsi="Times New Roman" w:eastAsia="宋体" w:cs="Times New Roman"/>
                <w:kern w:val="0"/>
                <w:szCs w:val="21"/>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信誉要求：见附录3</w:t>
            </w:r>
          </w:p>
        </w:tc>
      </w:tr>
      <w:tr>
        <w:tblPrEx>
          <w:tblCellMar>
            <w:top w:w="0" w:type="dxa"/>
            <w:left w:w="108" w:type="dxa"/>
            <w:bottom w:w="0" w:type="dxa"/>
            <w:right w:w="108" w:type="dxa"/>
          </w:tblCellMar>
        </w:tblPrEx>
        <w:trPr>
          <w:trHeight w:val="567" w:hRule="atLeast"/>
        </w:trPr>
        <w:tc>
          <w:tcPr>
            <w:tcW w:w="5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1.2.4</w:t>
            </w:r>
          </w:p>
        </w:tc>
        <w:tc>
          <w:tcPr>
            <w:tcW w:w="10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33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42" w:leftChars="20" w:right="42" w:rightChars="20"/>
              <w:rPr>
                <w:rFonts w:hint="eastAsia" w:ascii="Times New Roman" w:hAnsi="Times New Roman" w:eastAsia="宋体" w:cs="Times New Roman"/>
                <w:kern w:val="0"/>
                <w:szCs w:val="21"/>
              </w:rPr>
            </w:pPr>
            <w:r>
              <w:rPr>
                <w:rFonts w:hint="eastAsia" w:ascii="Times New Roman" w:hAnsi="Times New Roman" w:eastAsia="宋体" w:cs="Times New Roman"/>
                <w:szCs w:val="21"/>
              </w:rPr>
              <w:t>不接受</w:t>
            </w:r>
          </w:p>
        </w:tc>
      </w:tr>
      <w:tr>
        <w:tblPrEx>
          <w:tblCellMar>
            <w:top w:w="0" w:type="dxa"/>
            <w:left w:w="108" w:type="dxa"/>
            <w:bottom w:w="0" w:type="dxa"/>
            <w:right w:w="108" w:type="dxa"/>
          </w:tblCellMar>
        </w:tblPrEx>
        <w:trPr>
          <w:trHeight w:val="567" w:hRule="atLeast"/>
        </w:trPr>
        <w:tc>
          <w:tcPr>
            <w:tcW w:w="5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10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33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tblPrEx>
          <w:tblCellMar>
            <w:top w:w="0" w:type="dxa"/>
            <w:left w:w="108" w:type="dxa"/>
            <w:bottom w:w="0" w:type="dxa"/>
            <w:right w:w="108" w:type="dxa"/>
          </w:tblCellMar>
        </w:tblPrEx>
        <w:trPr>
          <w:trHeight w:val="567" w:hRule="atLeast"/>
        </w:trPr>
        <w:tc>
          <w:tcPr>
            <w:tcW w:w="5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10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33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highlight w:val="none"/>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tblPrEx>
          <w:tblCellMar>
            <w:top w:w="0" w:type="dxa"/>
            <w:left w:w="108" w:type="dxa"/>
            <w:bottom w:w="0" w:type="dxa"/>
            <w:right w:w="108" w:type="dxa"/>
          </w:tblCellMar>
        </w:tblPrEx>
        <w:trPr>
          <w:trHeight w:val="567" w:hRule="atLeast"/>
        </w:trPr>
        <w:tc>
          <w:tcPr>
            <w:tcW w:w="5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10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33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5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10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3382" w:type="pct"/>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2"/>
                <w:szCs w:val="22"/>
              </w:rPr>
              <w:t>报</w:t>
            </w:r>
            <w:r>
              <w:rPr>
                <w:rFonts w:hint="eastAsia" w:ascii="宋体" w:hAnsi="宋体" w:eastAsia="宋体" w:cs="宋体"/>
                <w:sz w:val="21"/>
                <w:szCs w:val="21"/>
              </w:rPr>
              <w:t>价方出现以下情形的，其询价响应保证金将不予退还：</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报价方在规定的响应有效期内撤销其响应文件</w:t>
            </w:r>
            <w:r>
              <w:rPr>
                <w:rFonts w:hint="eastAsia" w:ascii="宋体" w:hAnsi="宋体" w:eastAsia="宋体" w:cs="宋体"/>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供应商存在以他人名义报价、与他人串通报价、以行贿手段谋取成交、弄虚作假等行为。</w:t>
            </w:r>
          </w:p>
        </w:tc>
      </w:tr>
      <w:tr>
        <w:tblPrEx>
          <w:tblCellMar>
            <w:top w:w="0" w:type="dxa"/>
            <w:left w:w="108" w:type="dxa"/>
            <w:bottom w:w="0" w:type="dxa"/>
            <w:right w:w="108" w:type="dxa"/>
          </w:tblCellMar>
        </w:tblPrEx>
        <w:trPr>
          <w:trHeight w:val="567" w:hRule="atLeast"/>
        </w:trPr>
        <w:tc>
          <w:tcPr>
            <w:tcW w:w="5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10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cs="Times New Roman"/>
              </w:rPr>
            </w:pPr>
            <w:r>
              <w:rPr>
                <w:rFonts w:hint="eastAsia" w:ascii="Times New Roman" w:hAnsi="Times New Roman" w:cs="Times New Roman"/>
              </w:rPr>
              <w:t>响应文件副本份数</w:t>
            </w:r>
          </w:p>
        </w:tc>
        <w:tc>
          <w:tcPr>
            <w:tcW w:w="33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highlight w:val="yellow"/>
                <w:u w:val="single"/>
              </w:rPr>
            </w:pPr>
            <w:r>
              <w:rPr>
                <w:rFonts w:hint="eastAsia" w:ascii="Times New Roman" w:hAnsi="Times New Roman" w:cs="Times New Roman"/>
                <w:b/>
                <w:bCs/>
                <w:highlight w:val="none"/>
              </w:rPr>
              <w:t>响应文件应胶装成册，</w:t>
            </w:r>
            <w:r>
              <w:rPr>
                <w:rFonts w:ascii="Times New Roman" w:hAnsi="Times New Roman" w:cs="Times New Roman"/>
                <w:b/>
                <w:bCs/>
                <w:highlight w:val="none"/>
              </w:rPr>
              <w:t>正</w:t>
            </w:r>
            <w:r>
              <w:rPr>
                <w:rFonts w:hint="eastAsia" w:ascii="Times New Roman" w:hAnsi="Times New Roman" w:cs="Times New Roman"/>
                <w:b/>
                <w:bCs/>
                <w:highlight w:val="none"/>
                <w:lang w:eastAsia="zh-CN"/>
              </w:rPr>
              <w:t>、</w:t>
            </w:r>
            <w:r>
              <w:rPr>
                <w:rFonts w:hint="eastAsia" w:ascii="Times New Roman" w:hAnsi="Times New Roman" w:cs="Times New Roman"/>
                <w:b/>
                <w:bCs/>
                <w:highlight w:val="none"/>
                <w:lang w:val="en-US" w:eastAsia="zh-CN"/>
              </w:rPr>
              <w:t>副本各</w:t>
            </w:r>
            <w:r>
              <w:rPr>
                <w:rFonts w:ascii="Times New Roman" w:hAnsi="Times New Roman" w:cs="Times New Roman"/>
                <w:b/>
                <w:bCs/>
                <w:highlight w:val="none"/>
              </w:rPr>
              <w:t>一份。</w:t>
            </w:r>
            <w:r>
              <w:rPr>
                <w:rFonts w:hint="eastAsia" w:ascii="Times New Roman" w:hAnsi="Times New Roman" w:cs="Times New Roman"/>
                <w:b/>
                <w:bCs/>
                <w:highlight w:val="none"/>
                <w:lang w:val="en-US" w:eastAsia="zh-CN"/>
              </w:rPr>
              <w:t>正副本内容不一致时，以正本为准。</w:t>
            </w:r>
          </w:p>
        </w:tc>
      </w:tr>
      <w:tr>
        <w:tblPrEx>
          <w:tblCellMar>
            <w:top w:w="0" w:type="dxa"/>
            <w:left w:w="108" w:type="dxa"/>
            <w:bottom w:w="0" w:type="dxa"/>
            <w:right w:w="108" w:type="dxa"/>
          </w:tblCellMar>
        </w:tblPrEx>
        <w:trPr>
          <w:trHeight w:val="567" w:hRule="atLeast"/>
        </w:trPr>
        <w:tc>
          <w:tcPr>
            <w:tcW w:w="544"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r>
              <w:rPr>
                <w:rFonts w:hint="eastAsia" w:ascii="Times New Roman" w:hAnsi="Times New Roman" w:cs="Times New Roman"/>
                <w:lang w:val="en-US" w:eastAsia="zh-CN"/>
              </w:rPr>
              <w:t>4.1</w:t>
            </w:r>
          </w:p>
        </w:tc>
        <w:tc>
          <w:tcPr>
            <w:tcW w:w="1073"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r>
              <w:rPr>
                <w:rFonts w:hint="eastAsia" w:ascii="Times New Roman" w:hAnsi="Times New Roman" w:cs="Times New Roman"/>
                <w:b/>
                <w:bCs/>
              </w:rPr>
              <w:t>响应文件的密封和标记</w:t>
            </w:r>
          </w:p>
        </w:tc>
        <w:tc>
          <w:tcPr>
            <w:tcW w:w="33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hint="eastAsia" w:ascii="Times New Roman" w:hAnsi="Times New Roman" w:cs="Times New Roman"/>
                <w:highlight w:val="yellow"/>
              </w:rPr>
            </w:pPr>
            <w:r>
              <w:rPr>
                <w:rFonts w:ascii="Times New Roman" w:hAnsi="Times New Roman" w:cs="Times New Roman"/>
              </w:rPr>
              <w:t>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tc>
      </w:tr>
      <w:tr>
        <w:tblPrEx>
          <w:tblCellMar>
            <w:top w:w="0" w:type="dxa"/>
            <w:left w:w="108" w:type="dxa"/>
            <w:bottom w:w="0" w:type="dxa"/>
            <w:right w:w="108" w:type="dxa"/>
          </w:tblCellMar>
        </w:tblPrEx>
        <w:trPr>
          <w:trHeight w:val="567" w:hRule="atLeast"/>
        </w:trPr>
        <w:tc>
          <w:tcPr>
            <w:tcW w:w="54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p>
        </w:tc>
        <w:tc>
          <w:tcPr>
            <w:tcW w:w="1073"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p>
        </w:tc>
        <w:tc>
          <w:tcPr>
            <w:tcW w:w="33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imes New Roman" w:hAnsi="Times New Roman" w:cs="Times New Roman"/>
                <w:highlight w:val="yellow"/>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tc>
      </w:tr>
      <w:tr>
        <w:tblPrEx>
          <w:tblCellMar>
            <w:top w:w="0" w:type="dxa"/>
            <w:left w:w="108" w:type="dxa"/>
            <w:bottom w:w="0" w:type="dxa"/>
            <w:right w:w="108" w:type="dxa"/>
          </w:tblCellMar>
        </w:tblPrEx>
        <w:trPr>
          <w:trHeight w:val="567" w:hRule="atLeast"/>
        </w:trPr>
        <w:tc>
          <w:tcPr>
            <w:tcW w:w="54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p>
        </w:tc>
        <w:tc>
          <w:tcPr>
            <w:tcW w:w="1073"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p>
        </w:tc>
        <w:tc>
          <w:tcPr>
            <w:tcW w:w="33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highlight w:val="yellow"/>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tc>
      </w:tr>
      <w:tr>
        <w:tblPrEx>
          <w:tblCellMar>
            <w:top w:w="0" w:type="dxa"/>
            <w:left w:w="108" w:type="dxa"/>
            <w:bottom w:w="0" w:type="dxa"/>
            <w:right w:w="108" w:type="dxa"/>
          </w:tblCellMar>
        </w:tblPrEx>
        <w:trPr>
          <w:trHeight w:val="653" w:hRule="atLeast"/>
        </w:trPr>
        <w:tc>
          <w:tcPr>
            <w:tcW w:w="5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10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33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5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7.4.1</w:t>
            </w:r>
          </w:p>
        </w:tc>
        <w:tc>
          <w:tcPr>
            <w:tcW w:w="10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履约保证金</w:t>
            </w:r>
          </w:p>
        </w:tc>
        <w:tc>
          <w:tcPr>
            <w:tcW w:w="33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（1）中标后，响应保证金自动转为履约保证金。</w:t>
            </w:r>
          </w:p>
          <w:p>
            <w:pPr>
              <w:keepNext w:val="0"/>
              <w:keepLines w:val="0"/>
              <w:pageBreakBefore w:val="0"/>
              <w:kinsoku/>
              <w:wordWrap/>
              <w:overflowPunct/>
              <w:topLinePunct w:val="0"/>
              <w:autoSpaceDE/>
              <w:autoSpaceDN/>
              <w:bidi w:val="0"/>
              <w:adjustRightInd/>
              <w:snapToGrid w:val="0"/>
              <w:spacing w:line="240" w:lineRule="auto"/>
            </w:pPr>
            <w:r>
              <w:rPr>
                <w:rFonts w:hint="eastAsia" w:ascii="宋体" w:hAnsi="宋体" w:eastAsia="宋体" w:cs="宋体"/>
                <w:kern w:val="2"/>
                <w:sz w:val="21"/>
                <w:szCs w:val="21"/>
                <w:highlight w:val="none"/>
                <w:lang w:val="en-US" w:eastAsia="zh-CN" w:bidi="ar-SA"/>
              </w:rPr>
              <w:t>（2）履约保证金退还时间：该项目物资供应整体验收完成后28天内。</w:t>
            </w:r>
          </w:p>
        </w:tc>
      </w:tr>
      <w:tr>
        <w:tblPrEx>
          <w:tblCellMar>
            <w:top w:w="0" w:type="dxa"/>
            <w:left w:w="108" w:type="dxa"/>
            <w:bottom w:w="0" w:type="dxa"/>
            <w:right w:w="108" w:type="dxa"/>
          </w:tblCellMar>
        </w:tblPrEx>
        <w:trPr>
          <w:trHeight w:val="567"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tblPrEx>
          <w:tblCellMar>
            <w:top w:w="0" w:type="dxa"/>
            <w:left w:w="108" w:type="dxa"/>
            <w:bottom w:w="0" w:type="dxa"/>
            <w:right w:w="108" w:type="dxa"/>
          </w:tblCellMar>
        </w:tblPrEx>
        <w:trPr>
          <w:trHeight w:val="567" w:hRule="atLeast"/>
        </w:trPr>
        <w:tc>
          <w:tcPr>
            <w:tcW w:w="5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9.1</w:t>
            </w:r>
          </w:p>
        </w:tc>
        <w:tc>
          <w:tcPr>
            <w:tcW w:w="445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lang w:val="en-US" w:eastAsia="zh-CN"/>
              </w:rPr>
            </w:pPr>
            <w:r>
              <w:rPr>
                <w:rFonts w:hint="eastAsia"/>
                <w:lang w:val="en-US" w:eastAsia="zh-CN"/>
              </w:rPr>
              <w:t>投标人或其他利害关系人对评标结果有异议的，应以书面形式提出，异议材料应包括：</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（1）异议人的名称、地址及有效联系方式；</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（2）异议事项的基本事实；</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（3）有效线索和相关证明材料。</w:t>
            </w:r>
          </w:p>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ascii="Times New Roman" w:hAnsi="Times New Roman" w:eastAsia="宋体" w:cs="Times New Roman"/>
                <w:szCs w:val="21"/>
                <w:lang w:val="en-US" w:eastAsia="zh-CN"/>
              </w:rPr>
            </w:pPr>
            <w:r>
              <w:rPr>
                <w:rFonts w:hint="eastAsia"/>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tblPrEx>
          <w:tblCellMar>
            <w:top w:w="0" w:type="dxa"/>
            <w:left w:w="108" w:type="dxa"/>
            <w:bottom w:w="0" w:type="dxa"/>
            <w:right w:w="108" w:type="dxa"/>
          </w:tblCellMar>
        </w:tblPrEx>
        <w:trPr>
          <w:trHeight w:val="567" w:hRule="atLeast"/>
        </w:trPr>
        <w:tc>
          <w:tcPr>
            <w:tcW w:w="5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b w:val="0"/>
                <w:bCs w:val="0"/>
                <w:szCs w:val="21"/>
                <w:lang w:val="en-US" w:eastAsia="zh-CN"/>
              </w:rPr>
              <w:t>9.2</w:t>
            </w:r>
          </w:p>
        </w:tc>
        <w:tc>
          <w:tcPr>
            <w:tcW w:w="445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firstLine="420" w:firstLineChars="200"/>
              <w:jc w:val="left"/>
              <w:textAlignment w:val="top"/>
              <w:rPr>
                <w:rFonts w:hint="eastAsia"/>
                <w:b/>
                <w:bCs/>
                <w:color w:val="auto"/>
                <w:highlight w:val="none"/>
                <w:lang w:val="en-US" w:eastAsia="zh-CN"/>
              </w:rPr>
            </w:pPr>
            <w:r>
              <w:rPr>
                <w:rFonts w:hint="eastAsia" w:asciiTheme="minorHAnsi" w:eastAsiaTheme="minorEastAsia"/>
                <w:b/>
                <w:bCs/>
                <w:color w:val="auto"/>
                <w:highlight w:val="none"/>
                <w:lang w:val="en-US" w:eastAsia="zh-CN"/>
              </w:rPr>
              <w:t>1.拟中标单位须提供材料小样</w:t>
            </w:r>
            <w:r>
              <w:rPr>
                <w:rFonts w:hint="eastAsia" w:ascii="Times New Roman" w:eastAsia="宋体"/>
                <w:b/>
                <w:bCs/>
                <w:color w:val="auto"/>
                <w:highlight w:val="none"/>
                <w:lang w:val="en-US" w:eastAsia="zh-CN"/>
              </w:rPr>
              <w:t>，</w:t>
            </w:r>
            <w:r>
              <w:rPr>
                <w:rFonts w:hint="eastAsia"/>
                <w:b/>
                <w:bCs/>
                <w:color w:val="auto"/>
                <w:highlight w:val="none"/>
                <w:lang w:val="en-US" w:eastAsia="zh-CN"/>
              </w:rPr>
              <w:t>颜色要求</w:t>
            </w:r>
            <w:r>
              <w:rPr>
                <w:rFonts w:hint="eastAsia" w:asciiTheme="minorHAnsi" w:eastAsiaTheme="minorEastAsia"/>
                <w:b/>
                <w:bCs/>
                <w:color w:val="auto"/>
                <w:highlight w:val="none"/>
                <w:lang w:val="en-US" w:eastAsia="zh-CN"/>
              </w:rPr>
              <w:t>、材质要求等须经采购人确认，</w:t>
            </w:r>
            <w:r>
              <w:rPr>
                <w:rFonts w:hint="eastAsia" w:ascii="Times New Roman" w:eastAsia="宋体"/>
                <w:b/>
                <w:bCs/>
                <w:color w:val="auto"/>
                <w:highlight w:val="none"/>
                <w:lang w:val="en-US" w:eastAsia="zh-CN"/>
              </w:rPr>
              <w:t>如达不到采购人要求的：</w:t>
            </w:r>
          </w:p>
          <w:p>
            <w:pPr>
              <w:keepNext w:val="0"/>
              <w:keepLines w:val="0"/>
              <w:pageBreakBefore w:val="0"/>
              <w:kinsoku/>
              <w:wordWrap/>
              <w:overflowPunct/>
              <w:topLinePunct w:val="0"/>
              <w:autoSpaceDE/>
              <w:autoSpaceDN/>
              <w:bidi w:val="0"/>
              <w:adjustRightInd/>
              <w:snapToGrid w:val="0"/>
              <w:spacing w:line="240" w:lineRule="auto"/>
              <w:ind w:firstLine="420" w:firstLineChars="200"/>
              <w:jc w:val="left"/>
              <w:rPr>
                <w:rFonts w:hint="eastAsia"/>
                <w:color w:val="auto"/>
                <w:lang w:val="en-US" w:eastAsia="zh-CN"/>
              </w:rPr>
            </w:pPr>
            <w:r>
              <w:rPr>
                <w:rFonts w:hint="eastAsia" w:asciiTheme="minorHAnsi" w:eastAsiaTheme="minorEastAsia"/>
                <w:color w:val="auto"/>
                <w:lang w:val="en-US" w:eastAsia="zh-CN"/>
              </w:rPr>
              <w:t>1）采购人有权终止合同，并依据合同规定追究法律责任。</w:t>
            </w:r>
          </w:p>
          <w:p>
            <w:pPr>
              <w:keepNext w:val="0"/>
              <w:keepLines w:val="0"/>
              <w:pageBreakBefore w:val="0"/>
              <w:kinsoku/>
              <w:wordWrap/>
              <w:overflowPunct/>
              <w:topLinePunct w:val="0"/>
              <w:autoSpaceDE/>
              <w:autoSpaceDN/>
              <w:bidi w:val="0"/>
              <w:adjustRightInd/>
              <w:snapToGrid w:val="0"/>
              <w:spacing w:line="240" w:lineRule="auto"/>
              <w:ind w:firstLine="420" w:firstLineChars="200"/>
              <w:jc w:val="left"/>
              <w:rPr>
                <w:rFonts w:hint="eastAsia" w:asciiTheme="minorHAnsi" w:eastAsiaTheme="minorEastAsia"/>
                <w:color w:val="auto"/>
                <w:lang w:val="en-US" w:eastAsia="zh-CN"/>
              </w:rPr>
            </w:pPr>
            <w:r>
              <w:rPr>
                <w:rFonts w:hint="eastAsia" w:asciiTheme="minorHAnsi" w:eastAsiaTheme="minorEastAsia"/>
                <w:color w:val="auto"/>
                <w:lang w:val="en-US" w:eastAsia="zh-CN"/>
              </w:rPr>
              <w:t>2）采购人有权将违约行为有权按照约定进行处罚。</w:t>
            </w:r>
          </w:p>
          <w:p>
            <w:pPr>
              <w:pStyle w:val="2"/>
              <w:keepNext w:val="0"/>
              <w:keepLines w:val="0"/>
              <w:pageBreakBefore w:val="0"/>
              <w:kinsoku/>
              <w:wordWrap/>
              <w:overflowPunct/>
              <w:topLinePunct w:val="0"/>
              <w:autoSpaceDE/>
              <w:autoSpaceDN/>
              <w:bidi w:val="0"/>
              <w:adjustRightInd/>
              <w:spacing w:after="0" w:line="240" w:lineRule="auto"/>
              <w:ind w:firstLine="420" w:firstLineChars="200"/>
              <w:jc w:val="left"/>
              <w:rPr>
                <w:rFonts w:hint="default"/>
                <w:color w:val="auto"/>
                <w:lang w:val="en-US" w:eastAsia="zh-CN"/>
              </w:rPr>
            </w:pPr>
            <w:r>
              <w:rPr>
                <w:rFonts w:hint="eastAsia"/>
                <w:color w:val="auto"/>
                <w:lang w:val="en-US" w:eastAsia="zh-CN"/>
              </w:rPr>
              <w:t>3）</w:t>
            </w:r>
            <w:r>
              <w:rPr>
                <w:rFonts w:hint="eastAsia" w:asciiTheme="minorHAnsi" w:eastAsiaTheme="minorEastAsia"/>
                <w:color w:val="auto"/>
                <w:lang w:val="en-US" w:eastAsia="zh-CN"/>
              </w:rPr>
              <w:t>采购人有权</w:t>
            </w:r>
            <w:r>
              <w:rPr>
                <w:rFonts w:hint="eastAsia"/>
                <w:color w:val="auto"/>
                <w:lang w:val="en-US" w:eastAsia="zh-CN"/>
              </w:rPr>
              <w:t>将未完成的工程量移交给第三方实施（另一包段优先），供应商应无条件配合相关移交工作。</w:t>
            </w:r>
          </w:p>
          <w:p>
            <w:pPr>
              <w:keepNext w:val="0"/>
              <w:keepLines w:val="0"/>
              <w:pageBreakBefore w:val="0"/>
              <w:kinsoku/>
              <w:wordWrap/>
              <w:overflowPunct/>
              <w:topLinePunct w:val="0"/>
              <w:autoSpaceDE/>
              <w:autoSpaceDN/>
              <w:bidi w:val="0"/>
              <w:adjustRightInd/>
              <w:spacing w:line="240" w:lineRule="auto"/>
              <w:ind w:firstLine="420" w:firstLineChars="200"/>
              <w:jc w:val="left"/>
              <w:textAlignment w:val="top"/>
              <w:rPr>
                <w:rFonts w:hint="eastAsia"/>
                <w:color w:val="auto"/>
                <w:lang w:val="en-US" w:eastAsia="zh-CN"/>
              </w:rPr>
            </w:pPr>
            <w:r>
              <w:rPr>
                <w:rFonts w:hint="eastAsia" w:asciiTheme="minorHAnsi" w:eastAsiaTheme="minorEastAsia"/>
                <w:color w:val="auto"/>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pPr>
              <w:pStyle w:val="2"/>
              <w:keepNext w:val="0"/>
              <w:keepLines w:val="0"/>
              <w:pageBreakBefore w:val="0"/>
              <w:kinsoku/>
              <w:wordWrap/>
              <w:overflowPunct/>
              <w:topLinePunct w:val="0"/>
              <w:autoSpaceDE/>
              <w:autoSpaceDN/>
              <w:bidi w:val="0"/>
              <w:adjustRightInd/>
              <w:spacing w:after="0" w:line="240" w:lineRule="auto"/>
              <w:ind w:firstLine="420" w:firstLineChars="200"/>
              <w:jc w:val="left"/>
              <w:rPr>
                <w:rFonts w:hint="default" w:cstheme="minorBidi"/>
                <w:b/>
                <w:bCs/>
                <w:color w:val="auto"/>
                <w:kern w:val="2"/>
                <w:sz w:val="21"/>
                <w:szCs w:val="24"/>
                <w:lang w:val="en-US" w:eastAsia="zh-CN" w:bidi="ar-SA"/>
              </w:rPr>
            </w:pPr>
            <w:r>
              <w:rPr>
                <w:rFonts w:hint="eastAsia" w:cstheme="minorBidi"/>
                <w:b/>
                <w:bCs/>
                <w:color w:val="auto"/>
                <w:kern w:val="2"/>
                <w:sz w:val="21"/>
                <w:szCs w:val="24"/>
                <w:lang w:val="en-US" w:eastAsia="zh-CN" w:bidi="ar-SA"/>
              </w:rPr>
              <w:t>3</w:t>
            </w:r>
            <w:r>
              <w:rPr>
                <w:rFonts w:hint="eastAsia" w:asciiTheme="minorHAnsi" w:hAnsiTheme="minorHAnsi" w:eastAsiaTheme="minorEastAsia" w:cstheme="minorBidi"/>
                <w:b/>
                <w:bCs/>
                <w:color w:val="auto"/>
                <w:kern w:val="2"/>
                <w:sz w:val="21"/>
                <w:szCs w:val="24"/>
                <w:lang w:val="en-US" w:eastAsia="zh-CN" w:bidi="ar-SA"/>
              </w:rPr>
              <w:t>.报价完全考虑</w:t>
            </w:r>
            <w:r>
              <w:rPr>
                <w:rFonts w:hint="eastAsia" w:cstheme="minorBidi"/>
                <w:b/>
                <w:bCs/>
                <w:color w:val="auto"/>
                <w:kern w:val="2"/>
                <w:sz w:val="21"/>
                <w:szCs w:val="24"/>
                <w:lang w:val="en-US" w:eastAsia="zh-CN" w:bidi="ar-SA"/>
              </w:rPr>
              <w:t>报价</w:t>
            </w:r>
            <w:r>
              <w:rPr>
                <w:rFonts w:hint="eastAsia" w:asciiTheme="minorHAnsi" w:hAnsiTheme="minorHAnsi" w:eastAsiaTheme="minorEastAsia" w:cstheme="minorBidi"/>
                <w:b/>
                <w:bCs/>
                <w:color w:val="auto"/>
                <w:kern w:val="2"/>
                <w:sz w:val="21"/>
                <w:szCs w:val="24"/>
                <w:lang w:val="en-US" w:eastAsia="zh-CN" w:bidi="ar-SA"/>
              </w:rPr>
              <w:t>清单</w:t>
            </w:r>
            <w:r>
              <w:rPr>
                <w:rFonts w:hint="eastAsia" w:cstheme="minorBidi"/>
                <w:b/>
                <w:bCs/>
                <w:color w:val="auto"/>
                <w:kern w:val="2"/>
                <w:sz w:val="21"/>
                <w:szCs w:val="24"/>
                <w:lang w:val="en-US" w:eastAsia="zh-CN" w:bidi="ar-SA"/>
              </w:rPr>
              <w:t>要求</w:t>
            </w:r>
            <w:r>
              <w:rPr>
                <w:rFonts w:hint="eastAsia" w:asciiTheme="minorHAnsi" w:hAnsiTheme="minorHAnsi" w:eastAsiaTheme="minorEastAsia" w:cstheme="minorBidi"/>
                <w:b/>
                <w:bCs/>
                <w:color w:val="auto"/>
                <w:kern w:val="2"/>
                <w:sz w:val="21"/>
                <w:szCs w:val="24"/>
                <w:lang w:val="en-US" w:eastAsia="zh-CN" w:bidi="ar-SA"/>
              </w:rPr>
              <w:t>内容</w:t>
            </w:r>
            <w:r>
              <w:rPr>
                <w:rFonts w:hint="eastAsia" w:cstheme="minorBidi"/>
                <w:b/>
                <w:bCs/>
                <w:color w:val="auto"/>
                <w:kern w:val="2"/>
                <w:sz w:val="21"/>
                <w:szCs w:val="24"/>
                <w:lang w:val="en-US" w:eastAsia="zh-CN" w:bidi="ar-SA"/>
              </w:rPr>
              <w:t>，含清单内要求的品牌，材质，工艺，辅材等。</w:t>
            </w:r>
          </w:p>
          <w:p>
            <w:pPr>
              <w:pStyle w:val="2"/>
              <w:keepNext w:val="0"/>
              <w:keepLines w:val="0"/>
              <w:pageBreakBefore w:val="0"/>
              <w:kinsoku/>
              <w:wordWrap/>
              <w:overflowPunct/>
              <w:topLinePunct w:val="0"/>
              <w:autoSpaceDE/>
              <w:autoSpaceDN/>
              <w:bidi w:val="0"/>
              <w:adjustRightInd/>
              <w:spacing w:after="0" w:line="240" w:lineRule="auto"/>
              <w:ind w:firstLine="420" w:firstLineChars="200"/>
              <w:jc w:val="left"/>
              <w:rPr>
                <w:rFonts w:hint="default" w:cstheme="minorBidi"/>
                <w:b/>
                <w:bCs/>
                <w:color w:val="auto"/>
                <w:kern w:val="2"/>
                <w:sz w:val="21"/>
                <w:szCs w:val="24"/>
                <w:highlight w:val="none"/>
                <w:lang w:val="en-US" w:eastAsia="zh-CN" w:bidi="ar-SA"/>
              </w:rPr>
            </w:pPr>
            <w:r>
              <w:rPr>
                <w:rFonts w:hint="eastAsia" w:cstheme="minorBidi"/>
                <w:b/>
                <w:bCs/>
                <w:color w:val="auto"/>
                <w:kern w:val="2"/>
                <w:sz w:val="21"/>
                <w:szCs w:val="24"/>
                <w:highlight w:val="none"/>
                <w:lang w:val="en-US" w:eastAsia="zh-CN" w:bidi="ar-SA"/>
              </w:rPr>
              <w:t>4.中标单位须承担样板间的制作安装费用，最终结算样板间计入结算清单。（本项目无）</w:t>
            </w:r>
          </w:p>
          <w:p>
            <w:pPr>
              <w:keepNext w:val="0"/>
              <w:keepLines w:val="0"/>
              <w:pageBreakBefore w:val="0"/>
              <w:kinsoku/>
              <w:wordWrap/>
              <w:overflowPunct/>
              <w:topLinePunct w:val="0"/>
              <w:autoSpaceDE/>
              <w:autoSpaceDN/>
              <w:bidi w:val="0"/>
              <w:adjustRightInd/>
              <w:spacing w:line="240" w:lineRule="auto"/>
              <w:ind w:firstLine="420" w:firstLineChars="200"/>
              <w:jc w:val="left"/>
              <w:rPr>
                <w:rFonts w:hint="default" w:ascii="Times New Roman" w:eastAsia="宋体"/>
                <w:b/>
                <w:bCs/>
                <w:lang w:val="en-US" w:eastAsia="zh-CN"/>
              </w:rPr>
            </w:pPr>
            <w:r>
              <w:rPr>
                <w:rFonts w:hint="eastAsia" w:ascii="Times New Roman" w:eastAsia="宋体"/>
                <w:b/>
                <w:bCs/>
                <w:color w:val="auto"/>
                <w:lang w:val="en-US" w:eastAsia="zh-CN"/>
              </w:rPr>
              <w:t>5.水电费：投标人进场后，施工水电费计量、缴纳方式与物业与管理单位协商，费用请投标人综合考虑在报价范围之内。</w:t>
            </w:r>
            <w:r>
              <w:rPr>
                <w:rFonts w:hint="eastAsia" w:cstheme="minorBidi"/>
                <w:b/>
                <w:bCs/>
                <w:color w:val="auto"/>
                <w:kern w:val="2"/>
                <w:sz w:val="21"/>
                <w:szCs w:val="24"/>
                <w:highlight w:val="none"/>
                <w:lang w:val="en-US" w:eastAsia="zh-CN" w:bidi="ar-SA"/>
              </w:rPr>
              <w:t>（本项目无）</w:t>
            </w:r>
          </w:p>
        </w:tc>
      </w:tr>
      <w:tr>
        <w:tblPrEx>
          <w:tblCellMar>
            <w:top w:w="0" w:type="dxa"/>
            <w:left w:w="108" w:type="dxa"/>
            <w:bottom w:w="0" w:type="dxa"/>
            <w:right w:w="108" w:type="dxa"/>
          </w:tblCellMar>
        </w:tblPrEx>
        <w:trPr>
          <w:trHeight w:val="567" w:hRule="atLeast"/>
        </w:trPr>
        <w:tc>
          <w:tcPr>
            <w:tcW w:w="5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9.3</w:t>
            </w:r>
          </w:p>
        </w:tc>
        <w:tc>
          <w:tcPr>
            <w:tcW w:w="445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firstLine="420" w:firstLineChars="200"/>
              <w:rPr>
                <w:rFonts w:hint="eastAsia" w:ascii="Times New Roman" w:hAnsi="Times New Roman" w:eastAsia="宋体" w:cs="Times New Roman"/>
                <w:szCs w:val="21"/>
                <w:lang w:val="en-US" w:eastAsia="zh-CN"/>
              </w:rPr>
            </w:pPr>
            <w:r>
              <w:rPr>
                <w:rFonts w:hint="eastAsia"/>
                <w:lang w:val="en-US" w:eastAsia="zh-CN"/>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bl>
    <w:p>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pPr>
        <w:rPr>
          <w:rFonts w:ascii="Times New Roman" w:hAnsi="Times New Roman" w:eastAsia="黑体" w:cs="Times New Roman"/>
          <w:bCs/>
          <w:sz w:val="24"/>
          <w:szCs w:val="32"/>
        </w:rPr>
      </w:pPr>
      <w:bookmarkStart w:id="49" w:name="_Toc14201207"/>
      <w:bookmarkStart w:id="50" w:name="_Toc9067720"/>
      <w:bookmarkStart w:id="51" w:name="_Toc26656938"/>
      <w:r>
        <w:rPr>
          <w:rFonts w:ascii="Times New Roman" w:hAnsi="Times New Roman" w:eastAsia="黑体" w:cs="Times New Roman"/>
          <w:bCs/>
          <w:sz w:val="24"/>
          <w:szCs w:val="32"/>
        </w:rPr>
        <w:br w:type="page"/>
      </w:r>
    </w:p>
    <w:p>
      <w:pPr>
        <w:jc w:val="center"/>
        <w:rPr>
          <w:highlight w:val="none"/>
        </w:rPr>
      </w:pPr>
      <w:r>
        <w:rPr>
          <w:rFonts w:hint="eastAsia" w:ascii="黑体" w:eastAsia="黑体"/>
          <w:sz w:val="24"/>
          <w:szCs w:val="24"/>
          <w:highlight w:val="none"/>
        </w:rPr>
        <w:t>附录1 资格审查条件（资质最低条件）</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pPr>
              <w:jc w:val="center"/>
              <w:rPr>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pPr>
              <w:jc w:val="center"/>
              <w:rPr>
                <w:rFonts w:hint="eastAsia"/>
                <w:sz w:val="22"/>
                <w:szCs w:val="22"/>
                <w:highlight w:val="none"/>
              </w:rPr>
            </w:pPr>
            <w:r>
              <w:rPr>
                <w:rFonts w:hint="eastAsia"/>
                <w:sz w:val="22"/>
                <w:szCs w:val="22"/>
                <w:highlight w:val="none"/>
              </w:rPr>
              <w:t>具有独立完成本项目相关能力，具备独立法人资格，持有有效的营业执照。</w:t>
            </w: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2"/>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pPr>
              <w:jc w:val="center"/>
              <w:rPr>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pPr>
              <w:snapToGrid w:val="0"/>
              <w:jc w:val="center"/>
              <w:rPr>
                <w:rFonts w:hAnsi="宋体"/>
                <w:sz w:val="22"/>
                <w:szCs w:val="22"/>
                <w:highlight w:val="none"/>
              </w:rPr>
            </w:pPr>
            <w:r>
              <w:rPr>
                <w:rFonts w:hint="eastAsia"/>
                <w:lang w:val="en-US" w:eastAsia="zh-CN"/>
              </w:rPr>
              <w:t>至少提供1个自2021年1月1日以来，单项合同额不低于50万元的瓷砖供应合同业绩，投标人若为代理商，可提供授权厂家的业绩合同，但必须提供生产厂家的授权委托书扫描件。</w:t>
            </w:r>
          </w:p>
        </w:tc>
      </w:tr>
    </w:tbl>
    <w:p>
      <w:pPr>
        <w:bidi w:val="0"/>
        <w:rPr>
          <w:rFonts w:hint="eastAsia"/>
          <w:lang w:val="en-US" w:eastAsia="zh-CN"/>
        </w:rPr>
      </w:pPr>
      <w:r>
        <w:rPr>
          <w:rFonts w:hint="eastAsia"/>
          <w:lang w:val="en-US" w:eastAsia="zh-CN"/>
        </w:rPr>
        <w:t>业绩证明材料要求如下，否则业绩不予认可。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pPr>
        <w:pStyle w:val="2"/>
        <w:rPr>
          <w:rFonts w:hint="eastAsia"/>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pPr>
              <w:jc w:val="center"/>
              <w:rPr>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pPr>
              <w:spacing w:line="276" w:lineRule="auto"/>
              <w:ind w:firstLine="210" w:firstLineChars="100"/>
              <w:jc w:val="left"/>
              <w:rPr>
                <w:rFonts w:hint="eastAsia"/>
              </w:rPr>
            </w:pPr>
            <w:r>
              <w:rPr>
                <w:rFonts w:hint="eastAsia"/>
              </w:rPr>
              <w:t>1.投标人、法定代表人近三年内无行贿犯罪行为。</w:t>
            </w:r>
          </w:p>
          <w:p>
            <w:pPr>
              <w:spacing w:line="276" w:lineRule="auto"/>
              <w:ind w:firstLine="210" w:firstLineChars="100"/>
              <w:jc w:val="left"/>
              <w:rPr>
                <w:rFonts w:hint="eastAsia"/>
              </w:rPr>
            </w:pPr>
            <w:r>
              <w:rPr>
                <w:rFonts w:hint="eastAsia"/>
              </w:rPr>
              <w:t>2.投标人未被人民法院列入失信被执行人（以“信用中国”官网http://www.creditchina.gov.cn查询为准）。</w:t>
            </w:r>
          </w:p>
          <w:p>
            <w:pPr>
              <w:spacing w:line="276" w:lineRule="auto"/>
              <w:ind w:firstLine="210" w:firstLineChars="100"/>
              <w:jc w:val="left"/>
              <w:rPr>
                <w:rFonts w:hint="eastAsia"/>
              </w:rPr>
            </w:pPr>
            <w:r>
              <w:rPr>
                <w:rFonts w:hint="eastAsia"/>
              </w:rPr>
              <w:t>3投标人没有正受到责令停业，暂扣或吊销执照，或吊销资质证书。</w:t>
            </w:r>
          </w:p>
          <w:p>
            <w:pPr>
              <w:spacing w:line="276" w:lineRule="auto"/>
              <w:ind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pPr>
              <w:spacing w:line="276" w:lineRule="auto"/>
              <w:ind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pPr>
              <w:spacing w:line="276" w:lineRule="auto"/>
              <w:ind w:firstLine="210" w:firstLineChars="100"/>
              <w:jc w:val="left"/>
              <w:rPr>
                <w:rFonts w:hint="eastAsia"/>
              </w:rPr>
            </w:pPr>
            <w:r>
              <w:rPr>
                <w:rFonts w:hint="eastAsia"/>
                <w:lang w:val="en-US" w:eastAsia="zh-CN"/>
              </w:rPr>
              <w:t>6</w:t>
            </w:r>
            <w:r>
              <w:rPr>
                <w:rFonts w:hint="eastAsia"/>
              </w:rPr>
              <w:t>.没有法律法规规定的其他情形。</w:t>
            </w:r>
          </w:p>
        </w:tc>
      </w:tr>
    </w:tbl>
    <w:p>
      <w:pPr>
        <w:pStyle w:val="31"/>
        <w:rPr>
          <w:rFonts w:ascii="Times New Roman" w:hAnsi="Times New Roman" w:eastAsia="黑体" w:cs="Times New Roman"/>
          <w:bCs/>
          <w:sz w:val="24"/>
          <w:szCs w:val="32"/>
        </w:rPr>
      </w:pPr>
    </w:p>
    <w:p>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不允许分包。</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lang w:val="en-US" w:eastAsia="zh-CN"/>
        </w:rPr>
      </w:pPr>
      <w:r>
        <w:rPr>
          <w:rFonts w:ascii="Times New Roman" w:hAnsi="Times New Roman" w:cs="Times New Roman"/>
        </w:rPr>
        <w:t>7.4.1</w:t>
      </w:r>
      <w:r>
        <w:rPr>
          <w:rFonts w:hint="eastAsia" w:ascii="Times New Roman" w:hAnsi="Times New Roman" w:cs="Times New Roman"/>
          <w:lang w:val="en-US" w:eastAsia="zh-CN"/>
        </w:rPr>
        <w:t>中标后，响应保证金自动转为履约保证金。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pPr>
        <w:keepNext/>
        <w:keepLines/>
        <w:spacing w:before="120" w:after="120"/>
        <w:outlineLvl w:val="2"/>
        <w:rPr>
          <w:rFonts w:hint="eastAsia" w:ascii="Times New Roman" w:hAnsi="Times New Roman" w:eastAsia="黑体" w:cs="Times New Roman"/>
          <w:bCs/>
          <w:sz w:val="24"/>
          <w:szCs w:val="32"/>
        </w:rPr>
      </w:pPr>
      <w:r>
        <w:rPr>
          <w:rFonts w:hint="eastAsia" w:ascii="Times New Roman" w:hAnsi="Times New Roman" w:eastAsia="黑体" w:cs="Times New Roman"/>
          <w:bCs/>
          <w:sz w:val="24"/>
          <w:szCs w:val="32"/>
          <w:lang w:val="en-US" w:eastAsia="zh-CN"/>
        </w:rPr>
        <w:t xml:space="preserve">8.1 </w:t>
      </w:r>
      <w:r>
        <w:rPr>
          <w:rFonts w:hint="eastAsia" w:ascii="Times New Roman" w:hAnsi="Times New Roman" w:eastAsia="黑体" w:cs="Times New Roman"/>
          <w:bCs/>
          <w:sz w:val="24"/>
          <w:szCs w:val="32"/>
        </w:rPr>
        <w:t>对</w:t>
      </w:r>
      <w:r>
        <w:rPr>
          <w:rFonts w:hint="eastAsia" w:ascii="Times New Roman" w:hAnsi="Times New Roman" w:eastAsia="黑体" w:cs="Times New Roman"/>
          <w:bCs/>
          <w:sz w:val="24"/>
          <w:szCs w:val="32"/>
          <w:lang w:eastAsia="zh-CN"/>
        </w:rPr>
        <w:t>采购</w:t>
      </w:r>
      <w:r>
        <w:rPr>
          <w:rFonts w:hint="eastAsia" w:ascii="Times New Roman" w:hAnsi="Times New Roman" w:eastAsia="黑体" w:cs="Times New Roman"/>
          <w:bCs/>
          <w:sz w:val="24"/>
          <w:szCs w:val="32"/>
        </w:rPr>
        <w:t>人的纪律要求</w:t>
      </w:r>
    </w:p>
    <w:p>
      <w:pPr>
        <w:spacing w:line="440" w:lineRule="exact"/>
        <w:ind w:firstLine="420"/>
        <w:rPr>
          <w:rFonts w:hint="eastAsia" w:ascii="Times New Roman" w:hAnsi="Times New Roman" w:cs="Times New Roman"/>
          <w:lang w:val="en-US" w:eastAsia="zh-CN"/>
        </w:rPr>
      </w:pPr>
      <w:r>
        <w:rPr>
          <w:rFonts w:hint="eastAsia" w:ascii="Times New Roman" w:hAnsi="Times New Roman" w:cs="Times New Roman"/>
          <w:lang w:eastAsia="zh-CN"/>
        </w:rPr>
        <w:t>采购</w:t>
      </w:r>
      <w:r>
        <w:rPr>
          <w:rFonts w:hint="eastAsia" w:ascii="Times New Roman" w:hAnsi="Times New Roman" w:cs="Times New Roman"/>
        </w:rPr>
        <w:t>人不得泄露</w:t>
      </w:r>
      <w:r>
        <w:rPr>
          <w:rFonts w:hint="eastAsia" w:ascii="Times New Roman" w:hAnsi="Times New Roman" w:cs="Times New Roman"/>
          <w:lang w:eastAsia="zh-CN"/>
        </w:rPr>
        <w:t>采购</w:t>
      </w:r>
      <w:r>
        <w:rPr>
          <w:rFonts w:hint="eastAsia" w:ascii="Times New Roman" w:hAnsi="Times New Roman" w:cs="Times New Roman"/>
        </w:rPr>
        <w:t>活动中应当保密的情况和资料， 不得与</w:t>
      </w:r>
      <w:r>
        <w:rPr>
          <w:rFonts w:hint="eastAsia" w:ascii="Times New Roman" w:hAnsi="Times New Roman" w:cs="Times New Roman"/>
          <w:lang w:eastAsia="zh-CN"/>
        </w:rPr>
        <w:t>响应供应商</w:t>
      </w:r>
      <w:r>
        <w:rPr>
          <w:rFonts w:hint="eastAsia" w:ascii="Times New Roman" w:hAnsi="Times New Roman" w:cs="Times New Roman"/>
        </w:rPr>
        <w:t>串通损害国家利益、社会公共利益或者他人合法权益。</w:t>
      </w:r>
    </w:p>
    <w:p>
      <w:pPr>
        <w:keepNext/>
        <w:keepLines/>
        <w:spacing w:before="120" w:after="120"/>
        <w:outlineLvl w:val="2"/>
        <w:rPr>
          <w:rFonts w:hint="default"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8.2对响应供应商的纪律要求</w:t>
      </w:r>
    </w:p>
    <w:p>
      <w:pPr>
        <w:spacing w:line="440" w:lineRule="exact"/>
        <w:ind w:firstLine="420"/>
        <w:rPr>
          <w:rFonts w:hint="eastAsia"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after="120"/>
        <w:outlineLvl w:val="2"/>
        <w:rPr>
          <w:rFonts w:hint="eastAsia"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8.3 对评审小组成员的纪律要求</w:t>
      </w:r>
    </w:p>
    <w:p>
      <w:pPr>
        <w:spacing w:line="440" w:lineRule="exact"/>
        <w:ind w:firstLine="420"/>
        <w:rPr>
          <w:rFonts w:hint="default" w:ascii="Times New Roman" w:hAnsi="Times New Roman" w:cs="Times New Roman"/>
          <w:lang w:val="en-US" w:eastAsia="zh-CN"/>
        </w:rPr>
      </w:pPr>
      <w:r>
        <w:rPr>
          <w:rFonts w:hint="eastAsia" w:ascii="Times New Roman" w:hAnsi="Times New Roman" w:cs="Times New Roman"/>
          <w:lang w:eastAsia="zh-CN"/>
        </w:rPr>
        <w:t>评审小组</w:t>
      </w:r>
      <w:r>
        <w:rPr>
          <w:rFonts w:hint="eastAsia" w:ascii="Times New Roman" w:hAnsi="Times New Roman" w:cs="Times New Roman"/>
        </w:rPr>
        <w:t>成员不得收受他人的财物或者其他好处，不得向他人透露对</w:t>
      </w:r>
      <w:r>
        <w:rPr>
          <w:rFonts w:hint="eastAsia" w:ascii="Times New Roman" w:hAnsi="Times New Roman" w:cs="Times New Roman"/>
          <w:lang w:eastAsia="zh-CN"/>
        </w:rPr>
        <w:t>响应</w:t>
      </w:r>
      <w:r>
        <w:rPr>
          <w:rFonts w:hint="eastAsia" w:ascii="Times New Roman" w:hAnsi="Times New Roman" w:cs="Times New Roman"/>
        </w:rPr>
        <w:t>文件的评审和比较、中标候选人的推荐情况以及</w:t>
      </w:r>
      <w:r>
        <w:rPr>
          <w:rFonts w:hint="eastAsia" w:ascii="Times New Roman" w:hAnsi="Times New Roman" w:cs="Times New Roman"/>
          <w:lang w:eastAsia="zh-CN"/>
        </w:rPr>
        <w:t>评审</w:t>
      </w:r>
      <w:r>
        <w:rPr>
          <w:rFonts w:hint="eastAsia" w:ascii="Times New Roman" w:hAnsi="Times New Roman" w:cs="Times New Roman"/>
        </w:rPr>
        <w:t>有关的其他情况。在</w:t>
      </w:r>
      <w:r>
        <w:rPr>
          <w:rFonts w:hint="eastAsia" w:ascii="Times New Roman" w:hAnsi="Times New Roman" w:cs="Times New Roman"/>
          <w:lang w:eastAsia="zh-CN"/>
        </w:rPr>
        <w:t>评审</w:t>
      </w:r>
      <w:r>
        <w:rPr>
          <w:rFonts w:hint="eastAsia" w:ascii="Times New Roman" w:hAnsi="Times New Roman" w:cs="Times New Roman"/>
        </w:rPr>
        <w:t>活动中，</w:t>
      </w:r>
      <w:r>
        <w:rPr>
          <w:rFonts w:hint="eastAsia" w:ascii="Times New Roman" w:hAnsi="Times New Roman" w:cs="Times New Roman"/>
          <w:lang w:eastAsia="zh-CN"/>
        </w:rPr>
        <w:t>评审小组</w:t>
      </w:r>
      <w:r>
        <w:rPr>
          <w:rFonts w:hint="eastAsia" w:ascii="Times New Roman" w:hAnsi="Times New Roman" w:cs="Times New Roman"/>
        </w:rPr>
        <w:t>成员应当客观、公正地履行职责，遵守职业道德，不得擅离职守，影响评标程序正常进行，不得使用第三章“</w:t>
      </w:r>
      <w:r>
        <w:rPr>
          <w:rFonts w:hint="eastAsia" w:ascii="Times New Roman" w:hAnsi="Times New Roman" w:cs="Times New Roman"/>
          <w:lang w:eastAsia="zh-CN"/>
        </w:rPr>
        <w:t>评审</w:t>
      </w:r>
      <w:r>
        <w:rPr>
          <w:rFonts w:hint="eastAsia" w:ascii="Times New Roman" w:hAnsi="Times New Roman" w:cs="Times New Roman"/>
        </w:rPr>
        <w:t>办法”没有规定的评审因素和标准进行</w:t>
      </w:r>
      <w:r>
        <w:rPr>
          <w:rFonts w:hint="eastAsia" w:ascii="Times New Roman" w:hAnsi="Times New Roman" w:cs="Times New Roman"/>
          <w:lang w:eastAsia="zh-CN"/>
        </w:rPr>
        <w:t>评审</w:t>
      </w:r>
      <w:r>
        <w:rPr>
          <w:rFonts w:hint="eastAsia"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pPr>
        <w:spacing w:line="440" w:lineRule="exact"/>
        <w:ind w:firstLine="420"/>
        <w:rPr>
          <w:rFonts w:hint="eastAsia"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pPr>
        <w:spacing w:line="440" w:lineRule="exact"/>
        <w:ind w:firstLine="420"/>
        <w:rPr>
          <w:rFonts w:hint="eastAsia" w:ascii="Times New Roman" w:hAnsi="Times New Roman" w:cs="Times New Roman"/>
        </w:rPr>
      </w:pPr>
      <w:r>
        <w:rPr>
          <w:rFonts w:hint="eastAsia" w:ascii="Times New Roman" w:hAnsi="Times New Roman" w:cs="Times New Roman"/>
        </w:rPr>
        <w:br w:type="page"/>
      </w:r>
    </w:p>
    <w:p>
      <w:pPr>
        <w:pStyle w:val="3"/>
        <w:spacing w:before="312" w:after="312"/>
        <w:rPr>
          <w:rFonts w:ascii="Times New Roman" w:hAnsi="Times New Roman" w:eastAsia="宋体" w:cs="Times New Roman"/>
        </w:rPr>
      </w:pPr>
      <w:bookmarkStart w:id="52" w:name="_Toc2394"/>
      <w:r>
        <w:rPr>
          <w:rFonts w:ascii="Times New Roman" w:hAnsi="Times New Roman" w:eastAsia="宋体" w:cs="Times New Roman"/>
        </w:rPr>
        <w:t>评审办法</w:t>
      </w:r>
      <w:bookmarkEnd w:id="52"/>
    </w:p>
    <w:p>
      <w:pPr>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pPr>
        <w:pStyle w:val="35"/>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3" w:name="_Toc457482536"/>
      <w:bookmarkStart w:id="54" w:name="_Toc3834"/>
      <w:bookmarkStart w:id="55" w:name="_Toc447808662"/>
      <w:bookmarkStart w:id="56" w:name="_Toc152045528"/>
      <w:bookmarkStart w:id="57" w:name="_Toc152042304"/>
      <w:bookmarkStart w:id="58" w:name="_Toc144974496"/>
      <w:bookmarkStart w:id="59" w:name="_Toc14847"/>
      <w:r>
        <w:rPr>
          <w:rFonts w:hint="eastAsia" w:ascii="宋体" w:hAnsi="宋体" w:eastAsia="宋体"/>
          <w:b/>
          <w:bCs/>
          <w:szCs w:val="28"/>
        </w:rPr>
        <w:t>前附表</w:t>
      </w:r>
      <w:bookmarkEnd w:id="53"/>
      <w:bookmarkEnd w:id="54"/>
      <w:bookmarkEnd w:id="55"/>
      <w:bookmarkEnd w:id="56"/>
      <w:bookmarkEnd w:id="57"/>
      <w:bookmarkEnd w:id="58"/>
      <w:bookmarkEnd w:id="59"/>
      <w:r>
        <w:rPr>
          <w:rFonts w:hint="eastAsia" w:ascii="宋体" w:hAnsi="宋体" w:eastAsia="宋体"/>
          <w:b/>
          <w:bCs/>
          <w:szCs w:val="28"/>
        </w:rPr>
        <w:t>A</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0"/>
        <w:gridCol w:w="1602"/>
        <w:gridCol w:w="5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0" w:type="pct"/>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963" w:type="pct"/>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3085" w:type="pct"/>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3" w:type="pct"/>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1</w:t>
            </w:r>
          </w:p>
        </w:tc>
        <w:tc>
          <w:tcPr>
            <w:tcW w:w="576" w:type="pct"/>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评审方法</w:t>
            </w:r>
          </w:p>
        </w:tc>
        <w:tc>
          <w:tcPr>
            <w:tcW w:w="963" w:type="pct"/>
            <w:tcMar>
              <w:left w:w="75" w:type="dxa"/>
            </w:tcMar>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排序方法</w:t>
            </w:r>
          </w:p>
        </w:tc>
        <w:tc>
          <w:tcPr>
            <w:tcW w:w="3085" w:type="pct"/>
            <w:tcMar>
              <w:left w:w="75" w:type="dxa"/>
            </w:tcMar>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评标委员会按评标价由低到高顺序推荐中标候选人，评标价相等时，评标委员会依次按照以下优先顺序推荐中标候选人：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）商务及技术文件得分较高的投标人优先；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）投标文件提供的业绩累计合同金额大的投标人优先。 </w:t>
            </w:r>
          </w:p>
        </w:tc>
      </w:tr>
    </w:tbl>
    <w:p>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7"/>
        <w:gridCol w:w="991"/>
        <w:gridCol w:w="6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7" w:type="pct"/>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32" w:type="pct"/>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jc w:val="center"/>
        </w:trPr>
        <w:tc>
          <w:tcPr>
            <w:tcW w:w="371" w:type="pc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96" w:type="pct"/>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形式评审</w:t>
            </w:r>
          </w:p>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与响应性</w:t>
            </w:r>
          </w:p>
          <w:p>
            <w:pPr>
              <w:keepNext w:val="0"/>
              <w:keepLines w:val="0"/>
              <w:widowControl/>
              <w:suppressLineNumbers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000000"/>
                <w:kern w:val="0"/>
                <w:sz w:val="21"/>
                <w:szCs w:val="21"/>
                <w:lang w:val="en-US" w:eastAsia="zh-CN" w:bidi="ar"/>
              </w:rPr>
              <w:t>评审标准</w:t>
            </w:r>
          </w:p>
        </w:tc>
        <w:tc>
          <w:tcPr>
            <w:tcW w:w="4032" w:type="pct"/>
            <w:tcMar>
              <w:left w:w="75" w:type="dxa"/>
            </w:tcMar>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第一个信封（商务及技术文件）评审标准：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）投标文件按照采购文件规定的格式、内容填写，字迹清晰可辨：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投标函按采购文件规定填报了采购人名称、项目名称、标段号、补遗书编号（如有）、工期、工程质量要求及安全目标；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投标函附录的所有数据均符合采购文件规定；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投标文件组成齐全完整，内容均按规定填写。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）投标文件上法定代表人或其授权代理人的签字、投标人的单位章盖章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齐全，符合采购文件规定。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）投标人按照采购文件的规定提供了投标保证金：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投标保证金金额符合采购文件规定的金额，且投标保证金有效期不少于投标有效期；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若投标保证金采用现金或支票形式提交，投标人应在递交投标文件截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止时间之前，将投标保证金由投标人的基本账户转入并到达采购人指定账户；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若投标保证金采用银行保函形式提交，银行保函的格式、开具保函的银行均满足采购文件要求。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）投标人法定代表人授权委托代理人签署投标文件的，需提交授权委托书，且授权人和被授权人均在授权委托书上签字。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）投标人法定代表人亲自签署投标文件的，提供了法定代表人身份证明，且法定代表人在法定代表人身份证明上签字。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）本项目不接受联合体投标。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）同一投标人未提交两个以上不同的投标文件。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）投标文件中未出现有关投标报价的内容。</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）投标文件载明的招标项目完成期限未超过采购文件规定的时限。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 xml:space="preserve">）投标文件对采购文件的实质性要求和条件作出响应。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）权利义务符合采购文件规定：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投标人应接受采购文件规定的风险划分原则，未提出新的风险划分办法；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投标人未增加发包人的责任范围，或减少投标人义务；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投标人未提出不同的工程验收、计量、支付办法；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d.</w:t>
            </w:r>
            <w:r>
              <w:rPr>
                <w:rFonts w:hint="eastAsia" w:ascii="宋体" w:hAnsi="宋体" w:eastAsia="宋体" w:cs="宋体"/>
                <w:color w:val="000000"/>
                <w:kern w:val="0"/>
                <w:sz w:val="21"/>
                <w:szCs w:val="21"/>
                <w:lang w:val="en-US" w:eastAsia="zh-CN" w:bidi="ar"/>
              </w:rPr>
              <w:t xml:space="preserve">投标人对合同纠纷、事故处理办法未提出异议；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e.</w:t>
            </w:r>
            <w:r>
              <w:rPr>
                <w:rFonts w:hint="eastAsia" w:ascii="宋体" w:hAnsi="宋体" w:eastAsia="宋体" w:cs="宋体"/>
                <w:color w:val="000000"/>
                <w:kern w:val="0"/>
                <w:sz w:val="21"/>
                <w:szCs w:val="21"/>
                <w:lang w:val="en-US" w:eastAsia="zh-CN" w:bidi="ar"/>
              </w:rPr>
              <w:t xml:space="preserve">投标人在投标活动中无欺诈行为；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f.</w:t>
            </w:r>
            <w:r>
              <w:rPr>
                <w:rFonts w:hint="eastAsia" w:ascii="宋体" w:hAnsi="宋体" w:eastAsia="宋体" w:cs="宋体"/>
                <w:color w:val="000000"/>
                <w:kern w:val="0"/>
                <w:sz w:val="21"/>
                <w:szCs w:val="21"/>
                <w:lang w:val="en-US" w:eastAsia="zh-CN" w:bidi="ar"/>
              </w:rPr>
              <w:t xml:space="preserve">投标人未对合同条款有重要保留。 </w:t>
            </w:r>
          </w:p>
          <w:p>
            <w:pPr>
              <w:keepNext w:val="0"/>
              <w:keepLines w:val="0"/>
              <w:widowControl/>
              <w:suppressLineNumbers w:val="0"/>
              <w:jc w:val="left"/>
              <w:rPr>
                <w:b w:val="0"/>
                <w:bCs w:val="0"/>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 xml:space="preserve">投标人网上报名的标段、投标保证金提交的标段和投标文件所投标 </w:t>
            </w:r>
          </w:p>
          <w:p>
            <w:pPr>
              <w:keepNext w:val="0"/>
              <w:keepLines w:val="0"/>
              <w:widowControl/>
              <w:suppressLineNumbers w:val="0"/>
              <w:jc w:val="left"/>
              <w:rPr>
                <w:sz w:val="21"/>
                <w:szCs w:val="21"/>
              </w:rPr>
            </w:pPr>
            <w:r>
              <w:rPr>
                <w:rFonts w:hint="eastAsia" w:ascii="宋体" w:hAnsi="宋体" w:eastAsia="宋体" w:cs="宋体"/>
                <w:b w:val="0"/>
                <w:bCs w:val="0"/>
                <w:color w:val="000000"/>
                <w:kern w:val="0"/>
                <w:sz w:val="21"/>
                <w:szCs w:val="21"/>
                <w:lang w:val="en-US" w:eastAsia="zh-CN" w:bidi="ar"/>
              </w:rPr>
              <w:t>段一致。</w:t>
            </w:r>
            <w:r>
              <w:rPr>
                <w:rFonts w:hint="eastAsia" w:ascii="宋体" w:hAnsi="宋体" w:eastAsia="宋体" w:cs="宋体"/>
                <w:b/>
                <w:bCs/>
                <w:color w:val="000000"/>
                <w:kern w:val="0"/>
                <w:sz w:val="21"/>
                <w:szCs w:val="21"/>
                <w:lang w:val="en-US" w:eastAsia="zh-CN" w:bidi="ar"/>
              </w:rPr>
              <w:t xml:space="preserve">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）投标人对其信誉情况的承诺与事实相符。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）投标文件未附有采购人不能接受的条件。 </w:t>
            </w:r>
          </w:p>
          <w:p>
            <w:pPr>
              <w:keepNext w:val="0"/>
              <w:keepLines w:val="0"/>
              <w:widowControl/>
              <w:suppressLineNumbers w:val="0"/>
              <w:jc w:val="left"/>
              <w:rPr>
                <w:sz w:val="21"/>
                <w:szCs w:val="21"/>
              </w:rPr>
            </w:pPr>
            <w:r>
              <w:rPr>
                <w:rFonts w:hint="eastAsia" w:ascii="黑体" w:hAnsi="宋体" w:eastAsia="黑体" w:cs="黑体"/>
                <w:color w:val="000000"/>
                <w:kern w:val="0"/>
                <w:sz w:val="21"/>
                <w:szCs w:val="21"/>
                <w:lang w:val="en-US" w:eastAsia="zh-CN" w:bidi="ar"/>
              </w:rPr>
              <w:t xml:space="preserve">第二个信封（报价文件）评审标准：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）报价文件按照采购文件规定的格式、内容填写，字迹清晰可辨：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投标函按采购文件规定填报了采购人名称、项目名称、标段号、补遗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书编号（如有）、投标价（包括大写金额和小写金额）；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已标价工程量清单及说明文字与采购文件规定一致，未进行实质性修改和删减；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工程量清单中的投标报价与投标函大写金额报价一致；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d.</w:t>
            </w:r>
            <w:r>
              <w:rPr>
                <w:rFonts w:hint="eastAsia" w:ascii="宋体" w:hAnsi="宋体" w:eastAsia="宋体" w:cs="宋体"/>
                <w:color w:val="000000"/>
                <w:kern w:val="0"/>
                <w:sz w:val="21"/>
                <w:szCs w:val="21"/>
                <w:lang w:val="en-US" w:eastAsia="zh-CN" w:bidi="ar"/>
              </w:rPr>
              <w:t xml:space="preserve">投标文件组成齐全完整，内容均按规定填写。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）报价文件上法定代表人或其授权代理人的签字、投标人的单位章盖章齐全，符合采购文件规定。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）投标报价未超过采购文件设定的最高投标限价（如有）。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）投标报价的大写金额能够确定具体数值。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）同一投标人未提交两个以上不同的投标报价。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）投标人未提交调价函。 （如有）</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）投标人若填写工程量固化清单，填写完毕的工程量固化清单未对工程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量固化清单电子文件中的数据、格式和运算定义进行修改。 （如有）</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）未附有采购人不能接受的条件。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1" w:type="pc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96" w:type="pct"/>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标准</w:t>
            </w:r>
          </w:p>
        </w:tc>
        <w:tc>
          <w:tcPr>
            <w:tcW w:w="4032" w:type="pct"/>
            <w:tcMar>
              <w:left w:w="75" w:type="dxa"/>
            </w:tcMar>
            <w:vAlign w:val="center"/>
          </w:tcPr>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 xml:space="preserve">符合采购公告3.供应商资格条件 及采购文件格式要求。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pPr>
        <w:pStyle w:val="2"/>
      </w:pPr>
    </w:p>
    <w:p>
      <w:pPr>
        <w:pStyle w:val="2"/>
      </w:pPr>
    </w:p>
    <w:p>
      <w:pPr>
        <w:pStyle w:val="2"/>
      </w:pPr>
    </w:p>
    <w:p>
      <w:pPr>
        <w:rPr>
          <w:rFonts w:hint="eastAsia" w:ascii="宋体" w:hAnsi="宋体" w:eastAsia="宋体"/>
          <w:b/>
          <w:bCs/>
          <w:szCs w:val="28"/>
        </w:rPr>
      </w:pPr>
      <w:r>
        <w:rPr>
          <w:rFonts w:hint="eastAsia" w:ascii="宋体" w:hAnsi="宋体" w:eastAsia="宋体"/>
          <w:b/>
          <w:bCs/>
          <w:szCs w:val="28"/>
        </w:rPr>
        <w:br w:type="page"/>
      </w:r>
    </w:p>
    <w:p>
      <w:pPr>
        <w:pStyle w:val="35"/>
        <w:numPr>
          <w:ilvl w:val="0"/>
          <w:numId w:val="0"/>
        </w:numPr>
        <w:spacing w:before="0"/>
        <w:outlineLvl w:val="9"/>
        <w:rPr>
          <w:rFonts w:hint="eastAsia" w:ascii="宋体" w:hAnsi="宋体" w:eastAsia="宋体"/>
          <w:b/>
          <w:bCs/>
          <w:szCs w:val="28"/>
        </w:rPr>
      </w:pPr>
      <w:r>
        <w:rPr>
          <w:rFonts w:hint="eastAsia" w:ascii="宋体" w:hAnsi="宋体" w:eastAsia="宋体"/>
          <w:b/>
          <w:bCs/>
          <w:szCs w:val="28"/>
        </w:rPr>
        <w:t>前附表B</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728"/>
        <w:gridCol w:w="5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pct"/>
            <w:vAlign w:val="center"/>
          </w:tcPr>
          <w:p>
            <w:pPr>
              <w:pStyle w:val="2"/>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1014" w:type="pct"/>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3481" w:type="pct"/>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04" w:type="pct"/>
            <w:vAlign w:val="center"/>
          </w:tcPr>
          <w:p>
            <w:pPr>
              <w:pStyle w:val="2"/>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014" w:type="pct"/>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第一个信封</w:t>
            </w:r>
          </w:p>
          <w:p>
            <w:pPr>
              <w:keepNext w:val="0"/>
              <w:keepLines w:val="0"/>
              <w:pageBreakBefore w:val="0"/>
              <w:widowControl/>
              <w:suppressLineNumbers w:val="0"/>
              <w:kinsoku/>
              <w:wordWrap/>
              <w:overflowPunct/>
              <w:topLinePunct w:val="0"/>
              <w:autoSpaceDE/>
              <w:autoSpaceDN/>
              <w:bidi w:val="0"/>
              <w:spacing w:line="240" w:lineRule="auto"/>
              <w:jc w:val="center"/>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评分分值构</w:t>
            </w:r>
          </w:p>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成</w:t>
            </w:r>
            <w:r>
              <w:rPr>
                <w:rFonts w:hint="eastAsia" w:ascii="宋体" w:hAnsi="宋体" w:eastAsia="宋体" w:cs="宋体"/>
                <w:color w:val="auto"/>
                <w:sz w:val="21"/>
                <w:szCs w:val="21"/>
                <w:highlight w:val="none"/>
              </w:rPr>
              <w:t>（总分100分）</w:t>
            </w:r>
          </w:p>
        </w:tc>
        <w:tc>
          <w:tcPr>
            <w:tcW w:w="3481" w:type="pct"/>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商务技术文件评分分值构成</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single"/>
                <w:lang w:val="en-US" w:eastAsia="zh-CN"/>
              </w:rPr>
              <w:t xml:space="preserve"> 100 </w:t>
            </w:r>
            <w:r>
              <w:rPr>
                <w:rFonts w:hint="eastAsia" w:ascii="宋体" w:hAnsi="宋体" w:eastAsia="宋体" w:cs="宋体"/>
                <w:b/>
                <w:bCs/>
                <w:color w:val="auto"/>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    绩：</w:t>
            </w:r>
            <w:r>
              <w:rPr>
                <w:rFonts w:hint="eastAsia" w:ascii="宋体" w:hAnsi="宋体" w:eastAsia="宋体" w:cs="宋体"/>
                <w:color w:val="auto"/>
                <w:sz w:val="21"/>
                <w:szCs w:val="21"/>
                <w:highlight w:val="none"/>
                <w:u w:val="single"/>
                <w:lang w:val="en-US" w:eastAsia="zh-CN"/>
              </w:rPr>
              <w:t xml:space="preserve"> 60 </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供货方案：</w:t>
            </w:r>
            <w:r>
              <w:rPr>
                <w:rFonts w:hint="eastAsia" w:ascii="宋体" w:hAnsi="宋体" w:eastAsia="宋体" w:cs="宋体"/>
                <w:color w:val="auto"/>
                <w:sz w:val="21"/>
                <w:szCs w:val="21"/>
                <w:highlight w:val="none"/>
                <w:u w:val="single"/>
                <w:lang w:val="en-US" w:eastAsia="zh-CN"/>
              </w:rPr>
              <w:t xml:space="preserve"> 40 </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04" w:type="pct"/>
            <w:vAlign w:val="center"/>
          </w:tcPr>
          <w:p>
            <w:pPr>
              <w:pStyle w:val="2"/>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014" w:type="pct"/>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通过第一个信封详细评审的投标人数量</w:t>
            </w:r>
          </w:p>
        </w:tc>
        <w:tc>
          <w:tcPr>
            <w:tcW w:w="3481" w:type="pct"/>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按照投标人的商务和技术得分由高到低排序，排序前</w:t>
            </w:r>
            <w:r>
              <w:rPr>
                <w:rFonts w:hint="default" w:ascii="宋体" w:hAnsi="宋体" w:eastAsia="宋体" w:cs="宋体"/>
                <w:color w:val="auto"/>
                <w:kern w:val="0"/>
                <w:sz w:val="21"/>
                <w:szCs w:val="21"/>
                <w:highlight w:val="none"/>
                <w:u w:val="single"/>
                <w:lang w:val="en-US" w:eastAsia="zh-CN" w:bidi="ar"/>
              </w:rPr>
              <w:t xml:space="preserve"> 3 </w:t>
            </w:r>
            <w:r>
              <w:rPr>
                <w:rFonts w:hint="eastAsia" w:ascii="宋体" w:hAnsi="宋体" w:eastAsia="宋体" w:cs="宋体"/>
                <w:color w:val="auto"/>
                <w:kern w:val="0"/>
                <w:sz w:val="21"/>
                <w:szCs w:val="21"/>
                <w:highlight w:val="none"/>
                <w:lang w:val="en-US" w:eastAsia="zh-CN" w:bidi="ar"/>
              </w:rPr>
              <w:t>家通过评审，进入第二个信封报价文件开启和评审。如出现第一个信封得分相同的情况，按照施工组织设计得分高低依次排列。</w:t>
            </w:r>
          </w:p>
        </w:tc>
      </w:tr>
    </w:tbl>
    <w:p>
      <w:pPr>
        <w:rPr>
          <w:rFonts w:hint="eastAsia" w:ascii="黑体" w:eastAsia="黑体"/>
          <w:color w:val="auto"/>
          <w:sz w:val="30"/>
          <w:szCs w:val="30"/>
          <w:highlight w:val="none"/>
          <w:lang w:val="en-US" w:eastAsia="zh-CN"/>
        </w:rPr>
      </w:pP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07"/>
        <w:gridCol w:w="935"/>
        <w:gridCol w:w="1372"/>
        <w:gridCol w:w="5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jc w:val="center"/>
        </w:trPr>
        <w:tc>
          <w:tcPr>
            <w:tcW w:w="985" w:type="pct"/>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条款号</w:t>
            </w:r>
          </w:p>
        </w:tc>
        <w:tc>
          <w:tcPr>
            <w:tcW w:w="823"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分值构成</w:t>
            </w:r>
          </w:p>
        </w:tc>
        <w:tc>
          <w:tcPr>
            <w:tcW w:w="3191"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2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3</w:t>
            </w:r>
          </w:p>
        </w:tc>
        <w:tc>
          <w:tcPr>
            <w:tcW w:w="560"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商务技术 文件</w:t>
            </w:r>
          </w:p>
        </w:tc>
        <w:tc>
          <w:tcPr>
            <w:tcW w:w="823"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企业业绩</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191"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满足资格审查条件业绩最低要求得</w:t>
            </w:r>
            <w:r>
              <w:rPr>
                <w:rFonts w:hint="eastAsia" w:ascii="宋体" w:hAnsi="宋体" w:eastAsia="宋体" w:cs="宋体"/>
                <w:color w:val="auto"/>
                <w:sz w:val="21"/>
                <w:szCs w:val="21"/>
                <w:highlight w:val="none"/>
                <w:u w:val="single"/>
                <w:lang w:val="en-US" w:eastAsia="zh-CN"/>
              </w:rPr>
              <w:t>36</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在此基础上，每多提供一个类似业绩加</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lang w:val="en-US" w:eastAsia="zh-CN"/>
              </w:rPr>
              <w:t>分，累计最多加</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备注：类似业绩指自2021年1月1日以来，单项合同额不低于50万元的瓷砖供应合同业绩，投标人若为代理商，可提供授权厂家的业绩合同，但必须提供生产厂家的授权委托书扫描件。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0" w:hRule="atLeast"/>
          <w:jc w:val="center"/>
        </w:trPr>
        <w:tc>
          <w:tcPr>
            <w:tcW w:w="42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1"/>
                <w:szCs w:val="21"/>
                <w:highlight w:val="none"/>
              </w:rPr>
            </w:pPr>
          </w:p>
        </w:tc>
        <w:tc>
          <w:tcPr>
            <w:tcW w:w="560"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1"/>
                <w:szCs w:val="21"/>
                <w:highlight w:val="none"/>
              </w:rPr>
            </w:pPr>
          </w:p>
        </w:tc>
        <w:tc>
          <w:tcPr>
            <w:tcW w:w="823"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40</w:t>
            </w:r>
            <w:r>
              <w:rPr>
                <w:rFonts w:hint="eastAsia" w:ascii="宋体" w:hAnsi="宋体" w:eastAsia="宋体" w:cs="宋体"/>
                <w:sz w:val="21"/>
                <w:szCs w:val="21"/>
                <w:highlight w:val="none"/>
              </w:rPr>
              <w:t>分）</w:t>
            </w:r>
          </w:p>
        </w:tc>
        <w:tc>
          <w:tcPr>
            <w:tcW w:w="3191"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1.针对本项目材料的生产、供货、安装进度计划（须拟进度计划表</w:t>
            </w:r>
            <w:r>
              <w:rPr>
                <w:rFonts w:hint="eastAsia" w:ascii="宋体" w:hAnsi="宋体" w:eastAsia="宋体" w:cs="宋体"/>
                <w:kern w:val="0"/>
                <w:sz w:val="21"/>
                <w:szCs w:val="21"/>
              </w:rPr>
              <w:t>）</w:t>
            </w:r>
            <w:r>
              <w:rPr>
                <w:rFonts w:hint="eastAsia" w:ascii="宋体" w:hAnsi="宋体" w:eastAsia="宋体" w:cs="宋体"/>
                <w:sz w:val="21"/>
                <w:szCs w:val="21"/>
                <w:highlight w:val="none"/>
                <w:lang w:val="en-US" w:eastAsia="zh-CN"/>
              </w:rPr>
              <w:t>具体、详细，可行性最优，针对性强得8-10分；一般得6-8分，较差得基础分6分。</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2.针对本项目的材料质量保证措施、运输、装卸及安装的安全保证措施，具体、详细，可行性最优，针对性强得8-10分；一般得6-8分，较差得基础分6分。</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3.针对本项目的材料使用的技术服务与培训方案具体、详细，可行性最优，针对性强得8-10分；一般得6-8分，较差得基础分6分。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4.针对本项目售后服务方案（包括备品备件、设备损坏维修及更换、应急处理、售后服务响应等内容）具体、详细，可行性最优，针对性强得8-10分；一般得6-8分，较差得基础分6分。</w:t>
            </w:r>
          </w:p>
        </w:tc>
      </w:tr>
    </w:tbl>
    <w:p>
      <w:pPr>
        <w:rPr>
          <w:rFonts w:hint="eastAsia" w:ascii="黑体" w:eastAsia="黑体"/>
          <w:sz w:val="30"/>
          <w:szCs w:val="30"/>
          <w:highlight w:val="none"/>
          <w:lang w:val="en-US" w:eastAsia="zh-CN"/>
        </w:rPr>
      </w:pPr>
    </w:p>
    <w:p>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pPr>
        <w:spacing w:line="440" w:lineRule="exact"/>
        <w:ind w:firstLine="420"/>
        <w:rPr>
          <w:rFonts w:hint="default" w:ascii="Times New Roman" w:hAnsi="Times New Roman" w:cs="Times New Roman"/>
          <w:lang w:val="en-US"/>
        </w:rPr>
      </w:pPr>
      <w:r>
        <w:rPr>
          <w:rFonts w:ascii="Times New Roman" w:hAnsi="Times New Roman" w:cs="Times New Roman"/>
        </w:rPr>
        <w:t>本次评审采用</w:t>
      </w:r>
      <w:r>
        <w:rPr>
          <w:rFonts w:hint="eastAsia" w:ascii="Times New Roman" w:hAnsi="Times New Roman" w:cs="Times New Roman"/>
          <w:lang w:val="en-US" w:eastAsia="zh-CN"/>
        </w:rPr>
        <w:t>技术评分最低价</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lang w:eastAsia="zh-CN"/>
        </w:rPr>
        <w:t>（</w:t>
      </w:r>
      <w:r>
        <w:rPr>
          <w:rFonts w:hint="eastAsia" w:ascii="Times New Roman" w:hAnsi="Times New Roman" w:cs="Times New Roman"/>
          <w:lang w:val="en-US" w:eastAsia="zh-CN"/>
        </w:rPr>
        <w:t>第一信封 商务及技术文件）</w:t>
      </w:r>
      <w:r>
        <w:rPr>
          <w:rFonts w:ascii="Times New Roman" w:hAnsi="Times New Roman" w:cs="Times New Roman"/>
        </w:rPr>
        <w:t>按照本章规定的评分标准进行打分，</w:t>
      </w: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家通过评审，进入第二个信封报价文件开启和评审。按报价文件价格由低到高推荐成交候选人。</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pPr>
        <w:spacing w:line="440" w:lineRule="exact"/>
        <w:ind w:firstLine="420"/>
        <w:rPr>
          <w:rFonts w:ascii="Times New Roman" w:hAnsi="Times New Roman" w:cs="Times New Roman"/>
        </w:rPr>
      </w:pPr>
      <w:r>
        <w:rPr>
          <w:rFonts w:ascii="Times New Roman" w:hAnsi="Times New Roman" w:cs="Times New Roman"/>
        </w:rPr>
        <w:t>2.2.1分值构成：</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2.2.2 评审基准价计算</w:t>
      </w:r>
    </w:p>
    <w:p>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pPr>
        <w:spacing w:line="440" w:lineRule="exact"/>
        <w:ind w:firstLine="420"/>
        <w:rPr>
          <w:rFonts w:ascii="Times New Roman" w:hAnsi="Times New Roman" w:cs="Times New Roman"/>
        </w:rPr>
      </w:pPr>
      <w:r>
        <w:rPr>
          <w:rFonts w:ascii="Times New Roman" w:hAnsi="Times New Roman" w:cs="Times New Roman"/>
        </w:rPr>
        <w:t>2.2.3 评审价的偏差率计算</w:t>
      </w:r>
    </w:p>
    <w:p>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pPr>
        <w:spacing w:line="440" w:lineRule="exact"/>
        <w:ind w:firstLine="420"/>
        <w:rPr>
          <w:rFonts w:ascii="Times New Roman" w:hAnsi="Times New Roman" w:cs="Times New Roman"/>
        </w:rPr>
      </w:pPr>
      <w:r>
        <w:rPr>
          <w:rFonts w:ascii="Times New Roman" w:hAnsi="Times New Roman" w:cs="Times New Roman"/>
        </w:rPr>
        <w:t>2.2.4评分标准：</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 xml:space="preserve">3.2.3 </w:t>
      </w:r>
      <w:r>
        <w:rPr>
          <w:rFonts w:hint="eastAsia" w:ascii="Times New Roman" w:hAnsi="Times New Roman" w:cs="Times New Roman"/>
          <w:highlight w:val="none"/>
        </w:rPr>
        <w:t>评审小组成员对</w:t>
      </w:r>
      <w:r>
        <w:rPr>
          <w:rFonts w:ascii="Times New Roman" w:hAnsi="Times New Roman" w:cs="Times New Roman"/>
          <w:highlight w:val="none"/>
        </w:rPr>
        <w:t>供应商</w:t>
      </w:r>
      <w:r>
        <w:rPr>
          <w:rFonts w:hint="eastAsia" w:ascii="Times New Roman" w:hAnsi="Times New Roman" w:cs="Times New Roman"/>
          <w:highlight w:val="none"/>
        </w:rPr>
        <w:t>综合评分，供应商最终得分为各评审小组成员评分的算数平均值</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pPr>
        <w:spacing w:line="440" w:lineRule="exact"/>
        <w:ind w:firstLine="420"/>
        <w:rPr>
          <w:rFonts w:ascii="Times New Roman" w:hAnsi="Times New Roman" w:cs="Times New Roman"/>
        </w:rPr>
      </w:pPr>
      <w:r>
        <w:rPr>
          <w:rFonts w:ascii="Times New Roman" w:hAnsi="Times New Roman" w:cs="Times New Roman"/>
        </w:rPr>
        <w:t>（一）采购项目基本情况</w:t>
      </w:r>
    </w:p>
    <w:p>
      <w:pPr>
        <w:spacing w:line="440" w:lineRule="exact"/>
        <w:ind w:firstLine="420"/>
        <w:rPr>
          <w:rFonts w:ascii="Times New Roman" w:hAnsi="Times New Roman" w:cs="Times New Roman"/>
        </w:rPr>
      </w:pPr>
      <w:r>
        <w:rPr>
          <w:rFonts w:ascii="Times New Roman" w:hAnsi="Times New Roman" w:cs="Times New Roman"/>
        </w:rPr>
        <w:t>（二）采购过程回顾</w:t>
      </w:r>
    </w:p>
    <w:p>
      <w:pPr>
        <w:spacing w:line="440" w:lineRule="exact"/>
        <w:ind w:firstLine="420"/>
        <w:rPr>
          <w:rFonts w:ascii="Times New Roman" w:hAnsi="Times New Roman" w:cs="Times New Roman"/>
        </w:rPr>
      </w:pPr>
      <w:r>
        <w:rPr>
          <w:rFonts w:ascii="Times New Roman" w:hAnsi="Times New Roman" w:cs="Times New Roman"/>
        </w:rPr>
        <w:t>（三）评审小组成员名单</w:t>
      </w:r>
    </w:p>
    <w:p>
      <w:pPr>
        <w:spacing w:line="440" w:lineRule="exact"/>
        <w:ind w:firstLine="420"/>
        <w:rPr>
          <w:rFonts w:ascii="Times New Roman" w:hAnsi="Times New Roman" w:cs="Times New Roman"/>
        </w:rPr>
      </w:pPr>
      <w:r>
        <w:rPr>
          <w:rFonts w:ascii="Times New Roman" w:hAnsi="Times New Roman" w:cs="Times New Roman"/>
        </w:rPr>
        <w:t>（四）询比评审工作</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评审办法</w:t>
      </w:r>
    </w:p>
    <w:p>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pPr>
        <w:spacing w:line="440" w:lineRule="exact"/>
        <w:ind w:firstLine="420"/>
        <w:rPr>
          <w:rFonts w:ascii="Times New Roman" w:hAnsi="Times New Roman" w:cs="Times New Roman"/>
        </w:rPr>
      </w:pPr>
      <w:r>
        <w:rPr>
          <w:rFonts w:hint="default" w:ascii="Times New Roman" w:hAnsi="Times New Roman" w:cs="Times New Roman"/>
        </w:rPr>
        <w:t>5、</w:t>
      </w:r>
      <w:r>
        <w:rPr>
          <w:rFonts w:ascii="Times New Roman" w:hAnsi="Times New Roman" w:cs="Times New Roman"/>
        </w:rPr>
        <w:t>推荐候选供应商排序</w:t>
      </w:r>
    </w:p>
    <w:p>
      <w:pPr>
        <w:spacing w:line="440" w:lineRule="exact"/>
        <w:ind w:firstLine="420"/>
        <w:rPr>
          <w:rFonts w:ascii="Times New Roman" w:hAnsi="Times New Roman" w:cs="Times New Roman"/>
        </w:rPr>
      </w:pPr>
      <w:r>
        <w:rPr>
          <w:rFonts w:ascii="Times New Roman" w:hAnsi="Times New Roman" w:cs="Times New Roman"/>
        </w:rPr>
        <w:t>（五）需要说明的其他事项</w:t>
      </w:r>
    </w:p>
    <w:p>
      <w:pPr>
        <w:spacing w:line="440" w:lineRule="exact"/>
        <w:ind w:firstLine="420"/>
        <w:rPr>
          <w:rFonts w:ascii="Times New Roman" w:hAnsi="Times New Roman" w:cs="Times New Roman"/>
        </w:rPr>
      </w:pPr>
      <w:r>
        <w:rPr>
          <w:rFonts w:ascii="Times New Roman" w:hAnsi="Times New Roman" w:cs="Times New Roman"/>
        </w:rPr>
        <w:t>（六）评审附表</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响应文件开启记录表</w:t>
      </w:r>
    </w:p>
    <w:p>
      <w:pPr>
        <w:spacing w:line="440" w:lineRule="exact"/>
        <w:ind w:firstLine="420"/>
        <w:rPr>
          <w:rFonts w:ascii="Times New Roman" w:hAnsi="Times New Roman" w:cs="Times New Roman"/>
        </w:rPr>
      </w:pPr>
      <w:r>
        <w:rPr>
          <w:rFonts w:hint="default" w:ascii="Times New Roman" w:hAnsi="Times New Roman" w:cs="Times New Roman"/>
        </w:rPr>
        <w:t>2、</w:t>
      </w:r>
      <w:r>
        <w:rPr>
          <w:rFonts w:ascii="Times New Roman" w:hAnsi="Times New Roman" w:cs="Times New Roman"/>
        </w:rPr>
        <w:t>评审表格</w:t>
      </w:r>
    </w:p>
    <w:p>
      <w:pPr>
        <w:spacing w:line="440" w:lineRule="exact"/>
        <w:ind w:firstLine="420"/>
        <w:rPr>
          <w:rFonts w:hint="default" w:ascii="Times New Roman" w:hAnsi="Times New Roman" w:cs="Times New Roman"/>
          <w:color w:val="auto"/>
          <w:highlight w:val="none"/>
          <w:lang w:val="en-US" w:eastAsia="zh-CN"/>
        </w:rPr>
      </w:pPr>
    </w:p>
    <w:p>
      <w:pPr>
        <w:pStyle w:val="2"/>
        <w:rPr>
          <w:rFonts w:hint="default"/>
        </w:rPr>
      </w:pPr>
    </w:p>
    <w:p>
      <w:pPr>
        <w:rPr>
          <w:rFonts w:hint="default"/>
        </w:rPr>
      </w:pPr>
    </w:p>
    <w:p>
      <w:pPr>
        <w:pStyle w:val="2"/>
        <w:rPr>
          <w:rFonts w:hint="default"/>
        </w:rPr>
      </w:pPr>
    </w:p>
    <w:p>
      <w:pPr>
        <w:pStyle w:val="2"/>
        <w:rPr>
          <w:rFonts w:ascii="Times New Roman" w:hAnsi="Times New Roman"/>
        </w:rPr>
      </w:pPr>
    </w:p>
    <w:p>
      <w:pPr>
        <w:widowControl/>
        <w:jc w:val="left"/>
        <w:rPr>
          <w:rFonts w:ascii="Times New Roman" w:hAnsi="Times New Roman" w:eastAsia="宋体" w:cs="Times New Roman"/>
        </w:rPr>
      </w:pPr>
    </w:p>
    <w:p>
      <w:pPr>
        <w:pStyle w:val="18"/>
        <w:rPr>
          <w:rFonts w:ascii="Times New Roman" w:hAnsi="Times New Roman" w:eastAsia="宋体" w:cs="Times New Roman"/>
        </w:rPr>
      </w:pPr>
    </w:p>
    <w:p>
      <w:pPr>
        <w:pStyle w:val="18"/>
        <w:rPr>
          <w:rFonts w:ascii="Times New Roman" w:hAnsi="Times New Roman" w:eastAsia="宋体" w:cs="Times New Roman"/>
        </w:rPr>
      </w:pPr>
    </w:p>
    <w:p>
      <w:pPr>
        <w:pStyle w:val="3"/>
        <w:numPr>
          <w:ilvl w:val="0"/>
          <w:numId w:val="0"/>
        </w:numPr>
        <w:spacing w:before="312" w:after="312"/>
        <w:ind w:leftChars="0"/>
        <w:jc w:val="center"/>
        <w:rPr>
          <w:rFonts w:ascii="Times New Roman" w:hAnsi="Times New Roman" w:eastAsia="宋体" w:cs="Times New Roman"/>
        </w:rPr>
      </w:pPr>
      <w:bookmarkStart w:id="60" w:name="_Toc25343"/>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60"/>
    </w:p>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1.交货方式：乙方负责运送至甲方指定地点。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lang w:val="en-US" w:eastAsia="zh-CN" w:bidi="ar-SA"/>
        </w:rPr>
        <w:t>2.交货地点：甲方指定地点，乙方负责运送至甲方指定现场，并按甲方指定地点卸货。</w:t>
      </w:r>
      <w:r>
        <w:rPr>
          <w:rFonts w:hint="eastAsia" w:ascii="仿宋_GB2312" w:hAnsi="仿宋_GB2312" w:eastAsia="仿宋_GB2312" w:cs="仿宋_GB2312"/>
          <w:color w:val="auto"/>
          <w:kern w:val="2"/>
          <w:sz w:val="28"/>
          <w:szCs w:val="28"/>
          <w:highlight w:val="none"/>
          <w:lang w:val="en-US" w:eastAsia="zh-CN" w:bidi="ar-SA"/>
        </w:rPr>
        <w:t>货物在验收合格并交付给甲方前的毁损、灭失，损失由乙方全额承担。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3.交货时间：乙方须在接到甲方通知后，按甲方通知时间完成供货。通知方式包括但不限于电话、短信、邮件、传真、微信，乙方确</w:t>
      </w:r>
    </w:p>
    <w:p>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认其有效联系人姓名</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乙方按约将货物送至</w:t>
      </w:r>
      <w:r>
        <w:rPr>
          <w:rFonts w:hint="eastAsia" w:ascii="仿宋_GB2312" w:hAnsi="仿宋_GB2312" w:eastAsia="仿宋_GB2312" w:cs="仿宋_GB2312"/>
          <w:color w:val="auto"/>
          <w:sz w:val="28"/>
          <w:szCs w:val="28"/>
          <w:lang w:val="en-US" w:eastAsia="zh-CN"/>
        </w:rPr>
        <w:t>现场</w:t>
      </w:r>
      <w:r>
        <w:rPr>
          <w:rFonts w:hint="eastAsia" w:ascii="仿宋_GB2312" w:hAnsi="仿宋_GB2312" w:eastAsia="仿宋_GB2312" w:cs="仿宋_GB2312"/>
          <w:color w:val="auto"/>
          <w:sz w:val="28"/>
          <w:szCs w:val="28"/>
          <w:lang w:eastAsia="zh-CN"/>
        </w:rPr>
        <w:t>后，需将货物卸至甲方指定地点，并经甲方签收确认。甲方指定</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（联系方式为：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在乙方将货物送至现场后，甲方有权在现场车上或货物堆放在指定地点后按物品的特性及行业惯例进行验收。如甲方认为乙方送货的数量与送货单记载数量不符的，则可以随时抽检。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lang w:val="en-US"/>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四</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1.本合同的缺陷责任期为交工验收通过</w:t>
      </w:r>
      <w:r>
        <w:rPr>
          <w:rFonts w:hint="eastAsia" w:ascii="仿宋_GB2312" w:hAnsi="仿宋_GB2312" w:eastAsia="仿宋_GB2312" w:cs="仿宋_GB2312"/>
          <w:color w:val="auto"/>
          <w:sz w:val="28"/>
          <w:szCs w:val="28"/>
          <w:highlight w:val="none"/>
          <w:lang w:val="en-US" w:eastAsia="zh-CN"/>
        </w:rPr>
        <w:t>后</w:t>
      </w:r>
      <w:r>
        <w:rPr>
          <w:rFonts w:hint="eastAsia" w:ascii="仿宋_GB2312" w:hAnsi="仿宋_GB2312" w:eastAsia="仿宋_GB2312" w:cs="仿宋_GB2312"/>
          <w:color w:val="auto"/>
          <w:sz w:val="28"/>
          <w:szCs w:val="28"/>
          <w:highlight w:val="none"/>
          <w:u w:val="single"/>
          <w:lang w:val="en-US" w:eastAsia="zh-CN"/>
        </w:rPr>
        <w:t xml:space="preserve"> 2 </w:t>
      </w:r>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2  </w:t>
      </w:r>
      <w:r>
        <w:rPr>
          <w:rFonts w:hint="eastAsia" w:ascii="仿宋_GB2312" w:hAnsi="仿宋_GB2312" w:eastAsia="仿宋_GB2312" w:cs="仿宋_GB2312"/>
          <w:color w:val="auto"/>
          <w:sz w:val="28"/>
          <w:szCs w:val="28"/>
          <w:highlight w:val="none"/>
          <w:lang w:val="en-US" w:eastAsia="zh-CN"/>
        </w:rPr>
        <w:t>年。质保期内乙方进行质量“三包”，质量三包不包括因不可抗力因</w:t>
      </w:r>
      <w:r>
        <w:rPr>
          <w:rFonts w:hint="eastAsia" w:ascii="仿宋_GB2312" w:hAnsi="仿宋_GB2312" w:eastAsia="仿宋_GB2312" w:cs="仿宋_GB2312"/>
          <w:color w:val="auto"/>
          <w:sz w:val="28"/>
          <w:szCs w:val="28"/>
          <w:lang w:val="en-US" w:eastAsia="zh-CN"/>
        </w:rPr>
        <w:t>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1.货到工地经甲方指定签收人验收合格并签收，当货物金额达到合同金额的50%后办理第一批货款支付，支付已供货物价款的70%。</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2.产品全部供货到现场经甲方指定验收人验收合格并办理完成结算手续后，甲方向丙方支付至结算价的97%。</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3.剩余3%作为质保金，在缺陷责任期结束后，无质量问题一次性无息支付。</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5.乙方提供符合采购人财务要求的国家税务局13%增值税专用发票后办理结算，发票需要做到“三流一致”，也即“货物、劳务及应税服务流”、“资金流”、“发票流”必须都是同一受票方。</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2.乙方必须服从甲方指定项目部的全面协调管理工作，乙方在装卸中，严格遵守执行安全操作规范、防火规定、工艺规范等规范规定以及质量标准。</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3.乙方要保证项目的供货进度，不得拖延，如因乙方造成工期拖延</w:t>
      </w:r>
      <w:r>
        <w:rPr>
          <w:rFonts w:hint="eastAsia" w:ascii="仿宋_GB2312" w:hAnsi="仿宋_GB2312" w:eastAsia="仿宋_GB2312" w:cs="仿宋_GB2312"/>
          <w:color w:val="auto"/>
          <w:sz w:val="28"/>
          <w:szCs w:val="28"/>
          <w:highlight w:val="none"/>
          <w:lang w:val="en-US" w:eastAsia="zh-CN"/>
        </w:rPr>
        <w:t>，乙方将承担给甲方造成的一切损失。乙方应保证甲方项目施工现场整洁，做好成品保护及甲方财产保护工作。乙方应确保货物到现场装卸过程中的安全，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4.乙方必须保证甲方在</w:t>
      </w:r>
      <w:r>
        <w:rPr>
          <w:rFonts w:hint="eastAsia" w:ascii="仿宋_GB2312" w:hAnsi="仿宋_GB2312" w:eastAsia="仿宋_GB2312" w:cs="仿宋_GB2312"/>
          <w:color w:val="auto"/>
          <w:sz w:val="28"/>
          <w:szCs w:val="28"/>
          <w:lang w:val="en-US" w:eastAsia="zh-CN"/>
        </w:rPr>
        <w:t>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pPr>
        <w:pStyle w:val="18"/>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pPr>
        <w:pStyle w:val="18"/>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pPr>
        <w:pStyle w:val="7"/>
        <w:bidi w:val="0"/>
        <w:rPr>
          <w:rFonts w:hint="eastAsia"/>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p>
    <w:p>
      <w:pPr>
        <w:pStyle w:val="18"/>
        <w:keepNext w:val="0"/>
        <w:keepLines w:val="0"/>
        <w:pageBreakBefore w:val="0"/>
        <w:kinsoku/>
        <w:wordWrap/>
        <w:overflowPunct/>
        <w:topLinePunct w:val="0"/>
        <w:autoSpaceDE/>
        <w:autoSpaceDN/>
        <w:bidi w:val="0"/>
        <w:adjustRightInd/>
        <w:snapToGrid/>
        <w:spacing w:line="560" w:lineRule="exact"/>
        <w:ind w:left="0" w:firstLine="880" w:firstLineChars="200"/>
        <w:jc w:val="center"/>
        <w:rPr>
          <w:rFonts w:hint="eastAsia" w:eastAsiaTheme="minorEastAsia"/>
          <w:color w:val="auto"/>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eastAsia"/>
          <w:lang w:val="en-US" w:eastAsia="zh-CN"/>
        </w:rPr>
      </w:pPr>
      <w:r>
        <w:rPr>
          <w:rFonts w:hint="eastAsia"/>
          <w:lang w:val="en-US" w:eastAsia="zh-CN"/>
        </w:rPr>
        <w:br w:type="page"/>
      </w:r>
    </w:p>
    <w:p>
      <w:pPr>
        <w:pStyle w:val="31"/>
        <w:rPr>
          <w:rFonts w:hint="eastAsia" w:ascii="Times New Roman" w:hAnsi="Times New Roman" w:eastAsia="宋体" w:cs="Times New Roman"/>
          <w:lang w:val="en-US" w:eastAsia="zh-CN"/>
        </w:rPr>
      </w:pPr>
    </w:p>
    <w:p>
      <w:pPr>
        <w:pStyle w:val="3"/>
        <w:numPr>
          <w:ilvl w:val="255"/>
          <w:numId w:val="0"/>
        </w:numPr>
        <w:spacing w:before="312" w:after="312"/>
        <w:ind w:left="402"/>
        <w:rPr>
          <w:rFonts w:ascii="Times New Roman" w:hAnsi="Times New Roman" w:eastAsia="宋体" w:cs="Times New Roman"/>
        </w:rPr>
      </w:pPr>
      <w:bookmarkStart w:id="61" w:name="_Toc24422"/>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61"/>
    </w:p>
    <w:p>
      <w:pPr>
        <w:pStyle w:val="31"/>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一、供货要求</w:t>
      </w:r>
    </w:p>
    <w:p>
      <w:pPr>
        <w:pStyle w:val="31"/>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详见附件。</w:t>
      </w:r>
    </w:p>
    <w:p>
      <w:pPr>
        <w:pStyle w:val="31"/>
        <w:jc w:val="center"/>
        <w:rPr>
          <w:rFonts w:hint="eastAsia" w:ascii="宋体" w:hAnsi="宋体" w:eastAsia="宋体" w:cs="宋体"/>
          <w:b/>
          <w:bCs/>
          <w:sz w:val="28"/>
          <w:szCs w:val="28"/>
          <w:lang w:val="en-US" w:eastAsia="zh-CN"/>
        </w:rPr>
      </w:pPr>
    </w:p>
    <w:p>
      <w:pPr>
        <w:pStyle w:val="31"/>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二、清单</w:t>
      </w:r>
    </w:p>
    <w:p>
      <w:pPr>
        <w:pStyle w:val="31"/>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详见附件。</w:t>
      </w:r>
    </w:p>
    <w:p>
      <w:pPr>
        <w:pStyle w:val="31"/>
        <w:rPr>
          <w:rFonts w:hint="eastAsia" w:ascii="宋体" w:hAnsi="宋体" w:eastAsia="宋体" w:cs="宋体"/>
          <w:b/>
          <w:bCs/>
          <w:sz w:val="28"/>
          <w:szCs w:val="28"/>
        </w:rPr>
      </w:pPr>
    </w:p>
    <w:p>
      <w:pPr>
        <w:rPr>
          <w:rFonts w:ascii="Times New Roman" w:hAnsi="Times New Roman" w:cs="Times New Roman"/>
        </w:rPr>
      </w:pPr>
    </w:p>
    <w:p>
      <w:pPr>
        <w:rPr>
          <w:rFonts w:ascii="Times New Roman" w:hAnsi="Times New Roman" w:eastAsia="宋体" w:cs="Times New Roman"/>
        </w:rPr>
      </w:pPr>
      <w:r>
        <w:rPr>
          <w:rFonts w:ascii="Times New Roman" w:hAnsi="Times New Roman" w:eastAsia="宋体" w:cs="Times New Roman"/>
        </w:rPr>
        <w:br w:type="page"/>
      </w:r>
    </w:p>
    <w:p>
      <w:pPr>
        <w:pStyle w:val="3"/>
        <w:numPr>
          <w:ilvl w:val="255"/>
          <w:numId w:val="0"/>
        </w:numPr>
        <w:spacing w:before="312" w:after="312"/>
        <w:ind w:left="402"/>
        <w:rPr>
          <w:rFonts w:hint="eastAsia" w:ascii="Times New Roman" w:hAnsi="Times New Roman" w:eastAsia="宋体" w:cs="Times New Roman"/>
        </w:rPr>
      </w:pPr>
      <w:bookmarkStart w:id="62" w:name="_Toc7773"/>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62"/>
    </w:p>
    <w:p>
      <w:pPr>
        <w:jc w:val="left"/>
        <w:rPr>
          <w:rFonts w:ascii="Times New Roman" w:hAnsi="Times New Roman" w:eastAsia="宋体" w:cs="Times New Roman"/>
        </w:rPr>
      </w:pPr>
      <w:r>
        <w:rPr>
          <w:rFonts w:ascii="Times New Roman" w:hAnsi="Times New Roman" w:eastAsia="宋体" w:cs="Times New Roman"/>
        </w:rPr>
        <w:br w:type="page"/>
      </w: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63" w:name="_Toc29687_WPSOffice_Level1"/>
      <w:bookmarkStart w:id="64" w:name="_Toc17394_WPSOffice_Level1"/>
      <w:bookmarkStart w:id="65" w:name="_Toc1914_WPSOffice_Level1"/>
      <w:bookmarkStart w:id="66" w:name="_Toc10484_WPSOffice_Level1"/>
      <w:bookmarkStart w:id="67" w:name="_Toc32044_WPSOffice_Level1"/>
      <w:r>
        <w:rPr>
          <w:rFonts w:ascii="Times New Roman" w:hAnsi="Times New Roman" w:eastAsia="黑体" w:cs="Times New Roman"/>
          <w:sz w:val="50"/>
          <w:szCs w:val="50"/>
        </w:rPr>
        <w:t>响  应  文  件</w:t>
      </w:r>
      <w:bookmarkEnd w:id="63"/>
      <w:bookmarkEnd w:id="64"/>
      <w:bookmarkEnd w:id="65"/>
      <w:bookmarkEnd w:id="66"/>
      <w:bookmarkEnd w:id="67"/>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68" w:name="_Toc5520_WPSOffice_Level2"/>
      <w:bookmarkStart w:id="69" w:name="_Toc25232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68"/>
      <w:bookmarkEnd w:id="69"/>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70" w:name="_Toc31577_WPSOffice_Level2"/>
      <w:bookmarkStart w:id="71"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70"/>
      <w:bookmarkEnd w:id="71"/>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72" w:name="_Toc22351_WPSOffice_Level2"/>
      <w:bookmarkStart w:id="73" w:name="_Toc21974_WPSOffice_Level2"/>
      <w:r>
        <w:rPr>
          <w:rFonts w:ascii="Times New Roman" w:hAnsi="Times New Roman" w:eastAsia="黑体" w:cs="Times New Roman"/>
          <w:sz w:val="28"/>
          <w:szCs w:val="28"/>
        </w:rPr>
        <w:t>目     录</w:t>
      </w:r>
      <w:bookmarkEnd w:id="72"/>
      <w:bookmarkEnd w:id="73"/>
    </w:p>
    <w:p>
      <w:pPr>
        <w:spacing w:line="440" w:lineRule="exact"/>
        <w:rPr>
          <w:rFonts w:ascii="Times New Roman" w:hAnsi="Times New Roman" w:eastAsia="黑体" w:cs="Times New Roman"/>
          <w:sz w:val="20"/>
          <w:szCs w:val="20"/>
        </w:rPr>
      </w:pPr>
    </w:p>
    <w:p>
      <w:pPr>
        <w:spacing w:line="440" w:lineRule="exact"/>
        <w:ind w:left="1619" w:leftChars="771"/>
        <w:rPr>
          <w:rFonts w:ascii="Times New Roman" w:hAnsi="Times New Roman" w:eastAsia="黑体" w:cs="Times New Roman"/>
          <w:sz w:val="24"/>
        </w:rPr>
      </w:pPr>
      <w:bookmarkStart w:id="74" w:name="_Toc30529_WPSOffice_Level1"/>
      <w:bookmarkStart w:id="75" w:name="_Toc5842_WPSOffice_Level1"/>
      <w:bookmarkStart w:id="76" w:name="_Toc11424_WPSOffice_Level1"/>
      <w:bookmarkStart w:id="77" w:name="_Toc6353_WPSOffice_Level1"/>
      <w:bookmarkStart w:id="78" w:name="_Toc23368_WPSOffice_Level1"/>
      <w:bookmarkStart w:id="79" w:name="_Toc12670_WPSOffice_Level1"/>
      <w:r>
        <w:rPr>
          <w:rFonts w:ascii="Times New Roman" w:hAnsi="Times New Roman" w:eastAsia="黑体" w:cs="Times New Roman"/>
          <w:sz w:val="24"/>
        </w:rPr>
        <w:t>一、</w:t>
      </w:r>
      <w:r>
        <w:rPr>
          <w:rFonts w:hint="eastAsia" w:ascii="Times New Roman" w:hAnsi="Times New Roman" w:eastAsia="黑体" w:cs="Times New Roman"/>
          <w:sz w:val="24"/>
          <w:lang w:val="en-US" w:eastAsia="zh-CN"/>
        </w:rPr>
        <w:t>响应</w:t>
      </w:r>
      <w:r>
        <w:rPr>
          <w:rFonts w:ascii="Times New Roman" w:hAnsi="Times New Roman" w:eastAsia="黑体" w:cs="Times New Roman"/>
          <w:sz w:val="24"/>
        </w:rPr>
        <w:t>函</w:t>
      </w:r>
      <w:bookmarkEnd w:id="74"/>
      <w:bookmarkEnd w:id="75"/>
      <w:bookmarkEnd w:id="76"/>
      <w:bookmarkEnd w:id="77"/>
      <w:bookmarkEnd w:id="78"/>
    </w:p>
    <w:p>
      <w:pPr>
        <w:spacing w:line="440" w:lineRule="exact"/>
        <w:ind w:left="1619" w:leftChars="771"/>
        <w:rPr>
          <w:rFonts w:ascii="Times New Roman" w:hAnsi="Times New Roman" w:eastAsia="黑体" w:cs="Times New Roman"/>
          <w:sz w:val="24"/>
        </w:rPr>
      </w:pPr>
      <w:bookmarkStart w:id="80" w:name="_Toc32729_WPSOffice_Level1"/>
      <w:bookmarkStart w:id="81" w:name="_Toc5317_WPSOffice_Level1"/>
      <w:bookmarkStart w:id="82" w:name="_Toc21229_WPSOffice_Level1"/>
      <w:bookmarkStart w:id="83" w:name="_Toc30428_WPSOffice_Level1"/>
      <w:bookmarkStart w:id="84" w:name="_Toc31927_WPSOffice_Level1"/>
      <w:r>
        <w:rPr>
          <w:rFonts w:ascii="Times New Roman" w:hAnsi="Times New Roman" w:eastAsia="黑体" w:cs="Times New Roman"/>
          <w:sz w:val="24"/>
        </w:rPr>
        <w:t>二、法定代表人身份证明及授权委托书</w:t>
      </w:r>
      <w:bookmarkEnd w:id="80"/>
      <w:bookmarkEnd w:id="81"/>
      <w:bookmarkEnd w:id="82"/>
      <w:bookmarkEnd w:id="83"/>
      <w:bookmarkEnd w:id="84"/>
    </w:p>
    <w:p>
      <w:pPr>
        <w:spacing w:line="440" w:lineRule="exact"/>
        <w:ind w:left="1619" w:leftChars="771"/>
        <w:rPr>
          <w:rFonts w:ascii="Times New Roman" w:hAnsi="Times New Roman" w:eastAsia="黑体" w:cs="Times New Roman"/>
          <w:sz w:val="24"/>
        </w:rPr>
      </w:pPr>
      <w:bookmarkStart w:id="85" w:name="_Toc23356_WPSOffice_Level1"/>
      <w:bookmarkStart w:id="86" w:name="_Toc4728_WPSOffice_Level1"/>
      <w:bookmarkStart w:id="87" w:name="_Toc29085_WPSOffice_Level1"/>
      <w:bookmarkStart w:id="88" w:name="_Toc21853_WPSOffice_Level1"/>
      <w:bookmarkStart w:id="89" w:name="_Toc25965_WPSOffice_Level1"/>
      <w:r>
        <w:rPr>
          <w:rFonts w:hint="eastAsia" w:ascii="Times New Roman" w:hAnsi="Times New Roman" w:eastAsia="黑体" w:cs="Times New Roman"/>
          <w:sz w:val="24"/>
        </w:rPr>
        <w:t>三</w:t>
      </w:r>
      <w:r>
        <w:rPr>
          <w:rFonts w:ascii="Times New Roman" w:hAnsi="Times New Roman" w:eastAsia="黑体" w:cs="Times New Roman"/>
          <w:sz w:val="24"/>
        </w:rPr>
        <w:t>、</w:t>
      </w:r>
      <w:r>
        <w:rPr>
          <w:rFonts w:hint="eastAsia" w:ascii="Times New Roman" w:hAnsi="Times New Roman" w:eastAsia="黑体" w:cs="Times New Roman"/>
          <w:sz w:val="24"/>
        </w:rPr>
        <w:t>供应商基本情况</w:t>
      </w:r>
    </w:p>
    <w:bookmarkEnd w:id="85"/>
    <w:bookmarkEnd w:id="86"/>
    <w:bookmarkEnd w:id="87"/>
    <w:bookmarkEnd w:id="88"/>
    <w:bookmarkEnd w:id="89"/>
    <w:p>
      <w:pPr>
        <w:spacing w:line="440" w:lineRule="exact"/>
        <w:ind w:left="1619" w:leftChars="771"/>
        <w:rPr>
          <w:rFonts w:hint="eastAsia" w:ascii="Times New Roman" w:hAnsi="Times New Roman" w:eastAsia="黑体" w:cs="Times New Roman"/>
          <w:sz w:val="24"/>
        </w:rPr>
      </w:pPr>
      <w:bookmarkStart w:id="90" w:name="_Toc7453_WPSOffice_Level1"/>
      <w:bookmarkStart w:id="91" w:name="_Toc10608_WPSOffice_Level1"/>
      <w:bookmarkStart w:id="92" w:name="_Toc23744_WPSOffice_Level1"/>
      <w:bookmarkStart w:id="93" w:name="_Toc29870_WPSOffice_Level1"/>
      <w:bookmarkStart w:id="94" w:name="_Toc1896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90"/>
      <w:bookmarkEnd w:id="91"/>
      <w:bookmarkEnd w:id="92"/>
      <w:bookmarkEnd w:id="93"/>
      <w:bookmarkEnd w:id="94"/>
      <w:bookmarkStart w:id="95" w:name="_Toc24262_WPSOffice_Level1"/>
      <w:bookmarkStart w:id="96" w:name="_Toc12459_WPSOffice_Level1"/>
      <w:r>
        <w:rPr>
          <w:rFonts w:hint="eastAsia" w:ascii="Times New Roman" w:hAnsi="Times New Roman" w:eastAsia="黑体" w:cs="Times New Roman"/>
          <w:sz w:val="24"/>
        </w:rPr>
        <w:t>近年类似业绩情况</w:t>
      </w:r>
    </w:p>
    <w:p>
      <w:pPr>
        <w:spacing w:line="440" w:lineRule="exact"/>
        <w:ind w:left="1619" w:leftChars="771"/>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五</w:t>
      </w:r>
      <w:r>
        <w:rPr>
          <w:rFonts w:ascii="Times New Roman" w:hAnsi="Times New Roman" w:eastAsia="黑体" w:cs="Times New Roman"/>
          <w:sz w:val="24"/>
        </w:rPr>
        <w:t>、</w:t>
      </w:r>
      <w:r>
        <w:rPr>
          <w:rFonts w:hint="eastAsia" w:ascii="Times New Roman" w:hAnsi="Times New Roman" w:eastAsia="黑体" w:cs="Times New Roman"/>
          <w:sz w:val="24"/>
        </w:rPr>
        <w:t>信誉情况</w:t>
      </w:r>
    </w:p>
    <w:p>
      <w:pPr>
        <w:spacing w:line="440" w:lineRule="exact"/>
        <w:ind w:left="1619" w:leftChars="771"/>
        <w:rPr>
          <w:rFonts w:hint="eastAsia" w:ascii="Times New Roman" w:hAnsi="Times New Roman" w:eastAsia="黑体" w:cs="Times New Roman"/>
          <w:sz w:val="24"/>
        </w:rPr>
      </w:pPr>
      <w:bookmarkStart w:id="97" w:name="_Toc20930_WPSOffice_Level1"/>
      <w:bookmarkStart w:id="98" w:name="_Toc927_WPSOffice_Level1"/>
      <w:bookmarkStart w:id="99" w:name="_Toc32220_WPSOffice_Level1"/>
      <w:r>
        <w:rPr>
          <w:rFonts w:hint="eastAsia" w:ascii="Times New Roman" w:hAnsi="Times New Roman" w:eastAsia="黑体" w:cs="Times New Roman"/>
          <w:sz w:val="24"/>
          <w:lang w:val="en-US" w:eastAsia="zh-CN"/>
        </w:rPr>
        <w:t>六</w:t>
      </w:r>
      <w:r>
        <w:rPr>
          <w:rFonts w:ascii="Times New Roman" w:hAnsi="Times New Roman" w:eastAsia="黑体" w:cs="Times New Roman"/>
          <w:sz w:val="24"/>
        </w:rPr>
        <w:t>、</w:t>
      </w:r>
      <w:bookmarkEnd w:id="95"/>
      <w:bookmarkEnd w:id="96"/>
      <w:bookmarkEnd w:id="97"/>
      <w:bookmarkEnd w:id="98"/>
      <w:bookmarkEnd w:id="99"/>
      <w:r>
        <w:rPr>
          <w:rFonts w:hint="eastAsia" w:ascii="Times New Roman" w:hAnsi="Times New Roman" w:eastAsia="黑体" w:cs="Times New Roman"/>
          <w:sz w:val="24"/>
          <w:lang w:val="en-US" w:eastAsia="zh-CN"/>
        </w:rPr>
        <w:t>供货方案</w:t>
      </w:r>
    </w:p>
    <w:p>
      <w:pPr>
        <w:spacing w:line="440" w:lineRule="exact"/>
        <w:ind w:left="1619" w:leftChars="771"/>
        <w:rPr>
          <w:rFonts w:hint="eastAsia" w:ascii="Times New Roman" w:hAnsi="Times New Roman" w:eastAsia="黑体" w:cs="Times New Roman"/>
          <w:sz w:val="24"/>
        </w:rPr>
      </w:pPr>
      <w:bookmarkStart w:id="100" w:name="_Toc5885_WPSOffice_Level1"/>
      <w:bookmarkStart w:id="101" w:name="_Toc25973_WPSOffice_Level1"/>
      <w:bookmarkStart w:id="102" w:name="_Toc16988_WPSOffice_Level1"/>
      <w:r>
        <w:rPr>
          <w:rFonts w:hint="eastAsia" w:ascii="Times New Roman" w:hAnsi="Times New Roman" w:eastAsia="黑体" w:cs="Times New Roman"/>
          <w:sz w:val="24"/>
          <w:lang w:val="en-US" w:eastAsia="zh-CN"/>
        </w:rPr>
        <w:t>七</w:t>
      </w:r>
      <w:r>
        <w:rPr>
          <w:rFonts w:hint="eastAsia" w:ascii="Times New Roman" w:hAnsi="Times New Roman" w:eastAsia="黑体" w:cs="Times New Roman"/>
          <w:sz w:val="24"/>
        </w:rPr>
        <w:t>、其他材料</w:t>
      </w:r>
      <w:bookmarkEnd w:id="79"/>
      <w:bookmarkEnd w:id="100"/>
      <w:bookmarkEnd w:id="101"/>
      <w:bookmarkEnd w:id="102"/>
    </w:p>
    <w:p>
      <w:pPr>
        <w:pStyle w:val="18"/>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103" w:name="_Toc3972_WPSOffice_Level1"/>
      <w:bookmarkStart w:id="104" w:name="_Toc18312_WPSOffice_Level1"/>
      <w:bookmarkStart w:id="105" w:name="_Toc1017_WPSOffice_Level1"/>
      <w:bookmarkStart w:id="106" w:name="_Toc2765_WPSOffice_Level1"/>
      <w:bookmarkStart w:id="107" w:name="_Toc1687_WPSOffice_Level1"/>
      <w:bookmarkStart w:id="108" w:name="_Toc1362_WPSOffice_Level1"/>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Times New Roman" w:hAnsi="Times New Roman" w:eastAsia="黑体" w:cs="Times New Roman"/>
          <w:sz w:val="28"/>
          <w:szCs w:val="28"/>
        </w:rPr>
        <w:t>响应函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Times New Roman" w:hAnsi="Times New Roman" w:cs="Times New Roman"/>
          <w:sz w:val="24"/>
        </w:rPr>
        <w:t>采购人名称</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default" w:ascii="Times New Roman" w:hAnsi="Times New Roman" w:eastAsia="宋体" w:cs="Times New Roman"/>
          <w:sz w:val="24"/>
          <w:szCs w:val="24"/>
        </w:rPr>
        <w:t>1．</w:t>
      </w: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lang w:eastAsia="zh-CN"/>
        </w:rPr>
        <w:t>采购文件</w:t>
      </w:r>
      <w:r>
        <w:rPr>
          <w:rFonts w:hint="eastAsia" w:ascii="宋体" w:hAnsi="宋体" w:eastAsia="宋体" w:cs="宋体"/>
          <w:sz w:val="24"/>
          <w:szCs w:val="24"/>
        </w:rPr>
        <w:t>的全部内容，愿意以报价文件中的投标总报价（或根据</w:t>
      </w:r>
      <w:r>
        <w:rPr>
          <w:rFonts w:hint="eastAsia" w:ascii="宋体" w:hAnsi="宋体" w:eastAsia="宋体" w:cs="宋体"/>
          <w:sz w:val="24"/>
          <w:szCs w:val="24"/>
          <w:lang w:eastAsia="zh-CN"/>
        </w:rPr>
        <w:t>采购文件</w:t>
      </w:r>
      <w:r>
        <w:rPr>
          <w:rFonts w:hint="eastAsia" w:ascii="宋体" w:hAnsi="宋体" w:eastAsia="宋体" w:cs="宋体"/>
          <w:sz w:val="24"/>
          <w:szCs w:val="24"/>
        </w:rPr>
        <w:t>规定修正核实后确定的另一金额）提供</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2．</w:t>
      </w:r>
      <w:r>
        <w:rPr>
          <w:rFonts w:hint="eastAsia" w:ascii="宋体" w:hAnsi="宋体" w:eastAsia="宋体" w:cs="宋体"/>
          <w:sz w:val="24"/>
          <w:szCs w:val="24"/>
        </w:rPr>
        <w:t>我方承诺响应</w:t>
      </w:r>
      <w:r>
        <w:rPr>
          <w:rFonts w:hint="eastAsia" w:ascii="宋体" w:hAnsi="宋体" w:eastAsia="宋体" w:cs="宋体"/>
          <w:sz w:val="24"/>
          <w:szCs w:val="24"/>
          <w:lang w:eastAsia="zh-CN"/>
        </w:rPr>
        <w:t>采购文件</w:t>
      </w:r>
      <w:r>
        <w:rPr>
          <w:rFonts w:hint="eastAsia" w:ascii="宋体" w:hAnsi="宋体" w:eastAsia="宋体" w:cs="宋体"/>
          <w:sz w:val="24"/>
          <w:szCs w:val="24"/>
        </w:rPr>
        <w:t>的全部要求。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我方承诺在</w:t>
      </w:r>
      <w:r>
        <w:rPr>
          <w:rFonts w:hint="eastAsia" w:ascii="宋体" w:hAnsi="宋体" w:eastAsia="宋体" w:cs="宋体"/>
          <w:sz w:val="24"/>
          <w:szCs w:val="24"/>
          <w:lang w:eastAsia="zh-CN"/>
        </w:rPr>
        <w:t>采购文件</w:t>
      </w:r>
      <w:r>
        <w:rPr>
          <w:rFonts w:hint="eastAsia" w:ascii="宋体" w:hAnsi="宋体" w:eastAsia="宋体" w:cs="宋体"/>
          <w:sz w:val="24"/>
          <w:szCs w:val="24"/>
        </w:rPr>
        <w:t>规定的投标有效期内不撤销投标文件。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4．</w:t>
      </w:r>
      <w:r>
        <w:rPr>
          <w:rFonts w:hint="eastAsia" w:ascii="宋体" w:hAnsi="宋体" w:eastAsia="宋体" w:cs="宋体"/>
          <w:sz w:val="24"/>
          <w:szCs w:val="24"/>
        </w:rPr>
        <w:t>如我方中标，我方承诺：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（3）按照</w:t>
      </w:r>
      <w:r>
        <w:rPr>
          <w:rFonts w:hint="eastAsia" w:ascii="宋体" w:hAnsi="宋体" w:eastAsia="宋体" w:cs="宋体"/>
          <w:sz w:val="24"/>
          <w:szCs w:val="24"/>
          <w:lang w:eastAsia="zh-CN"/>
        </w:rPr>
        <w:t>采购文件</w:t>
      </w:r>
      <w:r>
        <w:rPr>
          <w:rFonts w:hint="eastAsia" w:ascii="宋体" w:hAnsi="宋体" w:eastAsia="宋体" w:cs="宋体"/>
          <w:sz w:val="24"/>
          <w:szCs w:val="24"/>
        </w:rPr>
        <w:t>要求提交履约保证金。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（4）在合同约定的期限内完成合同规定的全部义务；</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使用材料达到国家环保等级要求，其中板材类达到国标E0级，底漆面漆为净味水性漆。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使用品牌满足采购清单要求。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深化图纸、清单，并经采购人确认。</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安排驻点现场负责人，未得到采购人同意后不得擅自离开。</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安装工艺、材质要求、油漆的效果与确定的样板间一致。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5．</w:t>
      </w:r>
      <w:r>
        <w:rPr>
          <w:rFonts w:hint="eastAsia" w:ascii="宋体" w:hAnsi="宋体" w:eastAsia="宋体" w:cs="宋体"/>
          <w:sz w:val="24"/>
          <w:szCs w:val="24"/>
        </w:rPr>
        <w:t>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6．</w:t>
      </w:r>
      <w:r>
        <w:rPr>
          <w:rFonts w:hint="eastAsia" w:ascii="宋体" w:hAnsi="宋体" w:eastAsia="宋体" w:cs="宋体"/>
          <w:sz w:val="24"/>
          <w:szCs w:val="24"/>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7．</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  址</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18"/>
      </w:pPr>
    </w:p>
    <w:p>
      <w:pPr>
        <w:spacing w:line="440" w:lineRule="exact"/>
        <w:jc w:val="center"/>
        <w:rPr>
          <w:rFonts w:ascii="Times New Roman" w:hAnsi="Times New Roman" w:eastAsia="黑体" w:cs="Times New Roman"/>
          <w:sz w:val="20"/>
          <w:szCs w:val="20"/>
        </w:rPr>
      </w:pPr>
    </w:p>
    <w:p/>
    <w:bookmarkEnd w:id="103"/>
    <w:bookmarkEnd w:id="104"/>
    <w:bookmarkEnd w:id="105"/>
    <w:bookmarkEnd w:id="106"/>
    <w:bookmarkEnd w:id="107"/>
    <w:bookmarkEnd w:id="108"/>
    <w:p>
      <w:pPr>
        <w:spacing w:line="440" w:lineRule="exact"/>
        <w:jc w:val="center"/>
        <w:rPr>
          <w:rFonts w:ascii="Times New Roman" w:hAnsi="Times New Roman" w:eastAsia="黑体" w:cs="Times New Roman"/>
          <w:sz w:val="28"/>
          <w:szCs w:val="28"/>
        </w:rPr>
      </w:pPr>
      <w:bookmarkStart w:id="109" w:name="_Toc14563_WPSOffice_Level1"/>
      <w:bookmarkStart w:id="110" w:name="_Toc32350_WPSOffice_Level1"/>
      <w:bookmarkStart w:id="111" w:name="_Toc4951_WPSOffice_Level1"/>
      <w:bookmarkStart w:id="112" w:name="_Toc1996_WPSOffice_Level1"/>
      <w:bookmarkStart w:id="113" w:name="_Toc21740_WPSOffice_Level1"/>
      <w:bookmarkStart w:id="114" w:name="_Toc18668_WPSOffice_Level1"/>
      <w:r>
        <w:rPr>
          <w:rFonts w:ascii="Times New Roman" w:hAnsi="Times New Roman" w:eastAsia="黑体" w:cs="Times New Roman"/>
          <w:sz w:val="28"/>
          <w:szCs w:val="28"/>
        </w:rPr>
        <w:t>二、法定代表人身份证明及授权委托书</w:t>
      </w:r>
      <w:bookmarkEnd w:id="109"/>
      <w:bookmarkEnd w:id="110"/>
      <w:bookmarkEnd w:id="111"/>
      <w:bookmarkEnd w:id="112"/>
      <w:bookmarkEnd w:id="113"/>
      <w:bookmarkEnd w:id="114"/>
    </w:p>
    <w:p>
      <w:pPr>
        <w:spacing w:line="440" w:lineRule="exact"/>
        <w:jc w:val="center"/>
        <w:rPr>
          <w:rFonts w:ascii="Times New Roman" w:hAnsi="Times New Roman" w:cs="Times New Roman"/>
          <w:sz w:val="28"/>
          <w:szCs w:val="28"/>
        </w:rPr>
      </w:pPr>
      <w:bookmarkStart w:id="115" w:name="_Toc20803_WPSOffice_Level2"/>
      <w:bookmarkStart w:id="116" w:name="_Toc5153_WPSOffice_Level2"/>
      <w:r>
        <w:rPr>
          <w:rFonts w:ascii="Times New Roman" w:hAnsi="Times New Roman" w:eastAsia="黑体" w:cs="Times New Roman"/>
          <w:bCs/>
          <w:sz w:val="28"/>
          <w:szCs w:val="28"/>
        </w:rPr>
        <w:t>2-1 法定代表人身份证明</w:t>
      </w:r>
      <w:bookmarkEnd w:id="115"/>
      <w:bookmarkEnd w:id="116"/>
    </w:p>
    <w:p>
      <w:pPr>
        <w:spacing w:line="440" w:lineRule="exact"/>
        <w:rPr>
          <w:rFonts w:ascii="Times New Roman" w:hAnsi="Times New Roman" w:cs="Times New Roman"/>
          <w:sz w:val="20"/>
          <w:szCs w:val="20"/>
        </w:rPr>
      </w:pP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日</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rPr>
        <w:t xml:space="preserve"> 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(供应商名称)的法定代表人。</w:t>
      </w:r>
    </w:p>
    <w:p>
      <w:pPr>
        <w:spacing w:line="440" w:lineRule="exact"/>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附：法定代表人身份证正反面复印件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宋体" w:hAnsi="宋体" w:eastAsia="宋体" w:cs="宋体"/>
          <w:sz w:val="24"/>
        </w:rPr>
      </w:pPr>
      <w:r>
        <w:rPr>
          <w:rFonts w:ascii="Times New Roman" w:hAnsi="Times New Roman" w:cs="Times New Roman"/>
          <w:sz w:val="24"/>
        </w:rPr>
        <w:t xml:space="preserve">                         </w:t>
      </w:r>
      <w:r>
        <w:rPr>
          <w:rFonts w:hint="eastAsia" w:ascii="宋体" w:hAnsi="宋体" w:eastAsia="宋体" w:cs="宋体"/>
          <w:sz w:val="24"/>
        </w:rPr>
        <w:t xml:space="preserve"> 供应商：</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440" w:lineRule="exact"/>
        <w:rPr>
          <w:rFonts w:ascii="Times New Roman" w:hAnsi="Times New Roman" w:cs="Times New Roman"/>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 日  </w:t>
      </w:r>
      <w:r>
        <w:rPr>
          <w:rFonts w:ascii="Times New Roman" w:hAnsi="Times New Roman" w:cs="Times New Roman"/>
          <w:sz w:val="24"/>
        </w:rPr>
        <w:t xml:space="preserve">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cs="Times New Roman" w:eastAsiaTheme="minorEastAsia"/>
          <w:sz w:val="28"/>
          <w:szCs w:val="28"/>
          <w:lang w:eastAsia="zh-CN"/>
        </w:rPr>
      </w:pPr>
      <w:r>
        <w:rPr>
          <w:rFonts w:ascii="Times New Roman" w:hAnsi="Times New Roman" w:eastAsia="黑体" w:cs="Times New Roman"/>
          <w:sz w:val="24"/>
        </w:rPr>
        <w:br w:type="page"/>
      </w:r>
      <w:bookmarkStart w:id="117" w:name="_Toc19768_WPSOffice_Level2"/>
      <w:bookmarkStart w:id="118"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17"/>
      <w:bookmarkEnd w:id="118"/>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附：法定代表人身份证明</w:t>
      </w:r>
      <w:r>
        <w:rPr>
          <w:rFonts w:hint="eastAsia" w:ascii="Times New Roman" w:hAnsi="Times New Roman" w:cs="Times New Roman"/>
          <w:b/>
          <w:bCs/>
          <w:sz w:val="24"/>
          <w:highlight w:val="none"/>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Theme="minorEastAsia" w:hAnsiTheme="minorEastAsia" w:eastAsiaTheme="minorEastAsia" w:cstheme="minorEastAsia"/>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Theme="minorEastAsia" w:hAnsiTheme="minorEastAsia" w:eastAsiaTheme="minorEastAsia" w:cstheme="minorEastAsia"/>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hint="eastAsia" w:ascii="宋体" w:hAnsi="宋体" w:eastAsia="宋体" w:cs="宋体"/>
          <w:sz w:val="24"/>
          <w:szCs w:val="24"/>
        </w:rPr>
        <w:t>（签字）</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3000" w:firstLineChars="1250"/>
        <w:rPr>
          <w:rFonts w:ascii="Times New Roman" w:hAnsi="Times New Roman" w:eastAsia="黑体" w:cs="Times New Roman"/>
          <w:sz w:val="24"/>
        </w:rPr>
        <w:sectPr>
          <w:footerReference r:id="rId12"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bookmarkStart w:id="119" w:name="_Toc27513_WPSOffice_Level1"/>
      <w:bookmarkStart w:id="120" w:name="_Toc28828_WPSOffice_Level1"/>
      <w:bookmarkStart w:id="121" w:name="_Toc24530_WPSOffice_Level1"/>
      <w:bookmarkStart w:id="122" w:name="_Toc26364_WPSOffice_Level1"/>
      <w:bookmarkStart w:id="123" w:name="_Toc32085_WPSOffice_Level1"/>
      <w:bookmarkStart w:id="124" w:name="_Toc24567_WPSOffice_Level1"/>
    </w:p>
    <w:bookmarkEnd w:id="119"/>
    <w:bookmarkEnd w:id="120"/>
    <w:bookmarkEnd w:id="121"/>
    <w:bookmarkEnd w:id="122"/>
    <w:bookmarkEnd w:id="123"/>
    <w:bookmarkEnd w:id="124"/>
    <w:p>
      <w:pPr>
        <w:topLinePunct/>
        <w:spacing w:line="440" w:lineRule="exact"/>
        <w:jc w:val="center"/>
        <w:rPr>
          <w:rFonts w:ascii="Times New Roman" w:hAnsi="Times New Roman" w:eastAsia="黑体" w:cs="Times New Roman"/>
          <w:sz w:val="28"/>
          <w:szCs w:val="28"/>
        </w:rPr>
      </w:pPr>
      <w:bookmarkStart w:id="125" w:name="_Toc7738_WPSOffice_Level1"/>
      <w:bookmarkStart w:id="126" w:name="_Toc31445_WPSOffice_Level1"/>
      <w:bookmarkStart w:id="127" w:name="_Toc10436_WPSOffice_Level1"/>
      <w:bookmarkStart w:id="128" w:name="_Toc10646_WPSOffice_Level1"/>
      <w:bookmarkStart w:id="129" w:name="_Toc17124_WPSOffice_Level1"/>
      <w:bookmarkStart w:id="130" w:name="_Toc19015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31" w:name="_Toc27600_WPSOffice_Level2"/>
      <w:bookmarkStart w:id="132" w:name="_Toc2807_WPSOffice_Level2"/>
      <w:r>
        <w:rPr>
          <w:rFonts w:ascii="Times New Roman" w:hAnsi="Times New Roman" w:eastAsia="黑体" w:cs="Times New Roman"/>
          <w:sz w:val="28"/>
          <w:szCs w:val="28"/>
        </w:rPr>
        <w:t>供应商基本情况</w:t>
      </w:r>
      <w:bookmarkEnd w:id="125"/>
      <w:bookmarkEnd w:id="126"/>
      <w:bookmarkEnd w:id="127"/>
      <w:bookmarkEnd w:id="128"/>
      <w:bookmarkEnd w:id="129"/>
      <w:bookmarkEnd w:id="130"/>
      <w:bookmarkEnd w:id="131"/>
      <w:bookmarkEnd w:id="132"/>
    </w:p>
    <w:p>
      <w:pPr>
        <w:topLinePunct/>
        <w:spacing w:line="440" w:lineRule="exact"/>
        <w:jc w:val="center"/>
        <w:rPr>
          <w:rFonts w:ascii="Times New Roman" w:hAnsi="Times New Roman" w:cs="Times New Roman"/>
          <w:sz w:val="23"/>
          <w:szCs w:val="23"/>
        </w:rPr>
      </w:pPr>
    </w:p>
    <w:tbl>
      <w:tblPr>
        <w:tblStyle w:val="19"/>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keepNext w:val="0"/>
        <w:keepLines w:val="0"/>
        <w:pageBreakBefore w:val="0"/>
        <w:widowControl/>
        <w:kinsoku/>
        <w:wordWrap/>
        <w:overflowPunct/>
        <w:topLinePunct w:val="0"/>
        <w:autoSpaceDE w:val="0"/>
        <w:autoSpaceDN w:val="0"/>
        <w:bidi w:val="0"/>
        <w:adjustRightInd/>
        <w:snapToGrid/>
        <w:spacing w:line="360" w:lineRule="atLeast"/>
        <w:ind w:firstLine="420" w:firstLineChars="200"/>
        <w:textAlignment w:val="bottom"/>
        <w:rPr>
          <w:rFonts w:ascii="Times New Roman" w:hAnsi="Times New Roman" w:eastAsia="黑体" w:cs="Times New Roman"/>
          <w:sz w:val="21"/>
          <w:szCs w:val="21"/>
        </w:rPr>
      </w:pPr>
      <w:r>
        <w:rPr>
          <w:rFonts w:ascii="Times New Roman" w:hAnsi="Times New Roman" w:eastAsia="黑体" w:cs="Times New Roman"/>
          <w:sz w:val="21"/>
          <w:szCs w:val="21"/>
        </w:rPr>
        <w:t>在本表后应附企业法人</w:t>
      </w:r>
      <w:r>
        <w:rPr>
          <w:rFonts w:ascii="Times New Roman" w:hAnsi="Times New Roman" w:eastAsia="黑体" w:cs="Times New Roman"/>
          <w:b/>
          <w:bCs/>
          <w:sz w:val="21"/>
          <w:szCs w:val="21"/>
        </w:rPr>
        <w:t>营业执照、</w:t>
      </w:r>
      <w:r>
        <w:rPr>
          <w:rFonts w:hint="eastAsia" w:ascii="Times New Roman" w:hAnsi="Times New Roman" w:eastAsia="黑体" w:cs="Times New Roman"/>
          <w:b/>
          <w:bCs/>
          <w:sz w:val="21"/>
          <w:szCs w:val="21"/>
          <w:lang w:val="en-US" w:eastAsia="zh-CN"/>
        </w:rPr>
        <w:t>制造商（生产厂家）</w:t>
      </w:r>
      <w:r>
        <w:rPr>
          <w:rFonts w:hint="eastAsia" w:ascii="Times New Roman" w:hAnsi="Times New Roman" w:eastAsia="黑体" w:cs="Times New Roman"/>
          <w:b/>
          <w:bCs/>
          <w:sz w:val="21"/>
          <w:szCs w:val="21"/>
          <w:highlight w:val="none"/>
          <w:lang w:val="en-US" w:eastAsia="zh-CN"/>
        </w:rPr>
        <w:t>证明材料</w:t>
      </w:r>
      <w:r>
        <w:rPr>
          <w:rFonts w:ascii="Times New Roman" w:hAnsi="Times New Roman" w:eastAsia="黑体" w:cs="Times New Roman"/>
          <w:sz w:val="21"/>
          <w:szCs w:val="21"/>
        </w:rPr>
        <w:t>及资格审查要求的其他证件复印件。</w:t>
      </w:r>
    </w:p>
    <w:p>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rPr>
      </w:pPr>
    </w:p>
    <w:p>
      <w:pPr>
        <w:spacing w:line="360" w:lineRule="auto"/>
        <w:ind w:firstLine="2520" w:firstLineChars="1200"/>
        <w:rPr>
          <w:rFonts w:hint="eastAsia" w:hAnsi="宋体" w:cs="宋体"/>
          <w:bCs/>
          <w:color w:val="auto"/>
        </w:rPr>
      </w:pPr>
      <w:r>
        <w:rPr>
          <w:rFonts w:ascii="Times New Roman" w:hAnsi="Times New Roman" w:eastAsia="黑体" w:cs="Times New Roman"/>
          <w:szCs w:val="21"/>
        </w:rPr>
        <w:br w:type="page"/>
      </w:r>
    </w:p>
    <w:p>
      <w:pPr>
        <w:bidi w:val="0"/>
        <w:jc w:val="center"/>
        <w:rPr>
          <w:rFonts w:hint="eastAsia" w:ascii="黑体" w:hAnsi="黑体" w:eastAsia="黑体" w:cs="黑体"/>
          <w:sz w:val="28"/>
          <w:szCs w:val="28"/>
        </w:rPr>
      </w:pPr>
      <w:bookmarkStart w:id="133" w:name="_Toc3772_WPSOffice_Level1"/>
      <w:bookmarkStart w:id="134" w:name="_Toc18547_WPSOffice_Level1"/>
      <w:bookmarkStart w:id="135" w:name="_Toc3912"/>
      <w:bookmarkStart w:id="136" w:name="_Toc19004_WPSOffice_Level1"/>
      <w:bookmarkStart w:id="137" w:name="_Toc5072_WPSOffice_Level1"/>
      <w:bookmarkStart w:id="138" w:name="_Toc1452_WPSOffice_Level1"/>
      <w:r>
        <w:rPr>
          <w:rFonts w:hint="eastAsia" w:ascii="黑体" w:hAnsi="黑体" w:eastAsia="黑体" w:cs="黑体"/>
          <w:sz w:val="28"/>
          <w:szCs w:val="28"/>
          <w:lang w:val="en-US" w:eastAsia="zh-CN"/>
        </w:rPr>
        <w:t>四</w:t>
      </w:r>
      <w:r>
        <w:rPr>
          <w:rFonts w:hint="eastAsia" w:ascii="黑体" w:hAnsi="黑体" w:eastAsia="黑体" w:cs="黑体"/>
          <w:sz w:val="28"/>
          <w:szCs w:val="28"/>
        </w:rPr>
        <w:t>、近年类似业绩情况</w:t>
      </w:r>
      <w:bookmarkEnd w:id="133"/>
      <w:bookmarkEnd w:id="134"/>
      <w:bookmarkEnd w:id="135"/>
      <w:bookmarkEnd w:id="136"/>
      <w:bookmarkEnd w:id="137"/>
      <w:bookmarkEnd w:id="138"/>
    </w:p>
    <w:tbl>
      <w:tblPr>
        <w:tblStyle w:val="1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业主代表姓名</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w:t>
            </w:r>
            <w:r>
              <w:rPr>
                <w:rFonts w:ascii="Times New Roman" w:hAnsi="Times New Roman" w:cs="Times New Roman"/>
                <w:szCs w:val="21"/>
              </w:rPr>
              <w:t>电话</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ascii="Times New Roman" w:hAnsi="Times New Roman" w:cs="Times New Roman"/>
                <w:szCs w:val="21"/>
              </w:rPr>
              <w:t>描述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 w:val="20"/>
          <w:szCs w:val="20"/>
        </w:rPr>
      </w:pPr>
      <w:r>
        <w:rPr>
          <w:rFonts w:ascii="Times New Roman" w:hAnsi="Times New Roman" w:eastAsia="黑体" w:cs="Times New Roman"/>
          <w:sz w:val="20"/>
          <w:szCs w:val="20"/>
        </w:rPr>
        <w:t>注：</w:t>
      </w:r>
    </w:p>
    <w:p>
      <w:pPr>
        <w:keepNext w:val="0"/>
        <w:keepLines w:val="0"/>
        <w:pageBreakBefore w:val="0"/>
        <w:widowControl/>
        <w:numPr>
          <w:ilvl w:val="0"/>
          <w:numId w:val="3"/>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rPr>
      </w:pPr>
      <w:r>
        <w:rPr>
          <w:rFonts w:hint="eastAsia" w:ascii="黑体" w:hAnsi="黑体" w:eastAsia="黑体" w:cs="黑体"/>
          <w:sz w:val="21"/>
          <w:szCs w:val="21"/>
        </w:rPr>
        <w:t>每张表格只填写一个项目，并标明序号。</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hint="default" w:ascii="黑体" w:hAnsi="黑体" w:eastAsia="黑体" w:cs="黑体"/>
          <w:sz w:val="21"/>
          <w:szCs w:val="21"/>
          <w:lang w:val="en-US" w:eastAsia="zh-CN"/>
        </w:rPr>
      </w:pPr>
      <w:r>
        <w:rPr>
          <w:rFonts w:hint="eastAsia" w:ascii="黑体" w:hAnsi="黑体" w:eastAsia="黑体" w:cs="黑体"/>
          <w:sz w:val="21"/>
          <w:szCs w:val="21"/>
        </w:rPr>
        <w:t>2、业绩证明材料要求：</w:t>
      </w:r>
      <w:r>
        <w:rPr>
          <w:rFonts w:hint="eastAsia" w:ascii="黑体" w:hAnsi="黑体" w:eastAsia="黑体" w:cs="黑体"/>
          <w:sz w:val="21"/>
          <w:szCs w:val="21"/>
          <w:u w:val="single"/>
          <w:lang w:val="en-US" w:eastAsia="zh-CN"/>
        </w:rPr>
        <w:t>详见业绩最低要求</w:t>
      </w:r>
      <w:r>
        <w:rPr>
          <w:rFonts w:hint="eastAsia" w:ascii="黑体" w:hAnsi="黑体" w:eastAsia="黑体" w:cs="黑体"/>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rPr>
      </w:pPr>
      <w:r>
        <w:rPr>
          <w:rFonts w:hint="eastAsia" w:ascii="黑体" w:hAnsi="黑体" w:eastAsia="黑体" w:cs="黑体"/>
          <w:sz w:val="21"/>
          <w:szCs w:val="21"/>
        </w:rPr>
        <w:t>3、如近年来，供应商法人机构发生合法变更或重组或法人名称变更时，应提供相关部门的合法批件或其他相关证明材料来证明其所附业绩的继承性。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rPr>
        <w:br w:type="page"/>
      </w:r>
    </w:p>
    <w:p>
      <w:pPr>
        <w:bidi w:val="0"/>
        <w:jc w:val="center"/>
        <w:rPr>
          <w:rFonts w:ascii="Times New Roman" w:hAnsi="Times New Roman" w:cs="Times New Roman"/>
          <w:bCs/>
          <w:sz w:val="23"/>
          <w:szCs w:val="23"/>
        </w:rPr>
      </w:pPr>
      <w:bookmarkStart w:id="139" w:name="_Toc12019_WPSOffice_Level1"/>
      <w:bookmarkStart w:id="140" w:name="_Toc3893_WPSOffice_Level1"/>
      <w:bookmarkStart w:id="141" w:name="_Toc5403_WPSOffice_Level1"/>
      <w:bookmarkStart w:id="142" w:name="_Toc5889_WPSOffice_Level1"/>
      <w:bookmarkStart w:id="143" w:name="_Toc26594_WPSOffice_Level1"/>
      <w:bookmarkStart w:id="144" w:name="_Toc10810_WPSOffice_Level1"/>
      <w:r>
        <w:rPr>
          <w:rFonts w:hint="eastAsia" w:ascii="黑体" w:hAnsi="黑体" w:eastAsia="黑体" w:cs="黑体"/>
          <w:sz w:val="28"/>
          <w:szCs w:val="28"/>
          <w:lang w:val="en-US" w:eastAsia="zh-CN"/>
        </w:rPr>
        <w:t>五</w:t>
      </w:r>
      <w:r>
        <w:rPr>
          <w:rFonts w:hint="eastAsia" w:ascii="黑体" w:hAnsi="黑体" w:eastAsia="黑体" w:cs="黑体"/>
          <w:sz w:val="28"/>
          <w:szCs w:val="28"/>
        </w:rPr>
        <w:t>、信誉情况</w:t>
      </w:r>
      <w:bookmarkEnd w:id="139"/>
      <w:bookmarkEnd w:id="140"/>
      <w:bookmarkEnd w:id="141"/>
      <w:bookmarkEnd w:id="142"/>
      <w:bookmarkEnd w:id="143"/>
      <w:bookmarkEnd w:id="144"/>
    </w:p>
    <w:p>
      <w:pPr>
        <w:topLinePunct/>
        <w:spacing w:line="440" w:lineRule="exact"/>
        <w:rPr>
          <w:rFonts w:ascii="Times New Roman" w:hAnsi="Times New Roman" w:cs="Times New Roman"/>
          <w:bCs/>
          <w:sz w:val="23"/>
          <w:szCs w:val="23"/>
        </w:rPr>
      </w:pPr>
    </w:p>
    <w:tbl>
      <w:tblPr>
        <w:tblStyle w:val="19"/>
        <w:tblW w:w="0" w:type="auto"/>
        <w:jc w:val="center"/>
        <w:tblLayout w:type="fixed"/>
        <w:tblCellMar>
          <w:top w:w="0" w:type="dxa"/>
          <w:left w:w="108" w:type="dxa"/>
          <w:bottom w:w="0" w:type="dxa"/>
          <w:right w:w="108" w:type="dxa"/>
        </w:tblCellMar>
      </w:tblPr>
      <w:tblGrid>
        <w:gridCol w:w="5104"/>
        <w:gridCol w:w="3968"/>
      </w:tblGrid>
      <w:tr>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pPr>
              <w:spacing w:line="400" w:lineRule="exact"/>
              <w:jc w:val="center"/>
              <w:rPr>
                <w:sz w:val="22"/>
                <w:szCs w:val="22"/>
                <w:highlight w:val="none"/>
              </w:rPr>
            </w:pPr>
            <w:r>
              <w:rPr>
                <w:rFonts w:hint="eastAsia"/>
                <w:sz w:val="22"/>
                <w:szCs w:val="22"/>
                <w:highlight w:val="none"/>
              </w:rPr>
              <w:t>投标人情况说明</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left"/>
              <w:rPr>
                <w:rFonts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spacing w:line="400" w:lineRule="exact"/>
              <w:rPr>
                <w:rFonts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在</w:t>
            </w:r>
            <w:r>
              <w:rPr>
                <w:rStyle w:val="27"/>
                <w:rFonts w:hint="eastAsia"/>
                <w:color w:val="auto"/>
                <w:sz w:val="22"/>
                <w:szCs w:val="22"/>
                <w:highlight w:val="none"/>
              </w:rPr>
              <w:t>“</w:t>
            </w:r>
            <w:r>
              <w:rPr>
                <w:rStyle w:val="27"/>
                <w:color w:val="auto"/>
                <w:sz w:val="22"/>
                <w:szCs w:val="22"/>
                <w:highlight w:val="none"/>
              </w:rPr>
              <w:t>信用中国</w:t>
            </w:r>
            <w:r>
              <w:rPr>
                <w:rStyle w:val="27"/>
                <w:rFonts w:hint="eastAsia"/>
                <w:color w:val="auto"/>
                <w:sz w:val="22"/>
                <w:szCs w:val="22"/>
                <w:highlight w:val="none"/>
              </w:rPr>
              <w:t>”</w:t>
            </w:r>
            <w:r>
              <w:rPr>
                <w:rStyle w:val="27"/>
                <w:color w:val="auto"/>
                <w:sz w:val="22"/>
                <w:szCs w:val="22"/>
                <w:highlight w:val="none"/>
              </w:rPr>
              <w:t>网站（http://w</w:t>
            </w:r>
            <w:r>
              <w:rPr>
                <w:sz w:val="22"/>
                <w:szCs w:val="22"/>
                <w:highlight w:val="none"/>
              </w:rPr>
              <w:fldChar w:fldCharType="end"/>
            </w:r>
            <w:r>
              <w:rPr>
                <w:sz w:val="22"/>
                <w:szCs w:val="22"/>
                <w:highlight w:val="none"/>
              </w:rPr>
              <w:t>w</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w.creditchina.gov.c</w:t>
            </w:r>
            <w:r>
              <w:rPr>
                <w:sz w:val="22"/>
                <w:szCs w:val="22"/>
                <w:highlight w:val="none"/>
              </w:rPr>
              <w:fldChar w:fldCharType="end"/>
            </w:r>
            <w:r>
              <w:rPr>
                <w:sz w:val="22"/>
                <w:szCs w:val="22"/>
                <w:highlight w:val="none"/>
              </w:rPr>
              <w:t>n</w:t>
            </w:r>
            <w:r>
              <w:rPr>
                <w:rFonts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sz w:val="22"/>
                <w:szCs w:val="22"/>
                <w:highlight w:val="none"/>
              </w:rPr>
            </w:pPr>
            <w:r>
              <w:rPr>
                <w:rFonts w:hint="eastAsia"/>
                <w:sz w:val="22"/>
                <w:szCs w:val="22"/>
                <w:highlight w:val="none"/>
              </w:rPr>
              <w:t>（6）</w:t>
            </w:r>
            <w:r>
              <w:rPr>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jc w:val="left"/>
              <w:rPr>
                <w:rFonts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p>
        </w:tc>
      </w:tr>
    </w:tbl>
    <w:p>
      <w:pPr>
        <w:autoSpaceDE w:val="0"/>
        <w:snapToGrid w:val="0"/>
        <w:ind w:right="109" w:rightChars="52" w:firstLine="420" w:firstLineChars="200"/>
        <w:rPr>
          <w:rFonts w:hint="eastAsia" w:ascii="宋体" w:hAnsi="宋体" w:cs="宋体"/>
          <w:sz w:val="22"/>
          <w:szCs w:val="18"/>
          <w:highlight w:val="none"/>
        </w:rPr>
      </w:pPr>
      <w:r>
        <w:rPr>
          <w:rFonts w:ascii="宋体" w:hAnsi="宋体"/>
          <w:szCs w:val="21"/>
          <w:highlight w:val="none"/>
        </w:rPr>
        <w:t>注：投标人应如实填报，若经查实投标人存在瞒报行为，将取消其投标或中标资格。</w:t>
      </w:r>
    </w:p>
    <w:p>
      <w:pPr>
        <w:pStyle w:val="2"/>
        <w:jc w:val="right"/>
        <w:rPr>
          <w:rFonts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2"/>
        <w:keepNext w:val="0"/>
        <w:keepLines w:val="0"/>
        <w:pageBreakBefore w:val="0"/>
        <w:widowControl w:val="0"/>
        <w:kinsoku/>
        <w:wordWrap/>
        <w:overflowPunct/>
        <w:topLinePunct w:val="0"/>
        <w:autoSpaceDE/>
        <w:autoSpaceDN/>
        <w:bidi w:val="0"/>
        <w:adjustRightInd/>
        <w:snapToGrid/>
        <w:spacing w:line="560" w:lineRule="exact"/>
        <w:jc w:val="right"/>
        <w:textAlignment w:val="auto"/>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2"/>
      </w:pPr>
    </w:p>
    <w:p>
      <w:pPr>
        <w:pStyle w:val="2"/>
        <w:spacing w:line="440" w:lineRule="exact"/>
        <w:rPr>
          <w:rFonts w:ascii="Times New Roman" w:hAnsi="Times New Roman" w:cs="Times New Roman"/>
          <w:sz w:val="24"/>
        </w:rPr>
      </w:pPr>
    </w:p>
    <w:p>
      <w:pPr>
        <w:spacing w:line="400" w:lineRule="atLeast"/>
        <w:jc w:val="center"/>
        <w:rPr>
          <w:rFonts w:ascii="Times New Roman" w:hAnsi="Times New Roman" w:eastAsia="黑体" w:cs="Times New Roman"/>
          <w:sz w:val="27"/>
          <w:szCs w:val="27"/>
        </w:rPr>
      </w:pPr>
    </w:p>
    <w:p>
      <w:pPr>
        <w:spacing w:line="400" w:lineRule="atLeast"/>
        <w:jc w:val="center"/>
        <w:rPr>
          <w:rFonts w:ascii="Times New Roman" w:hAnsi="Times New Roman" w:eastAsia="黑体" w:cs="Times New Roman"/>
          <w:sz w:val="27"/>
          <w:szCs w:val="27"/>
        </w:rPr>
      </w:pPr>
    </w:p>
    <w:p>
      <w:pPr>
        <w:pStyle w:val="2"/>
        <w:rPr>
          <w:rFonts w:ascii="Times New Roman" w:hAnsi="Times New Roman" w:eastAsia="黑体" w:cs="Times New Roman"/>
          <w:sz w:val="27"/>
          <w:szCs w:val="27"/>
        </w:rPr>
      </w:pPr>
    </w:p>
    <w:p>
      <w:pPr>
        <w:rPr>
          <w:rFonts w:ascii="Times New Roman" w:hAnsi="Times New Roman" w:eastAsia="黑体" w:cs="Times New Roman"/>
          <w:sz w:val="27"/>
          <w:szCs w:val="27"/>
        </w:rPr>
      </w:pPr>
    </w:p>
    <w:p>
      <w:pPr>
        <w:pStyle w:val="2"/>
      </w:pPr>
    </w:p>
    <w:p>
      <w:pPr>
        <w:spacing w:line="400" w:lineRule="atLeast"/>
        <w:jc w:val="center"/>
        <w:rPr>
          <w:rFonts w:ascii="Times New Roman" w:hAnsi="Times New Roman" w:eastAsia="黑体" w:cs="Times New Roman"/>
          <w:sz w:val="27"/>
          <w:szCs w:val="27"/>
        </w:rPr>
      </w:pPr>
    </w:p>
    <w:p>
      <w:pPr>
        <w:numPr>
          <w:ilvl w:val="0"/>
          <w:numId w:val="0"/>
        </w:numPr>
        <w:bidi w:val="0"/>
        <w:jc w:val="both"/>
        <w:rPr>
          <w:rFonts w:hint="eastAsia" w:ascii="黑体" w:hAnsi="黑体" w:eastAsia="黑体" w:cs="黑体"/>
          <w:sz w:val="28"/>
          <w:szCs w:val="28"/>
          <w:lang w:val="en-US" w:eastAsia="zh-CN"/>
        </w:rPr>
      </w:pPr>
      <w:bookmarkStart w:id="145" w:name="_Toc22303_WPSOffice_Level1"/>
      <w:bookmarkStart w:id="146" w:name="_Toc13165_WPSOffice_Level1"/>
      <w:bookmarkStart w:id="147" w:name="_Toc31963_WPSOffice_Level1"/>
      <w:bookmarkStart w:id="148" w:name="_Toc2428_WPSOffice_Level1"/>
      <w:bookmarkStart w:id="149" w:name="_Toc5957_WPSOffice_Level1"/>
      <w:bookmarkStart w:id="150" w:name="_Toc19034_WPSOffice_Level1"/>
    </w:p>
    <w:p>
      <w:pPr>
        <w:rPr>
          <w:rFonts w:hint="eastAsia"/>
          <w:lang w:val="en-US" w:eastAsia="zh-CN"/>
        </w:rPr>
      </w:pPr>
    </w:p>
    <w:p>
      <w:pPr>
        <w:numPr>
          <w:ilvl w:val="0"/>
          <w:numId w:val="0"/>
        </w:numPr>
        <w:bidi w:val="0"/>
        <w:jc w:val="center"/>
        <w:rPr>
          <w:rFonts w:hint="eastAsia" w:ascii="Times New Roman"/>
          <w:color w:val="auto"/>
          <w:szCs w:val="24"/>
          <w:lang w:eastAsia="zh-CN"/>
        </w:rPr>
      </w:pPr>
      <w:r>
        <w:rPr>
          <w:rFonts w:hint="eastAsia" w:ascii="黑体" w:hAnsi="黑体" w:eastAsia="黑体" w:cs="黑体"/>
          <w:sz w:val="28"/>
          <w:szCs w:val="28"/>
          <w:lang w:val="en-US" w:eastAsia="zh-CN"/>
        </w:rPr>
        <w:t>六、供货方案</w:t>
      </w:r>
    </w:p>
    <w:p>
      <w:pPr>
        <w:numPr>
          <w:ilvl w:val="0"/>
          <w:numId w:val="0"/>
        </w:numPr>
        <w:bidi w:val="0"/>
        <w:jc w:val="both"/>
        <w:rPr>
          <w:rFonts w:hint="eastAsia" w:ascii="Times New Roman"/>
          <w:color w:val="auto"/>
          <w:sz w:val="24"/>
          <w:szCs w:val="24"/>
          <w:lang w:eastAsia="zh-CN"/>
        </w:rPr>
      </w:pPr>
      <w:r>
        <w:rPr>
          <w:rFonts w:hint="eastAsia" w:ascii="Times New Roman"/>
          <w:color w:val="auto"/>
          <w:sz w:val="24"/>
          <w:szCs w:val="24"/>
          <w:lang w:val="en-US" w:eastAsia="zh-CN"/>
        </w:rPr>
        <w:t>供应商应按项目特点编制供货方案</w:t>
      </w:r>
      <w:r>
        <w:rPr>
          <w:rFonts w:hint="eastAsia" w:ascii="Times New Roman"/>
          <w:color w:val="auto"/>
          <w:sz w:val="24"/>
          <w:szCs w:val="24"/>
          <w:lang w:eastAsia="zh-CN"/>
        </w:rPr>
        <w:t>，</w:t>
      </w:r>
      <w:r>
        <w:rPr>
          <w:rFonts w:hint="eastAsia" w:ascii="Times New Roman"/>
          <w:color w:val="auto"/>
          <w:sz w:val="24"/>
          <w:szCs w:val="24"/>
          <w:lang w:val="en-US" w:eastAsia="zh-CN"/>
        </w:rPr>
        <w:t>文字宜精炼，内容具有可行性、针对性</w:t>
      </w:r>
      <w:r>
        <w:rPr>
          <w:rFonts w:hint="eastAsia" w:ascii="Times New Roman"/>
          <w:color w:val="auto"/>
          <w:sz w:val="24"/>
          <w:szCs w:val="24"/>
          <w:lang w:eastAsia="zh-CN"/>
        </w:rPr>
        <w:t>。</w:t>
      </w: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rPr>
      </w:pPr>
    </w:p>
    <w:p>
      <w:pPr>
        <w:pStyle w:val="18"/>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2"/>
        <w:rPr>
          <w:rFonts w:hint="eastAsia"/>
        </w:rPr>
      </w:pPr>
    </w:p>
    <w:p>
      <w:pPr>
        <w:pStyle w:val="31"/>
        <w:rPr>
          <w:rFonts w:hint="eastAsia"/>
        </w:rPr>
      </w:pPr>
    </w:p>
    <w:p>
      <w:pPr>
        <w:pStyle w:val="31"/>
        <w:rPr>
          <w:rFonts w:hint="eastAsia"/>
        </w:rPr>
      </w:pPr>
    </w:p>
    <w:p>
      <w:pPr>
        <w:pStyle w:val="31"/>
        <w:rPr>
          <w:rFonts w:hint="eastAsia"/>
        </w:rPr>
      </w:pPr>
    </w:p>
    <w:p>
      <w:pPr>
        <w:pStyle w:val="31"/>
        <w:rPr>
          <w:rFonts w:hint="eastAsia"/>
        </w:rPr>
      </w:pPr>
    </w:p>
    <w:p>
      <w:pPr>
        <w:pStyle w:val="31"/>
        <w:rPr>
          <w:rFonts w:hint="eastAsia"/>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、其</w:t>
      </w:r>
      <w:bookmarkEnd w:id="145"/>
      <w:r>
        <w:rPr>
          <w:rFonts w:hint="eastAsia" w:ascii="Times New Roman" w:hAnsi="Times New Roman" w:eastAsia="黑体" w:cs="Times New Roman"/>
          <w:sz w:val="28"/>
          <w:szCs w:val="28"/>
          <w:lang w:val="en-US" w:eastAsia="zh-CN"/>
        </w:rPr>
        <w:t>他</w:t>
      </w:r>
      <w:r>
        <w:rPr>
          <w:rFonts w:ascii="Times New Roman" w:hAnsi="Times New Roman" w:eastAsia="黑体" w:cs="Times New Roman"/>
          <w:sz w:val="28"/>
          <w:szCs w:val="28"/>
        </w:rPr>
        <w:t>材料</w:t>
      </w:r>
      <w:bookmarkEnd w:id="146"/>
      <w:bookmarkEnd w:id="147"/>
      <w:bookmarkEnd w:id="148"/>
      <w:bookmarkEnd w:id="149"/>
      <w:bookmarkEnd w:id="150"/>
    </w:p>
    <w:p>
      <w:pPr>
        <w:pStyle w:val="31"/>
        <w:rPr>
          <w:rFonts w:hint="default" w:ascii="Times New Roman" w:hAnsi="Times New Roman"/>
          <w:color w:val="auto"/>
          <w:szCs w:val="28"/>
        </w:rPr>
      </w:pPr>
    </w:p>
    <w:p>
      <w:pPr>
        <w:pStyle w:val="31"/>
        <w:numPr>
          <w:ilvl w:val="0"/>
          <w:numId w:val="0"/>
        </w:numPr>
        <w:rPr>
          <w:rFonts w:hint="eastAsia" w:ascii="宋体" w:hAnsi="宋体" w:eastAsia="宋体" w:cs="宋体"/>
          <w:color w:val="auto"/>
          <w:szCs w:val="28"/>
        </w:rPr>
      </w:pPr>
      <w:r>
        <w:rPr>
          <w:rFonts w:hint="eastAsia" w:ascii="宋体" w:hAnsi="宋体" w:eastAsia="宋体" w:cs="宋体"/>
          <w:color w:val="auto"/>
          <w:szCs w:val="28"/>
        </w:rPr>
        <w:t>响应保证金的银行凭证（电汇回单）复印件等。</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（报价文件）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r>
        <w:rPr>
          <w:rFonts w:ascii="Times New Roman" w:hAnsi="Times New Roman" w:eastAsia="黑体" w:cs="Times New Roman"/>
          <w:sz w:val="28"/>
          <w:szCs w:val="28"/>
        </w:rPr>
        <w:t>目     录</w:t>
      </w:r>
    </w:p>
    <w:p>
      <w:pPr>
        <w:spacing w:line="440" w:lineRule="exact"/>
        <w:rPr>
          <w:rFonts w:ascii="Times New Roman" w:hAnsi="Times New Roman" w:eastAsia="黑体" w:cs="Times New Roman"/>
          <w:sz w:val="20"/>
          <w:szCs w:val="20"/>
        </w:rPr>
      </w:pP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一、报价函</w:t>
      </w: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二、已标价</w:t>
      </w:r>
      <w:r>
        <w:rPr>
          <w:rFonts w:hint="eastAsia" w:ascii="Times New Roman" w:hAnsi="Times New Roman" w:eastAsia="黑体" w:cs="Times New Roman"/>
          <w:sz w:val="24"/>
          <w:szCs w:val="24"/>
        </w:rPr>
        <w:t>的工程量</w:t>
      </w:r>
      <w:r>
        <w:rPr>
          <w:rFonts w:ascii="Times New Roman" w:hAnsi="Times New Roman" w:eastAsia="黑体" w:cs="Times New Roman"/>
          <w:sz w:val="24"/>
          <w:szCs w:val="24"/>
        </w:rPr>
        <w:t>清单</w:t>
      </w: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
    <w:p>
      <w:pPr>
        <w:numPr>
          <w:ilvl w:val="0"/>
          <w:numId w:val="0"/>
        </w:numPr>
        <w:spacing w:line="440" w:lineRule="exact"/>
        <w:jc w:val="cente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报价函</w:t>
      </w:r>
    </w:p>
    <w:p>
      <w:pPr>
        <w:pStyle w:val="18"/>
      </w:pP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(项目名称)询比文件的全部内容(含补遗书第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号至第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2．我方承诺在响应有效期内不修改、撤销响应文件。</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3</w:t>
      </w:r>
      <w:r>
        <w:rPr>
          <w:rFonts w:ascii="Times New Roman" w:hAnsi="Times New Roman" w:cs="Times New Roman"/>
          <w:sz w:val="24"/>
        </w:rPr>
        <w:t>．我方在此声明，所递交的响应文件及有关资料内容完整、真实和准确。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4</w:t>
      </w:r>
      <w:r>
        <w:rPr>
          <w:rFonts w:ascii="Times New Roman" w:hAnsi="Times New Roman" w:cs="Times New Roman"/>
          <w:sz w:val="24"/>
        </w:rPr>
        <w:t>．</w:t>
      </w:r>
      <w:r>
        <w:rPr>
          <w:rFonts w:hint="eastAsia" w:ascii="Times New Roman" w:hAnsi="Times New Roman" w:cs="Times New Roman"/>
          <w:sz w:val="24"/>
        </w:rPr>
        <w:t>我方已按</w:t>
      </w:r>
      <w:r>
        <w:rPr>
          <w:rFonts w:hint="eastAsia" w:ascii="Times New Roman" w:hAnsi="Times New Roman" w:cs="Times New Roman"/>
          <w:sz w:val="24"/>
          <w:lang w:eastAsia="zh-CN"/>
        </w:rPr>
        <w:t>采购文件</w:t>
      </w:r>
      <w:r>
        <w:rPr>
          <w:rFonts w:hint="eastAsia" w:ascii="Times New Roman" w:hAnsi="Times New Roman" w:cs="Times New Roman"/>
          <w:sz w:val="24"/>
        </w:rPr>
        <w:t>要求详细审核并确认全部</w:t>
      </w:r>
      <w:r>
        <w:rPr>
          <w:rFonts w:hint="eastAsia" w:ascii="Times New Roman" w:hAnsi="Times New Roman" w:cs="Times New Roman"/>
          <w:sz w:val="24"/>
          <w:lang w:eastAsia="zh-CN"/>
        </w:rPr>
        <w:t>采购文件</w:t>
      </w:r>
      <w:r>
        <w:rPr>
          <w:rFonts w:hint="eastAsia" w:ascii="Times New Roman" w:hAnsi="Times New Roman" w:cs="Times New Roman"/>
          <w:sz w:val="24"/>
        </w:rPr>
        <w:t>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w:t>
      </w:r>
      <w:r>
        <w:rPr>
          <w:rFonts w:hint="eastAsia" w:ascii="Times New Roman" w:hAnsi="Times New Roman" w:cs="Times New Roman"/>
          <w:sz w:val="24"/>
        </w:rPr>
        <w:t>．除非另外达成协议并生效，你方的中标通知书和本投标文件以及</w:t>
      </w:r>
      <w:r>
        <w:rPr>
          <w:rFonts w:hint="eastAsia" w:ascii="Times New Roman" w:hAnsi="Times New Roman" w:cs="Times New Roman"/>
          <w:sz w:val="24"/>
          <w:lang w:eastAsia="zh-CN"/>
        </w:rPr>
        <w:t>采购文件</w:t>
      </w:r>
      <w:r>
        <w:rPr>
          <w:rFonts w:hint="eastAsia" w:ascii="Times New Roman" w:hAnsi="Times New Roman" w:cs="Times New Roman"/>
          <w:sz w:val="24"/>
        </w:rPr>
        <w:t>、</w:t>
      </w:r>
      <w:r>
        <w:rPr>
          <w:rFonts w:hint="eastAsia" w:ascii="Times New Roman" w:hAnsi="Times New Roman" w:cs="Times New Roman"/>
          <w:sz w:val="24"/>
          <w:lang w:eastAsia="zh-CN"/>
        </w:rPr>
        <w:t>采购文件</w:t>
      </w:r>
      <w:r>
        <w:rPr>
          <w:rFonts w:hint="eastAsia" w:ascii="Times New Roman" w:hAnsi="Times New Roman" w:cs="Times New Roman"/>
          <w:sz w:val="24"/>
        </w:rPr>
        <w:t>澄清、修改、补充文件将成为约束双方的合同文件的组成部分。</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6.其他补充说明：</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宋体" w:hAnsi="宋体" w:eastAsia="宋体" w:cs="宋体"/>
          <w:sz w:val="24"/>
        </w:rPr>
        <w:t>(盖单位章)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rPr>
          <w:rFonts w:ascii="Times New Roman" w:hAnsi="Times New Roman" w:cs="Times New Roman"/>
          <w:sz w:val="24"/>
        </w:rPr>
      </w:pPr>
      <w:r>
        <w:rPr>
          <w:rFonts w:ascii="Times New Roman" w:hAnsi="Times New Roman" w:cs="Times New Roman"/>
          <w:sz w:val="24"/>
        </w:rPr>
        <w:br w:type="page"/>
      </w:r>
    </w:p>
    <w:p>
      <w:pPr>
        <w:numPr>
          <w:ilvl w:val="0"/>
          <w:numId w:val="0"/>
        </w:numPr>
        <w:spacing w:line="440" w:lineRule="exact"/>
        <w:jc w:val="center"/>
        <w:rPr>
          <w:rFonts w:hint="eastAsia" w:ascii="Times New Roman" w:hAnsi="Times New Roman" w:eastAsia="黑体" w:cs="Times New Roman"/>
          <w:sz w:val="28"/>
          <w:szCs w:val="28"/>
          <w:lang w:val="en-US" w:eastAsia="zh-CN"/>
        </w:rPr>
      </w:pPr>
      <w:bookmarkStart w:id="151" w:name="_Toc153421230"/>
      <w:bookmarkStart w:id="152" w:name="_Toc272486050"/>
      <w:bookmarkStart w:id="153" w:name="_Toc162490440"/>
      <w:r>
        <w:rPr>
          <w:rFonts w:hint="eastAsia" w:ascii="Times New Roman" w:hAnsi="Times New Roman" w:eastAsia="黑体" w:cs="Times New Roman"/>
          <w:sz w:val="28"/>
          <w:szCs w:val="28"/>
          <w:lang w:val="en-US" w:eastAsia="zh-CN"/>
        </w:rPr>
        <w:t>二、</w:t>
      </w:r>
      <w:bookmarkEnd w:id="151"/>
      <w:bookmarkEnd w:id="152"/>
      <w:bookmarkEnd w:id="153"/>
      <w:r>
        <w:rPr>
          <w:rFonts w:hint="eastAsia" w:ascii="Times New Roman" w:hAnsi="Times New Roman" w:eastAsia="黑体" w:cs="Times New Roman"/>
          <w:sz w:val="28"/>
          <w:szCs w:val="28"/>
          <w:lang w:val="en-US" w:eastAsia="zh-CN"/>
        </w:rPr>
        <w:t>已标价的工程量清单</w:t>
      </w:r>
    </w:p>
    <w:p>
      <w:pPr>
        <w:spacing w:line="440" w:lineRule="exact"/>
        <w:rPr>
          <w:rFonts w:ascii="Times New Roman" w:hAnsi="Times New Roman" w:eastAsia="黑体" w:cs="Times New Roman"/>
          <w:color w:val="auto"/>
          <w:sz w:val="24"/>
          <w:highlight w:val="none"/>
        </w:rPr>
      </w:pPr>
    </w:p>
    <w:p>
      <w:pPr>
        <w:pStyle w:val="4"/>
        <w:numPr>
          <w:ilvl w:val="0"/>
          <w:numId w:val="0"/>
        </w:numPr>
        <w:jc w:val="center"/>
        <w:rPr>
          <w:rFonts w:hint="eastAsia" w:ascii="宋体" w:hAnsi="宋体" w:cs="宋体"/>
          <w:b/>
          <w:bCs w:val="0"/>
          <w:sz w:val="28"/>
          <w:szCs w:val="24"/>
          <w:highlight w:val="none"/>
        </w:rPr>
      </w:pPr>
      <w:r>
        <w:rPr>
          <w:rFonts w:hint="eastAsia" w:ascii="宋体" w:hAnsi="宋体" w:cs="宋体"/>
          <w:b/>
          <w:bCs w:val="0"/>
          <w:sz w:val="28"/>
          <w:szCs w:val="24"/>
          <w:highlight w:val="none"/>
        </w:rPr>
        <w:t>A. 说明</w:t>
      </w:r>
    </w:p>
    <w:p>
      <w:pPr>
        <w:spacing w:line="360" w:lineRule="auto"/>
        <w:ind w:firstLine="437"/>
        <w:rPr>
          <w:sz w:val="22"/>
          <w:szCs w:val="21"/>
          <w:highlight w:val="none"/>
        </w:rPr>
      </w:pPr>
      <w:r>
        <w:rPr>
          <w:sz w:val="22"/>
          <w:szCs w:val="21"/>
          <w:highlight w:val="none"/>
        </w:rPr>
        <w:t>1．本</w:t>
      </w:r>
      <w:r>
        <w:rPr>
          <w:rFonts w:hint="eastAsia"/>
          <w:sz w:val="22"/>
          <w:szCs w:val="21"/>
          <w:highlight w:val="none"/>
        </w:rPr>
        <w:t>报价</w:t>
      </w:r>
      <w:r>
        <w:rPr>
          <w:sz w:val="22"/>
          <w:szCs w:val="21"/>
          <w:highlight w:val="none"/>
        </w:rPr>
        <w:t>清单应与投标人须知、专用合同条款、技术规格等文件结合起来查阅与理解。</w:t>
      </w:r>
    </w:p>
    <w:p>
      <w:pPr>
        <w:spacing w:line="360" w:lineRule="auto"/>
        <w:ind w:firstLine="437"/>
        <w:rPr>
          <w:sz w:val="22"/>
          <w:szCs w:val="21"/>
          <w:highlight w:val="none"/>
        </w:rPr>
      </w:pPr>
      <w:r>
        <w:rPr>
          <w:sz w:val="22"/>
          <w:szCs w:val="21"/>
          <w:highlight w:val="none"/>
        </w:rPr>
        <w:t>2．除非合同另有规定，清单中综合单价和总价应包括了为实施和完成合同所需的设计费、制造费、材料费、利润、税费</w:t>
      </w:r>
      <w:r>
        <w:rPr>
          <w:rFonts w:hint="eastAsia"/>
          <w:sz w:val="22"/>
          <w:szCs w:val="21"/>
          <w:highlight w:val="none"/>
        </w:rPr>
        <w:t>（含增值税</w:t>
      </w:r>
      <w:r>
        <w:rPr>
          <w:rFonts w:hint="eastAsia"/>
          <w:sz w:val="22"/>
          <w:szCs w:val="21"/>
          <w:highlight w:val="none"/>
          <w:lang w:val="en-US" w:eastAsia="zh-CN"/>
        </w:rPr>
        <w:t>13%</w:t>
      </w:r>
      <w:r>
        <w:rPr>
          <w:rFonts w:hint="eastAsia"/>
          <w:sz w:val="22"/>
          <w:szCs w:val="21"/>
          <w:highlight w:val="none"/>
        </w:rPr>
        <w:t>）</w:t>
      </w:r>
      <w:r>
        <w:rPr>
          <w:sz w:val="22"/>
          <w:szCs w:val="21"/>
          <w:highlight w:val="none"/>
        </w:rPr>
        <w:t>、运输费、验收、取证、培训、技术服务、损耗费、检测费、商业保险费、验收费、安装调试费等达到使用条件及质保期维护维修的一切费用，以及合同约定的所有责任、义务和一般风险。</w:t>
      </w:r>
    </w:p>
    <w:p>
      <w:pPr>
        <w:spacing w:line="360" w:lineRule="auto"/>
        <w:ind w:firstLine="437"/>
        <w:rPr>
          <w:sz w:val="22"/>
          <w:szCs w:val="21"/>
          <w:highlight w:val="none"/>
        </w:rPr>
      </w:pPr>
      <w:r>
        <w:rPr>
          <w:sz w:val="22"/>
          <w:szCs w:val="21"/>
          <w:highlight w:val="none"/>
        </w:rPr>
        <w:t>3．</w:t>
      </w:r>
      <w:r>
        <w:rPr>
          <w:rFonts w:hint="eastAsia"/>
          <w:sz w:val="22"/>
          <w:szCs w:val="21"/>
          <w:highlight w:val="none"/>
        </w:rPr>
        <w:t>报价</w:t>
      </w:r>
      <w:r>
        <w:rPr>
          <w:sz w:val="22"/>
          <w:szCs w:val="21"/>
          <w:highlight w:val="none"/>
        </w:rPr>
        <w:t>清单中的各项费用货币单位均为人民币(元)。</w:t>
      </w:r>
    </w:p>
    <w:p>
      <w:pPr>
        <w:spacing w:line="360" w:lineRule="auto"/>
        <w:ind w:firstLine="437"/>
        <w:rPr>
          <w:rFonts w:hint="eastAsia"/>
          <w:sz w:val="22"/>
          <w:szCs w:val="21"/>
          <w:highlight w:val="none"/>
        </w:rPr>
      </w:pPr>
      <w:r>
        <w:rPr>
          <w:sz w:val="22"/>
          <w:szCs w:val="21"/>
          <w:highlight w:val="none"/>
        </w:rPr>
        <w:t>4．交货期以合同签订之日起算</w:t>
      </w:r>
      <w:r>
        <w:rPr>
          <w:rFonts w:hint="eastAsia"/>
          <w:sz w:val="22"/>
          <w:szCs w:val="21"/>
          <w:highlight w:val="none"/>
        </w:rPr>
        <w:t>。</w:t>
      </w:r>
    </w:p>
    <w:p>
      <w:pPr>
        <w:pStyle w:val="17"/>
        <w:jc w:val="right"/>
        <w:rPr>
          <w:rFonts w:hint="eastAsia"/>
          <w:lang w:val="en-US" w:eastAsia="zh-CN"/>
        </w:rPr>
      </w:pPr>
    </w:p>
    <w:p>
      <w:pPr>
        <w:pStyle w:val="17"/>
        <w:rPr>
          <w:rFonts w:hint="eastAsia"/>
          <w:lang w:val="en-US" w:eastAsia="zh-CN"/>
        </w:rPr>
      </w:pPr>
    </w:p>
    <w:p>
      <w:pPr>
        <w:rPr>
          <w:rFonts w:hint="eastAsia"/>
          <w:lang w:val="en-US" w:eastAsia="zh-CN"/>
        </w:rPr>
      </w:pPr>
      <w:r>
        <w:rPr>
          <w:rFonts w:hint="eastAsia"/>
          <w:lang w:val="en-US" w:eastAsia="zh-CN"/>
        </w:rPr>
        <w:br w:type="page"/>
      </w:r>
    </w:p>
    <w:p>
      <w:pPr>
        <w:pStyle w:val="4"/>
        <w:numPr>
          <w:ilvl w:val="0"/>
          <w:numId w:val="0"/>
        </w:numPr>
        <w:ind w:left="417" w:leftChars="0"/>
        <w:jc w:val="center"/>
        <w:rPr>
          <w:rFonts w:hint="eastAsia" w:ascii="宋体" w:hAnsi="宋体" w:eastAsia="宋体" w:cs="宋体"/>
          <w:b/>
          <w:bCs w:val="0"/>
          <w:kern w:val="2"/>
          <w:sz w:val="28"/>
          <w:szCs w:val="28"/>
          <w:highlight w:val="none"/>
          <w:lang w:eastAsia="zh-CN"/>
        </w:rPr>
      </w:pPr>
      <w:r>
        <w:rPr>
          <w:rFonts w:hint="eastAsia" w:ascii="宋体" w:hAnsi="宋体" w:cs="宋体"/>
          <w:b/>
          <w:bCs w:val="0"/>
          <w:sz w:val="28"/>
          <w:szCs w:val="24"/>
          <w:highlight w:val="none"/>
        </w:rPr>
        <w:t xml:space="preserve">B. </w:t>
      </w:r>
      <w:r>
        <w:rPr>
          <w:rFonts w:hint="eastAsia" w:ascii="宋体" w:hAnsi="宋体" w:eastAsia="宋体" w:cs="宋体"/>
          <w:b/>
          <w:bCs w:val="0"/>
          <w:kern w:val="2"/>
          <w:sz w:val="28"/>
          <w:szCs w:val="28"/>
          <w:highlight w:val="none"/>
          <w:lang w:eastAsia="zh-CN"/>
        </w:rPr>
        <w:t>已标价工程量清单</w:t>
      </w:r>
    </w:p>
    <w:p>
      <w:pPr>
        <w:spacing w:line="360" w:lineRule="auto"/>
        <w:ind w:firstLine="480" w:firstLineChars="200"/>
        <w:rPr>
          <w:rFonts w:hint="eastAsia"/>
          <w:highlight w:val="none"/>
        </w:rPr>
      </w:pPr>
      <w:r>
        <w:rPr>
          <w:rFonts w:hint="eastAsia" w:ascii="宋体" w:hAnsi="宋体" w:cs="宋体"/>
          <w:bCs/>
          <w:sz w:val="24"/>
          <w:szCs w:val="24"/>
          <w:highlight w:val="none"/>
        </w:rPr>
        <w:t>投标人按照</w:t>
      </w:r>
      <w:r>
        <w:rPr>
          <w:rFonts w:hint="eastAsia" w:ascii="宋体" w:hAnsi="宋体" w:cs="宋体"/>
          <w:bCs/>
          <w:sz w:val="24"/>
          <w:szCs w:val="24"/>
          <w:highlight w:val="none"/>
          <w:lang w:eastAsia="zh-CN"/>
        </w:rPr>
        <w:t>采购人</w:t>
      </w:r>
      <w:r>
        <w:rPr>
          <w:rFonts w:hint="eastAsia" w:ascii="宋体" w:hAnsi="宋体" w:cs="宋体"/>
          <w:bCs/>
          <w:sz w:val="24"/>
          <w:szCs w:val="24"/>
          <w:highlight w:val="none"/>
        </w:rPr>
        <w:t>提供的“</w:t>
      </w:r>
      <w:r>
        <w:rPr>
          <w:rFonts w:hint="eastAsia" w:ascii="宋体" w:hAnsi="宋体" w:cs="宋体"/>
          <w:bCs/>
          <w:sz w:val="24"/>
          <w:szCs w:val="24"/>
          <w:highlight w:val="none"/>
          <w:lang w:val="en-US" w:eastAsia="zh-CN"/>
        </w:rPr>
        <w:t>附件：</w:t>
      </w:r>
      <w:r>
        <w:rPr>
          <w:rFonts w:hint="eastAsia" w:ascii="宋体" w:hAnsi="宋体" w:cs="宋体"/>
          <w:bCs/>
          <w:sz w:val="24"/>
          <w:szCs w:val="24"/>
          <w:highlight w:val="none"/>
        </w:rPr>
        <w:t>工程量清单”的要求逐项填报工程量清单，包括但不限于工程量清单说明、投标报价说明及工程量清单各项表格。</w:t>
      </w:r>
    </w:p>
    <w:p>
      <w:pPr>
        <w:pStyle w:val="17"/>
        <w:rPr>
          <w:rFonts w:hint="eastAsia"/>
          <w:b/>
          <w:bCs/>
          <w:sz w:val="28"/>
          <w:szCs w:val="28"/>
          <w:lang w:val="en-US" w:eastAsia="zh-CN"/>
        </w:rPr>
      </w:pPr>
    </w:p>
    <w:p>
      <w:pPr>
        <w:pStyle w:val="17"/>
        <w:rPr>
          <w:rFonts w:hint="eastAsia"/>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48C851-A273-4CCD-A1E1-C9641A595C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BA20790-FC7A-4754-9BD8-E486806031CF}"/>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5420CB46-B622-477A-98C7-55A8CAFF5609}"/>
  </w:font>
  <w:font w:name="华文楷体">
    <w:panose1 w:val="02010600040101010101"/>
    <w:charset w:val="86"/>
    <w:family w:val="auto"/>
    <w:pitch w:val="default"/>
    <w:sig w:usb0="00000287" w:usb1="080F0000" w:usb2="00000000" w:usb3="00000000" w:csb0="0004009F" w:csb1="DFD70000"/>
    <w:embedRegular r:id="rId4" w:fontKey="{D122A274-911A-4C36-A67C-FBBAABAE7943}"/>
  </w:font>
  <w:font w:name="仿宋_GB2312">
    <w:panose1 w:val="02010609030101010101"/>
    <w:charset w:val="86"/>
    <w:family w:val="modern"/>
    <w:pitch w:val="default"/>
    <w:sig w:usb0="00000001" w:usb1="080E0000" w:usb2="00000000" w:usb3="00000000" w:csb0="00040000" w:csb1="00000000"/>
    <w:embedRegular r:id="rId5" w:fontKey="{27741B99-25B9-430D-A9B3-C33096D5A4D1}"/>
  </w:font>
  <w:font w:name="楷体">
    <w:panose1 w:val="02010609060101010101"/>
    <w:charset w:val="86"/>
    <w:family w:val="auto"/>
    <w:pitch w:val="default"/>
    <w:sig w:usb0="800002BF" w:usb1="38CF7CFA" w:usb2="00000016" w:usb3="00000000" w:csb0="00040001" w:csb1="00000000"/>
    <w:embedRegular r:id="rId6" w:fontKey="{F9524937-4DE7-464F-B3C9-EF442FE0ED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4"/>
      <w:suff w:val="nothing"/>
      <w:lvlText w:val="%1．"/>
      <w:lvlJc w:val="left"/>
      <w:pPr>
        <w:ind w:left="17" w:firstLine="400"/>
      </w:pPr>
      <w:rPr>
        <w:rFonts w:hint="default"/>
      </w:rPr>
    </w:lvl>
  </w:abstractNum>
  <w:abstractNum w:abstractNumId="2">
    <w:nsid w:val="61C7D68E"/>
    <w:multiLevelType w:val="singleLevel"/>
    <w:tmpl w:val="61C7D68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 w:name="KSO_WPS_MARK_KEY" w:val="c1018a2c-1e76-4c83-890d-e25759c739ad"/>
  </w:docVars>
  <w:rsids>
    <w:rsidRoot w:val="6F4D02A4"/>
    <w:rsid w:val="00127C7B"/>
    <w:rsid w:val="0022317B"/>
    <w:rsid w:val="00302DB5"/>
    <w:rsid w:val="00302F3A"/>
    <w:rsid w:val="005607D6"/>
    <w:rsid w:val="00653222"/>
    <w:rsid w:val="00691F7C"/>
    <w:rsid w:val="00724BD4"/>
    <w:rsid w:val="007C6E94"/>
    <w:rsid w:val="00950240"/>
    <w:rsid w:val="00A15DCF"/>
    <w:rsid w:val="00D704DB"/>
    <w:rsid w:val="00E8570D"/>
    <w:rsid w:val="010A3C11"/>
    <w:rsid w:val="017D7CB0"/>
    <w:rsid w:val="0211370D"/>
    <w:rsid w:val="022655F4"/>
    <w:rsid w:val="023E3C6A"/>
    <w:rsid w:val="028D5673"/>
    <w:rsid w:val="02C26D91"/>
    <w:rsid w:val="02D346A3"/>
    <w:rsid w:val="02F05C02"/>
    <w:rsid w:val="0371289F"/>
    <w:rsid w:val="038863C7"/>
    <w:rsid w:val="03A9557F"/>
    <w:rsid w:val="03F914B2"/>
    <w:rsid w:val="042516B9"/>
    <w:rsid w:val="042F2C67"/>
    <w:rsid w:val="045E338A"/>
    <w:rsid w:val="047010F6"/>
    <w:rsid w:val="04701D1E"/>
    <w:rsid w:val="04E034BC"/>
    <w:rsid w:val="054416D2"/>
    <w:rsid w:val="05D2339D"/>
    <w:rsid w:val="05F94BA8"/>
    <w:rsid w:val="060774EA"/>
    <w:rsid w:val="06341F34"/>
    <w:rsid w:val="068727A0"/>
    <w:rsid w:val="07063EDC"/>
    <w:rsid w:val="073835B2"/>
    <w:rsid w:val="076958CF"/>
    <w:rsid w:val="07A31864"/>
    <w:rsid w:val="07AF3996"/>
    <w:rsid w:val="080B2B96"/>
    <w:rsid w:val="081D6FC0"/>
    <w:rsid w:val="08907C6B"/>
    <w:rsid w:val="08E91129"/>
    <w:rsid w:val="09187C60"/>
    <w:rsid w:val="091A677A"/>
    <w:rsid w:val="09210464"/>
    <w:rsid w:val="0A2E7496"/>
    <w:rsid w:val="0A466107"/>
    <w:rsid w:val="0A64315D"/>
    <w:rsid w:val="0A941F2B"/>
    <w:rsid w:val="0AAD73BC"/>
    <w:rsid w:val="0AED0915"/>
    <w:rsid w:val="0AF3003D"/>
    <w:rsid w:val="0B286939"/>
    <w:rsid w:val="0BA10DDD"/>
    <w:rsid w:val="0BB2614A"/>
    <w:rsid w:val="0BDD422F"/>
    <w:rsid w:val="0C126BE9"/>
    <w:rsid w:val="0C425774"/>
    <w:rsid w:val="0CB62B1E"/>
    <w:rsid w:val="0D604989"/>
    <w:rsid w:val="0DBD0BDC"/>
    <w:rsid w:val="0DC42165"/>
    <w:rsid w:val="0DE02F17"/>
    <w:rsid w:val="0E436CA2"/>
    <w:rsid w:val="0EA07AC2"/>
    <w:rsid w:val="0EBA46A3"/>
    <w:rsid w:val="0EBB2DAD"/>
    <w:rsid w:val="0F531ACB"/>
    <w:rsid w:val="0F6F4854"/>
    <w:rsid w:val="0F9D4A1B"/>
    <w:rsid w:val="0F9F0794"/>
    <w:rsid w:val="0FB568C1"/>
    <w:rsid w:val="0FBE1FCA"/>
    <w:rsid w:val="0FD41FBD"/>
    <w:rsid w:val="0FD4370B"/>
    <w:rsid w:val="103E486A"/>
    <w:rsid w:val="106D5B52"/>
    <w:rsid w:val="1090350E"/>
    <w:rsid w:val="10944070"/>
    <w:rsid w:val="10A6372F"/>
    <w:rsid w:val="10DA535D"/>
    <w:rsid w:val="10F863AD"/>
    <w:rsid w:val="110D2AFF"/>
    <w:rsid w:val="11681ED6"/>
    <w:rsid w:val="119C482A"/>
    <w:rsid w:val="11DF30C9"/>
    <w:rsid w:val="11F528ED"/>
    <w:rsid w:val="129325F3"/>
    <w:rsid w:val="12983425"/>
    <w:rsid w:val="12FA3B2F"/>
    <w:rsid w:val="13431F92"/>
    <w:rsid w:val="13955E86"/>
    <w:rsid w:val="13C13BEB"/>
    <w:rsid w:val="13D604FC"/>
    <w:rsid w:val="13E11194"/>
    <w:rsid w:val="13EC1865"/>
    <w:rsid w:val="144A391D"/>
    <w:rsid w:val="14B7657F"/>
    <w:rsid w:val="14CE63E8"/>
    <w:rsid w:val="150E5893"/>
    <w:rsid w:val="15133F2C"/>
    <w:rsid w:val="15C3657D"/>
    <w:rsid w:val="16201F02"/>
    <w:rsid w:val="163D1F3A"/>
    <w:rsid w:val="16414AC9"/>
    <w:rsid w:val="167C0AF5"/>
    <w:rsid w:val="167C76AF"/>
    <w:rsid w:val="16A14FAE"/>
    <w:rsid w:val="17024379"/>
    <w:rsid w:val="17755202"/>
    <w:rsid w:val="1776370C"/>
    <w:rsid w:val="17CF3BE0"/>
    <w:rsid w:val="186C7681"/>
    <w:rsid w:val="18786026"/>
    <w:rsid w:val="188C4113"/>
    <w:rsid w:val="189E5E26"/>
    <w:rsid w:val="18D04606"/>
    <w:rsid w:val="18D70F9E"/>
    <w:rsid w:val="190D676E"/>
    <w:rsid w:val="191A46EE"/>
    <w:rsid w:val="19600F94"/>
    <w:rsid w:val="19647370"/>
    <w:rsid w:val="19DE1C05"/>
    <w:rsid w:val="1A185E2C"/>
    <w:rsid w:val="1A3C6E09"/>
    <w:rsid w:val="1A657CD8"/>
    <w:rsid w:val="1A741F99"/>
    <w:rsid w:val="1AA97D25"/>
    <w:rsid w:val="1B1F49AA"/>
    <w:rsid w:val="1B87260E"/>
    <w:rsid w:val="1B9916E8"/>
    <w:rsid w:val="1BF956CF"/>
    <w:rsid w:val="1BFD0D5D"/>
    <w:rsid w:val="1C0C5403"/>
    <w:rsid w:val="1C511068"/>
    <w:rsid w:val="1C7D1E5D"/>
    <w:rsid w:val="1CB03FE0"/>
    <w:rsid w:val="1CB304A3"/>
    <w:rsid w:val="1CD07137"/>
    <w:rsid w:val="1CF12CD2"/>
    <w:rsid w:val="1D3772E3"/>
    <w:rsid w:val="1D3F5364"/>
    <w:rsid w:val="1D9C6C71"/>
    <w:rsid w:val="1DC0096E"/>
    <w:rsid w:val="1DD02C25"/>
    <w:rsid w:val="1DFB32CC"/>
    <w:rsid w:val="1E085F02"/>
    <w:rsid w:val="1E764DB5"/>
    <w:rsid w:val="1E7E7378"/>
    <w:rsid w:val="1F8615BF"/>
    <w:rsid w:val="1F93095F"/>
    <w:rsid w:val="1FB449F5"/>
    <w:rsid w:val="1FC01B05"/>
    <w:rsid w:val="1FE64151"/>
    <w:rsid w:val="1FEA7927"/>
    <w:rsid w:val="20220D88"/>
    <w:rsid w:val="202D724A"/>
    <w:rsid w:val="20432E03"/>
    <w:rsid w:val="20703AC9"/>
    <w:rsid w:val="20CE5700"/>
    <w:rsid w:val="20CE712B"/>
    <w:rsid w:val="20E701EC"/>
    <w:rsid w:val="21366A7E"/>
    <w:rsid w:val="21EC1864"/>
    <w:rsid w:val="2211172D"/>
    <w:rsid w:val="222F5C4D"/>
    <w:rsid w:val="22456F98"/>
    <w:rsid w:val="22853AE2"/>
    <w:rsid w:val="22A243CB"/>
    <w:rsid w:val="23610B8C"/>
    <w:rsid w:val="241155A9"/>
    <w:rsid w:val="241D716E"/>
    <w:rsid w:val="24BB5C18"/>
    <w:rsid w:val="253902A6"/>
    <w:rsid w:val="253F05F7"/>
    <w:rsid w:val="254A0D4A"/>
    <w:rsid w:val="254B358D"/>
    <w:rsid w:val="256E6DFD"/>
    <w:rsid w:val="25891872"/>
    <w:rsid w:val="25CC7C14"/>
    <w:rsid w:val="2613091A"/>
    <w:rsid w:val="264D0AF2"/>
    <w:rsid w:val="265909F3"/>
    <w:rsid w:val="26BB5A5B"/>
    <w:rsid w:val="26E81DCB"/>
    <w:rsid w:val="26FE3B9A"/>
    <w:rsid w:val="27621A0B"/>
    <w:rsid w:val="279E7B84"/>
    <w:rsid w:val="27B103DE"/>
    <w:rsid w:val="285445B2"/>
    <w:rsid w:val="28D24D9C"/>
    <w:rsid w:val="28F25980"/>
    <w:rsid w:val="28FE7045"/>
    <w:rsid w:val="2941798C"/>
    <w:rsid w:val="294C5129"/>
    <w:rsid w:val="295C70D0"/>
    <w:rsid w:val="296F6FD1"/>
    <w:rsid w:val="29C70BBB"/>
    <w:rsid w:val="29E4351B"/>
    <w:rsid w:val="2A8F70B0"/>
    <w:rsid w:val="2AE43776"/>
    <w:rsid w:val="2B1D5459"/>
    <w:rsid w:val="2B276CB6"/>
    <w:rsid w:val="2B4F4ECF"/>
    <w:rsid w:val="2C2263B3"/>
    <w:rsid w:val="2C9C2F72"/>
    <w:rsid w:val="2CC15D7F"/>
    <w:rsid w:val="2CE83322"/>
    <w:rsid w:val="2D141CF6"/>
    <w:rsid w:val="2D984126"/>
    <w:rsid w:val="2DBE22D5"/>
    <w:rsid w:val="2E0A4375"/>
    <w:rsid w:val="2E0C3040"/>
    <w:rsid w:val="2E0D52BF"/>
    <w:rsid w:val="2E35623B"/>
    <w:rsid w:val="2E4E3659"/>
    <w:rsid w:val="2E6740D2"/>
    <w:rsid w:val="2EC138D2"/>
    <w:rsid w:val="2ED8288A"/>
    <w:rsid w:val="2EE205A6"/>
    <w:rsid w:val="2F18216E"/>
    <w:rsid w:val="2F1E127D"/>
    <w:rsid w:val="2F462582"/>
    <w:rsid w:val="2F714B04"/>
    <w:rsid w:val="2F920A3A"/>
    <w:rsid w:val="2FED3439"/>
    <w:rsid w:val="2FFB71AB"/>
    <w:rsid w:val="300246FB"/>
    <w:rsid w:val="30793AE8"/>
    <w:rsid w:val="30B55C11"/>
    <w:rsid w:val="319B3695"/>
    <w:rsid w:val="31D976DD"/>
    <w:rsid w:val="32164205"/>
    <w:rsid w:val="32332253"/>
    <w:rsid w:val="324271A8"/>
    <w:rsid w:val="329D4BAF"/>
    <w:rsid w:val="333F226C"/>
    <w:rsid w:val="339A2E9C"/>
    <w:rsid w:val="33A51F6D"/>
    <w:rsid w:val="33C26030"/>
    <w:rsid w:val="33C547A5"/>
    <w:rsid w:val="34EA61B8"/>
    <w:rsid w:val="3518676F"/>
    <w:rsid w:val="35201A23"/>
    <w:rsid w:val="352E500F"/>
    <w:rsid w:val="355434F9"/>
    <w:rsid w:val="35727A6C"/>
    <w:rsid w:val="35843E04"/>
    <w:rsid w:val="35B540D6"/>
    <w:rsid w:val="35C66E2C"/>
    <w:rsid w:val="35CA2312"/>
    <w:rsid w:val="35F76384"/>
    <w:rsid w:val="361938E0"/>
    <w:rsid w:val="366A124C"/>
    <w:rsid w:val="36C144C3"/>
    <w:rsid w:val="372633C5"/>
    <w:rsid w:val="377C4EB7"/>
    <w:rsid w:val="3885411B"/>
    <w:rsid w:val="388C7CC2"/>
    <w:rsid w:val="38B92676"/>
    <w:rsid w:val="38C23C8C"/>
    <w:rsid w:val="39B20761"/>
    <w:rsid w:val="39D37108"/>
    <w:rsid w:val="39F257E0"/>
    <w:rsid w:val="3A1C1BAF"/>
    <w:rsid w:val="3A1F1997"/>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A41D3"/>
    <w:rsid w:val="3BC00DC4"/>
    <w:rsid w:val="3C243C4B"/>
    <w:rsid w:val="3C4D6CFE"/>
    <w:rsid w:val="3C651D50"/>
    <w:rsid w:val="3C8666FD"/>
    <w:rsid w:val="3CAF79B9"/>
    <w:rsid w:val="3CF7310E"/>
    <w:rsid w:val="3D734E8A"/>
    <w:rsid w:val="3D805368"/>
    <w:rsid w:val="3DB57993"/>
    <w:rsid w:val="3E103B9E"/>
    <w:rsid w:val="3E2829E9"/>
    <w:rsid w:val="3E5113D8"/>
    <w:rsid w:val="3E832EAB"/>
    <w:rsid w:val="3ECC22A5"/>
    <w:rsid w:val="3EDB2CE7"/>
    <w:rsid w:val="3F1E0E25"/>
    <w:rsid w:val="3F3E3276"/>
    <w:rsid w:val="3FA70E1B"/>
    <w:rsid w:val="3FB452E6"/>
    <w:rsid w:val="3FB5178A"/>
    <w:rsid w:val="3FF744E4"/>
    <w:rsid w:val="40077B0C"/>
    <w:rsid w:val="40297A82"/>
    <w:rsid w:val="403D54CD"/>
    <w:rsid w:val="407707ED"/>
    <w:rsid w:val="408028ED"/>
    <w:rsid w:val="40D95004"/>
    <w:rsid w:val="41212AAF"/>
    <w:rsid w:val="4178455B"/>
    <w:rsid w:val="41B873F1"/>
    <w:rsid w:val="41BB6E00"/>
    <w:rsid w:val="41CF3C5E"/>
    <w:rsid w:val="41FB71FC"/>
    <w:rsid w:val="42440BA3"/>
    <w:rsid w:val="424D3EFC"/>
    <w:rsid w:val="425D1BF0"/>
    <w:rsid w:val="426A68F1"/>
    <w:rsid w:val="426B29F2"/>
    <w:rsid w:val="42754E3B"/>
    <w:rsid w:val="42E414A5"/>
    <w:rsid w:val="42ED38B0"/>
    <w:rsid w:val="430239C6"/>
    <w:rsid w:val="435F025C"/>
    <w:rsid w:val="442716E3"/>
    <w:rsid w:val="44623B29"/>
    <w:rsid w:val="44CB7E92"/>
    <w:rsid w:val="44D37FBC"/>
    <w:rsid w:val="44D53D34"/>
    <w:rsid w:val="44DD1721"/>
    <w:rsid w:val="45260A34"/>
    <w:rsid w:val="45303661"/>
    <w:rsid w:val="4551727C"/>
    <w:rsid w:val="4574425A"/>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7B5EAF"/>
    <w:rsid w:val="49BB5BEF"/>
    <w:rsid w:val="49E550B8"/>
    <w:rsid w:val="4A304D72"/>
    <w:rsid w:val="4ADA08DD"/>
    <w:rsid w:val="4AF53CDA"/>
    <w:rsid w:val="4B302190"/>
    <w:rsid w:val="4B4B4D50"/>
    <w:rsid w:val="4B920BD1"/>
    <w:rsid w:val="4BCD1E1A"/>
    <w:rsid w:val="4C0D05F0"/>
    <w:rsid w:val="4C4D68A6"/>
    <w:rsid w:val="4C5B1CC0"/>
    <w:rsid w:val="4C6063F0"/>
    <w:rsid w:val="4D237C5B"/>
    <w:rsid w:val="4D6E195B"/>
    <w:rsid w:val="4DB33731"/>
    <w:rsid w:val="4DB34E9F"/>
    <w:rsid w:val="4DDE57A5"/>
    <w:rsid w:val="4DE4323A"/>
    <w:rsid w:val="4DED5CE9"/>
    <w:rsid w:val="4E015B9A"/>
    <w:rsid w:val="4E040F77"/>
    <w:rsid w:val="4E0D2791"/>
    <w:rsid w:val="4EF15C0F"/>
    <w:rsid w:val="4F0478A8"/>
    <w:rsid w:val="4F0E4A13"/>
    <w:rsid w:val="4F245FE4"/>
    <w:rsid w:val="4F570614"/>
    <w:rsid w:val="4F7A3E56"/>
    <w:rsid w:val="4F7E3AF1"/>
    <w:rsid w:val="4FF260E2"/>
    <w:rsid w:val="50083210"/>
    <w:rsid w:val="501047BA"/>
    <w:rsid w:val="5051384E"/>
    <w:rsid w:val="507C1E50"/>
    <w:rsid w:val="50932863"/>
    <w:rsid w:val="50C64757"/>
    <w:rsid w:val="511A7AB0"/>
    <w:rsid w:val="51801680"/>
    <w:rsid w:val="51D82289"/>
    <w:rsid w:val="51E101BC"/>
    <w:rsid w:val="522600D8"/>
    <w:rsid w:val="5230624E"/>
    <w:rsid w:val="524B7D2C"/>
    <w:rsid w:val="525E7F64"/>
    <w:rsid w:val="528B597C"/>
    <w:rsid w:val="52A031D1"/>
    <w:rsid w:val="52B24B47"/>
    <w:rsid w:val="52B3031A"/>
    <w:rsid w:val="52BA1516"/>
    <w:rsid w:val="53807F59"/>
    <w:rsid w:val="53966D81"/>
    <w:rsid w:val="53C77F81"/>
    <w:rsid w:val="549C03CB"/>
    <w:rsid w:val="54E35FFA"/>
    <w:rsid w:val="54F71AA5"/>
    <w:rsid w:val="55CE5FAF"/>
    <w:rsid w:val="55D65B5E"/>
    <w:rsid w:val="55FF50B5"/>
    <w:rsid w:val="563E671E"/>
    <w:rsid w:val="5647080A"/>
    <w:rsid w:val="568D4A8B"/>
    <w:rsid w:val="56AD68BF"/>
    <w:rsid w:val="56F72C39"/>
    <w:rsid w:val="5787376C"/>
    <w:rsid w:val="581A249A"/>
    <w:rsid w:val="58340631"/>
    <w:rsid w:val="588621CE"/>
    <w:rsid w:val="588927B2"/>
    <w:rsid w:val="58A14202"/>
    <w:rsid w:val="58AC03AC"/>
    <w:rsid w:val="58B3037A"/>
    <w:rsid w:val="5906675A"/>
    <w:rsid w:val="593432C8"/>
    <w:rsid w:val="598F3C15"/>
    <w:rsid w:val="59A44AE5"/>
    <w:rsid w:val="59C43179"/>
    <w:rsid w:val="59E21F44"/>
    <w:rsid w:val="59EF7044"/>
    <w:rsid w:val="59FB5B93"/>
    <w:rsid w:val="5A1256BA"/>
    <w:rsid w:val="5A736D06"/>
    <w:rsid w:val="5AB51CCA"/>
    <w:rsid w:val="5AB57322"/>
    <w:rsid w:val="5AB86B82"/>
    <w:rsid w:val="5AED4C1B"/>
    <w:rsid w:val="5B2D4472"/>
    <w:rsid w:val="5BA52831"/>
    <w:rsid w:val="5BC0596D"/>
    <w:rsid w:val="5BE5635E"/>
    <w:rsid w:val="5BE74621"/>
    <w:rsid w:val="5C03587B"/>
    <w:rsid w:val="5C4805D9"/>
    <w:rsid w:val="5C7236C4"/>
    <w:rsid w:val="5CAD7A90"/>
    <w:rsid w:val="5CBA0A27"/>
    <w:rsid w:val="5D047455"/>
    <w:rsid w:val="5D656145"/>
    <w:rsid w:val="5DA53F1B"/>
    <w:rsid w:val="5DA54794"/>
    <w:rsid w:val="5DC63FF9"/>
    <w:rsid w:val="5F6A078D"/>
    <w:rsid w:val="5F9A7BFD"/>
    <w:rsid w:val="5FA23A48"/>
    <w:rsid w:val="5FB36CBE"/>
    <w:rsid w:val="5FC627A0"/>
    <w:rsid w:val="5FD076A0"/>
    <w:rsid w:val="5FED36FB"/>
    <w:rsid w:val="606F72DB"/>
    <w:rsid w:val="60CC0666"/>
    <w:rsid w:val="610E27AB"/>
    <w:rsid w:val="61393910"/>
    <w:rsid w:val="61710A64"/>
    <w:rsid w:val="61DA4AD9"/>
    <w:rsid w:val="61F335F4"/>
    <w:rsid w:val="629D4803"/>
    <w:rsid w:val="62AE498D"/>
    <w:rsid w:val="62ED1A72"/>
    <w:rsid w:val="637F5A87"/>
    <w:rsid w:val="63D57455"/>
    <w:rsid w:val="63EF49BB"/>
    <w:rsid w:val="63F74842"/>
    <w:rsid w:val="63FF44D2"/>
    <w:rsid w:val="64601415"/>
    <w:rsid w:val="64774677"/>
    <w:rsid w:val="64AB0CD1"/>
    <w:rsid w:val="64C96613"/>
    <w:rsid w:val="64D84E1A"/>
    <w:rsid w:val="65312DB1"/>
    <w:rsid w:val="6558033E"/>
    <w:rsid w:val="65675ED4"/>
    <w:rsid w:val="65EB11B2"/>
    <w:rsid w:val="6683497C"/>
    <w:rsid w:val="66B21CD0"/>
    <w:rsid w:val="676E5CC7"/>
    <w:rsid w:val="67E14BAB"/>
    <w:rsid w:val="67EE0AE5"/>
    <w:rsid w:val="67F71E56"/>
    <w:rsid w:val="683A3D2B"/>
    <w:rsid w:val="684C44B3"/>
    <w:rsid w:val="68880F3A"/>
    <w:rsid w:val="690F1726"/>
    <w:rsid w:val="6A2D5CB0"/>
    <w:rsid w:val="6A663992"/>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D01AB0"/>
    <w:rsid w:val="6DD857F0"/>
    <w:rsid w:val="6DEB139F"/>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705D0EFE"/>
    <w:rsid w:val="7060279C"/>
    <w:rsid w:val="706B3710"/>
    <w:rsid w:val="706B4417"/>
    <w:rsid w:val="70784F6A"/>
    <w:rsid w:val="70B2470E"/>
    <w:rsid w:val="70D77260"/>
    <w:rsid w:val="713117D3"/>
    <w:rsid w:val="713F23B2"/>
    <w:rsid w:val="716B764B"/>
    <w:rsid w:val="71817101"/>
    <w:rsid w:val="71943263"/>
    <w:rsid w:val="71B80224"/>
    <w:rsid w:val="71CF7BDA"/>
    <w:rsid w:val="720B21A0"/>
    <w:rsid w:val="72414B2C"/>
    <w:rsid w:val="725956F5"/>
    <w:rsid w:val="72775B5D"/>
    <w:rsid w:val="72E163D5"/>
    <w:rsid w:val="73010267"/>
    <w:rsid w:val="730651BF"/>
    <w:rsid w:val="73400A3E"/>
    <w:rsid w:val="734D2E7F"/>
    <w:rsid w:val="735D7E91"/>
    <w:rsid w:val="737A5923"/>
    <w:rsid w:val="7395275D"/>
    <w:rsid w:val="73CF647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7E3905"/>
    <w:rsid w:val="77822AD2"/>
    <w:rsid w:val="779A33A8"/>
    <w:rsid w:val="78263FA6"/>
    <w:rsid w:val="783E7867"/>
    <w:rsid w:val="7846297D"/>
    <w:rsid w:val="7859644F"/>
    <w:rsid w:val="78941235"/>
    <w:rsid w:val="791E0B39"/>
    <w:rsid w:val="79487052"/>
    <w:rsid w:val="79586707"/>
    <w:rsid w:val="79BE0C60"/>
    <w:rsid w:val="79E06FD9"/>
    <w:rsid w:val="79F006ED"/>
    <w:rsid w:val="7A2B3BCE"/>
    <w:rsid w:val="7A7430CC"/>
    <w:rsid w:val="7AC3206E"/>
    <w:rsid w:val="7AE446F6"/>
    <w:rsid w:val="7AFF6ACD"/>
    <w:rsid w:val="7B0326A2"/>
    <w:rsid w:val="7B0F54EB"/>
    <w:rsid w:val="7B436E21"/>
    <w:rsid w:val="7B54666E"/>
    <w:rsid w:val="7B5B0429"/>
    <w:rsid w:val="7BF1357F"/>
    <w:rsid w:val="7C4A2065"/>
    <w:rsid w:val="7C796F1F"/>
    <w:rsid w:val="7CAA6238"/>
    <w:rsid w:val="7D085F7C"/>
    <w:rsid w:val="7D404FB3"/>
    <w:rsid w:val="7D8C697F"/>
    <w:rsid w:val="7DA02855"/>
    <w:rsid w:val="7DC73E5B"/>
    <w:rsid w:val="7DC73F51"/>
    <w:rsid w:val="7E0B1DFF"/>
    <w:rsid w:val="7E134C71"/>
    <w:rsid w:val="7E2A3C98"/>
    <w:rsid w:val="7E5043EB"/>
    <w:rsid w:val="7E604231"/>
    <w:rsid w:val="7EB34E00"/>
    <w:rsid w:val="7EF2571C"/>
    <w:rsid w:val="7F210F90"/>
    <w:rsid w:val="7F361298"/>
    <w:rsid w:val="7F837A13"/>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6">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Body Text Indent"/>
    <w:basedOn w:val="1"/>
    <w:next w:val="8"/>
    <w:link w:val="37"/>
    <w:qFormat/>
    <w:uiPriority w:val="0"/>
    <w:pPr>
      <w:spacing w:after="120"/>
      <w:ind w:left="420" w:leftChars="200"/>
    </w:pPr>
  </w:style>
  <w:style w:type="paragraph" w:styleId="8">
    <w:name w:val="envelope return"/>
    <w:basedOn w:val="1"/>
    <w:unhideWhenUsed/>
    <w:qFormat/>
    <w:uiPriority w:val="99"/>
    <w:pPr>
      <w:snapToGrid w:val="0"/>
      <w:ind w:firstLine="200"/>
    </w:pPr>
    <w:rPr>
      <w:rFonts w:ascii="Arial" w:hAnsi="Arial" w:cs="Arial"/>
      <w:szCs w:val="20"/>
    </w:rPr>
  </w:style>
  <w:style w:type="paragraph" w:styleId="9">
    <w:name w:val="Plain Text"/>
    <w:basedOn w:val="1"/>
    <w:link w:val="38"/>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next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Quote"/>
    <w:basedOn w:val="1"/>
    <w:next w:val="1"/>
    <w:unhideWhenUsed/>
    <w:qFormat/>
    <w:uiPriority w:val="99"/>
    <w:pPr>
      <w:ind w:left="864" w:right="864"/>
      <w:jc w:val="center"/>
    </w:pPr>
    <w:rPr>
      <w:rFonts w:ascii="Times New Roman" w:hAnsi="Times New Roman"/>
      <w:i/>
      <w:iCs/>
      <w:color w:val="404040"/>
      <w:szCs w:val="21"/>
    </w:rPr>
  </w:style>
  <w:style w:type="paragraph" w:styleId="13">
    <w:name w:val="toc 1"/>
    <w:basedOn w:val="1"/>
    <w:next w:val="1"/>
    <w:qFormat/>
    <w:uiPriority w:val="0"/>
  </w:style>
  <w:style w:type="paragraph" w:styleId="14">
    <w:name w:val="footnote text"/>
    <w:basedOn w:val="1"/>
    <w:unhideWhenUsed/>
    <w:qFormat/>
    <w:uiPriority w:val="0"/>
    <w:pPr>
      <w:snapToGrid w:val="0"/>
      <w:jc w:val="left"/>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6">
    <w:name w:val="Title"/>
    <w:basedOn w:val="1"/>
    <w:next w:val="1"/>
    <w:qFormat/>
    <w:uiPriority w:val="0"/>
    <w:pPr>
      <w:tabs>
        <w:tab w:val="left" w:pos="450"/>
      </w:tabs>
      <w:ind w:left="450" w:hanging="450"/>
      <w:jc w:val="center"/>
    </w:pPr>
    <w:rPr>
      <w:rFonts w:ascii="黑体" w:eastAsia="黑体"/>
      <w:sz w:val="32"/>
      <w:szCs w:val="20"/>
    </w:rPr>
  </w:style>
  <w:style w:type="paragraph" w:styleId="17">
    <w:name w:val="Body Text First Indent"/>
    <w:basedOn w:val="2"/>
    <w:qFormat/>
    <w:uiPriority w:val="99"/>
    <w:pPr>
      <w:ind w:firstLine="420" w:firstLineChars="100"/>
    </w:pPr>
  </w:style>
  <w:style w:type="paragraph" w:styleId="18">
    <w:name w:val="Body Text First Indent 2"/>
    <w:basedOn w:val="7"/>
    <w:next w:val="1"/>
    <w:qFormat/>
    <w:uiPriority w:val="0"/>
    <w:pPr>
      <w:ind w:firstLine="420" w:firstLineChars="200"/>
    </w:pPr>
    <w:rPr>
      <w:rFonts w:ascii="Calibri" w:hAnsi="Calibri"/>
      <w:szCs w:val="2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0"/>
    <w:rPr>
      <w:color w:val="555555"/>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Variable"/>
    <w:basedOn w:val="21"/>
    <w:qFormat/>
    <w:uiPriority w:val="0"/>
  </w:style>
  <w:style w:type="character" w:styleId="27">
    <w:name w:val="Hyperlink"/>
    <w:basedOn w:val="21"/>
    <w:unhideWhenUsed/>
    <w:qFormat/>
    <w:uiPriority w:val="99"/>
    <w:rPr>
      <w:rFonts w:ascii="Times New Roman" w:hAnsi="Times New Roman" w:eastAsia="宋体" w:cs="Times New Roman"/>
      <w:color w:val="0000FF"/>
      <w:kern w:val="2"/>
      <w:sz w:val="21"/>
      <w:szCs w:val="24"/>
      <w:u w:val="single"/>
      <w:lang w:eastAsia="zh-CN"/>
    </w:rPr>
  </w:style>
  <w:style w:type="character" w:styleId="28">
    <w:name w:val="HTML Cite"/>
    <w:basedOn w:val="21"/>
    <w:qFormat/>
    <w:uiPriority w:val="0"/>
  </w:style>
  <w:style w:type="character" w:styleId="29">
    <w:name w:val="footnote reference"/>
    <w:unhideWhenUsed/>
    <w:qFormat/>
    <w:uiPriority w:val="0"/>
    <w:rPr>
      <w:vertAlign w:val="superscript"/>
    </w:rPr>
  </w:style>
  <w:style w:type="paragraph" w:customStyle="1" w:styleId="30">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1">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character" w:customStyle="1" w:styleId="33">
    <w:name w:val="font61"/>
    <w:basedOn w:val="21"/>
    <w:qFormat/>
    <w:uiPriority w:val="0"/>
    <w:rPr>
      <w:rFonts w:hint="eastAsia" w:ascii="宋体" w:hAnsi="宋体" w:eastAsia="宋体" w:cs="宋体"/>
      <w:color w:val="000000"/>
      <w:sz w:val="20"/>
      <w:szCs w:val="20"/>
      <w:u w:val="none"/>
    </w:rPr>
  </w:style>
  <w:style w:type="character" w:customStyle="1" w:styleId="34">
    <w:name w:val="font141"/>
    <w:basedOn w:val="21"/>
    <w:qFormat/>
    <w:uiPriority w:val="0"/>
    <w:rPr>
      <w:rFonts w:hint="eastAsia" w:ascii="宋体" w:hAnsi="宋体" w:eastAsia="宋体" w:cs="宋体"/>
      <w:color w:val="000000"/>
      <w:sz w:val="24"/>
      <w:szCs w:val="24"/>
      <w:u w:val="none"/>
      <w:vertAlign w:val="superscript"/>
    </w:rPr>
  </w:style>
  <w:style w:type="paragraph" w:customStyle="1" w:styleId="3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kern w:val="0"/>
      <w:szCs w:val="20"/>
    </w:rPr>
  </w:style>
  <w:style w:type="paragraph" w:customStyle="1" w:styleId="36">
    <w:name w:val="List Paragraph"/>
    <w:basedOn w:val="1"/>
    <w:qFormat/>
    <w:uiPriority w:val="1"/>
    <w:pPr>
      <w:ind w:left="235" w:hanging="527"/>
    </w:pPr>
    <w:rPr>
      <w:rFonts w:ascii="宋体" w:hAnsi="宋体" w:eastAsia="宋体" w:cs="宋体"/>
      <w:lang w:val="zh-CN" w:eastAsia="zh-CN" w:bidi="zh-CN"/>
    </w:rPr>
  </w:style>
  <w:style w:type="character" w:customStyle="1" w:styleId="37">
    <w:name w:val="正文文本缩进 Char"/>
    <w:link w:val="7"/>
    <w:qFormat/>
    <w:uiPriority w:val="0"/>
  </w:style>
  <w:style w:type="character" w:customStyle="1" w:styleId="38">
    <w:name w:val="纯文本 Char"/>
    <w:link w:val="9"/>
    <w:qFormat/>
    <w:uiPriority w:val="0"/>
    <w:rPr>
      <w:rFonts w:ascii="宋体" w:hAnsi="Courier New"/>
      <w:szCs w:val="20"/>
    </w:rPr>
  </w:style>
  <w:style w:type="paragraph" w:customStyle="1" w:styleId="39">
    <w:name w:val="Table Paragraph"/>
    <w:basedOn w:val="1"/>
    <w:qFormat/>
    <w:uiPriority w:val="1"/>
    <w:rPr>
      <w:rFonts w:ascii="宋体" w:hAnsi="宋体" w:eastAsia="宋体" w:cs="宋体"/>
    </w:rPr>
  </w:style>
  <w:style w:type="table" w:customStyle="1" w:styleId="40">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1">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2">
    <w:name w:val="font41"/>
    <w:basedOn w:val="21"/>
    <w:qFormat/>
    <w:uiPriority w:val="0"/>
    <w:rPr>
      <w:rFonts w:hint="eastAsia" w:ascii="宋体" w:hAnsi="宋体" w:eastAsia="宋体" w:cs="宋体"/>
      <w:color w:val="000000"/>
      <w:sz w:val="22"/>
      <w:szCs w:val="22"/>
      <w:u w:val="none"/>
    </w:rPr>
  </w:style>
  <w:style w:type="character" w:customStyle="1" w:styleId="43">
    <w:name w:val="font51"/>
    <w:basedOn w:val="21"/>
    <w:qFormat/>
    <w:uiPriority w:val="0"/>
    <w:rPr>
      <w:rFonts w:hint="eastAsia" w:ascii="宋体" w:hAnsi="宋体" w:eastAsia="宋体" w:cs="宋体"/>
      <w:color w:val="000000"/>
      <w:sz w:val="22"/>
      <w:szCs w:val="22"/>
      <w:u w:val="none"/>
    </w:rPr>
  </w:style>
  <w:style w:type="character" w:customStyle="1" w:styleId="44">
    <w:name w:val="font91"/>
    <w:basedOn w:val="21"/>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18515</Words>
  <Characters>19385</Characters>
  <Lines>180</Lines>
  <Paragraphs>50</Paragraphs>
  <TotalTime>17</TotalTime>
  <ScaleCrop>false</ScaleCrop>
  <LinksUpToDate>false</LinksUpToDate>
  <CharactersWithSpaces>22060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2024-05-13T01:15:00Z</cp:lastPrinted>
  <dcterms:modified xsi:type="dcterms:W3CDTF">2024-07-07T01:20:33Z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F058A29E382344449565698A70CBAE00_13</vt:lpwstr>
  </property>
</Properties>
</file>