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0DF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安徽皖通高速公路股份有限公司2024年度</w:t>
      </w:r>
    </w:p>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宿州中心等营运单位房建设施改造提升工程设计及施工总承包家具采购及安装项目</w:t>
      </w:r>
    </w:p>
    <w:p w14:paraId="6200C9D4">
      <w:pPr>
        <w:spacing w:line="540" w:lineRule="exact"/>
        <w:ind w:firstLine="420"/>
        <w:rPr>
          <w:rFonts w:ascii="Times New Roman" w:hAnsi="Times New Roman" w:cs="Times New Roman"/>
          <w:szCs w:val="21"/>
        </w:rPr>
      </w:pPr>
    </w:p>
    <w:p w14:paraId="1E83A192">
      <w:pPr>
        <w:pStyle w:val="2"/>
        <w:rPr>
          <w:rFonts w:ascii="Times New Roman" w:hAnsi="Times New Roman" w:cs="Times New Roman"/>
          <w:szCs w:val="21"/>
        </w:rPr>
      </w:pPr>
    </w:p>
    <w:p w14:paraId="5C35004D"/>
    <w:p w14:paraId="459F8496">
      <w:pPr>
        <w:pStyle w:val="2"/>
        <w:rPr>
          <w:rFonts w:ascii="Times New Roman" w:hAnsi="Times New Roman" w:cs="Times New Roman"/>
          <w:szCs w:val="21"/>
        </w:rPr>
      </w:pPr>
    </w:p>
    <w:p w14:paraId="09568C00">
      <w:pPr>
        <w:pStyle w:val="2"/>
        <w:rPr>
          <w:rFonts w:ascii="Times New Roman" w:hAnsi="Times New Roman" w:cs="Times New Roman"/>
          <w:szCs w:val="21"/>
        </w:rPr>
      </w:pPr>
    </w:p>
    <w:p w14:paraId="749A388D">
      <w:pPr>
        <w:pStyle w:val="13"/>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9</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375CBAB3">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ascii="宋体" w:hAnsi="宋体" w:eastAsia="宋体"/>
        </w:rPr>
      </w:pPr>
    </w:p>
    <w:p w14:paraId="0FB37F67">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3"/>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0395_WPSOffice_Level2"/>
      <w:bookmarkStart w:id="2" w:name="_Toc4489_WPSOffice_Level2"/>
      <w:bookmarkStart w:id="3" w:name="_Toc24354_WPSOffice_Level2"/>
      <w:bookmarkStart w:id="4" w:name="_Toc12765"/>
      <w:bookmarkStart w:id="5" w:name="_Toc6496_WPSOffice_Level2"/>
      <w:bookmarkStart w:id="6" w:name="_Toc525632585"/>
      <w:bookmarkStart w:id="7" w:name="_Toc13871"/>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安徽皖通高速公路股份有限公司2024年度宿州中心等营运单位房建设施改造提升工程设计及施工总承包家具采购及安装项目。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安徽皖通高速公路股份有限公司2024年度宿州中心等营运单位房建设施改造提升工程设计及施工总承包家具采购及安装</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18453"/>
      <w:bookmarkStart w:id="9" w:name="_Toc18367_WPSOffice_Level2"/>
      <w:bookmarkStart w:id="10" w:name="_Toc525632586"/>
      <w:bookmarkStart w:id="11" w:name="_Toc8128_WPSOffice_Level2"/>
      <w:bookmarkStart w:id="12" w:name="_Toc10274"/>
      <w:bookmarkStart w:id="13" w:name="_Toc23266_WPSOffice_Level2"/>
      <w:bookmarkStart w:id="14" w:name="_Toc17858_WPSOffice_Level2"/>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家具。</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无。产品参数详见采购清单。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4个包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总限价为1481万元，其中01包374</w:t>
      </w:r>
      <w:r>
        <w:rPr>
          <w:rFonts w:hint="eastAsia" w:ascii="宋体" w:hAnsi="宋体" w:eastAsia="宋体" w:cs="宋体"/>
          <w:b w:val="0"/>
          <w:bCs w:val="0"/>
          <w:color w:val="auto"/>
          <w:szCs w:val="21"/>
          <w:highlight w:val="none"/>
          <w:u w:val="single"/>
          <w:lang w:val="en-US" w:eastAsia="zh-CN"/>
        </w:rPr>
        <w:t>万元</w:t>
      </w:r>
      <w:r>
        <w:rPr>
          <w:rFonts w:hint="eastAsia" w:ascii="宋体" w:hAnsi="宋体" w:eastAsia="宋体" w:cs="宋体"/>
          <w:b w:val="0"/>
          <w:bCs w:val="0"/>
          <w:szCs w:val="21"/>
          <w:highlight w:val="none"/>
          <w:u w:val="single"/>
          <w:lang w:val="en-US" w:eastAsia="zh-CN"/>
        </w:rPr>
        <w:t>（合肥管理处、芜湖中心、宁国管理处）</w:t>
      </w:r>
      <w:r>
        <w:rPr>
          <w:rFonts w:hint="eastAsia" w:ascii="宋体" w:hAnsi="宋体" w:eastAsia="宋体" w:cs="宋体"/>
          <w:b w:val="0"/>
          <w:bCs w:val="0"/>
          <w:color w:val="auto"/>
          <w:szCs w:val="21"/>
          <w:highlight w:val="none"/>
          <w:u w:val="single"/>
          <w:lang w:val="en-US" w:eastAsia="zh-CN"/>
        </w:rPr>
        <w:t>；02包377万元（高界管理处）；03包365万元（阜阳管理处、六安北中心、蚌埠管理处、界阜蚌公司）；04包365万元（徐明公司、宿州管理处）</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szCs w:val="21"/>
          <w:highlight w:val="yellow"/>
          <w:lang w:val="en-US" w:eastAsia="zh-CN"/>
        </w:rPr>
      </w:pPr>
      <w:r>
        <w:rPr>
          <w:rFonts w:hint="eastAsia" w:ascii="宋体" w:hAnsi="宋体" w:eastAsia="宋体" w:cs="宋体"/>
          <w:b/>
          <w:bCs/>
          <w:szCs w:val="21"/>
          <w:highlight w:val="yellow"/>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或第二名已中标其他包段，由采购人按候选人名次顺延成交人或重新采购。</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天内交货</w:t>
      </w:r>
      <w:r>
        <w:rPr>
          <w:rFonts w:hint="eastAsia" w:ascii="宋体" w:hAnsi="宋体" w:eastAsia="宋体" w:cs="宋体"/>
          <w:kern w:val="0"/>
          <w:sz w:val="21"/>
          <w:szCs w:val="21"/>
          <w:highlight w:val="none"/>
          <w:u w:val="single"/>
          <w:lang w:val="en-US" w:eastAsia="zh-CN"/>
        </w:rPr>
        <w:t>并安装完成（根据实际情况安排进度）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31673_WPSOffice_Level2"/>
      <w:bookmarkStart w:id="19" w:name="_Toc6388"/>
      <w:bookmarkStart w:id="20" w:name="_Toc29516_WPSOffice_Level2"/>
      <w:bookmarkStart w:id="21" w:name="_Toc3714"/>
      <w:bookmarkStart w:id="22" w:name="_Toc22379_WPSOffice_Level2"/>
      <w:bookmarkStart w:id="23" w:name="_Toc1622_WPSOffice_Level2"/>
      <w:bookmarkStart w:id="24" w:name="_Toc525632587"/>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2"/>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bCs/>
          <w:highlight w:val="yellow"/>
          <w:u w:val="single"/>
          <w:lang w:val="en-US" w:eastAsia="zh-CN"/>
        </w:rPr>
      </w:pPr>
      <w:r>
        <w:rPr>
          <w:rFonts w:hint="eastAsia" w:ascii="宋体" w:hAnsi="宋体" w:eastAsia="宋体" w:cs="宋体"/>
          <w:b/>
          <w:bCs/>
          <w:highlight w:val="yellow"/>
          <w:u w:val="single"/>
          <w:lang w:val="en-US" w:eastAsia="zh-CN"/>
        </w:rPr>
        <w:t xml:space="preserve"> 至少提供1个自2021年1月1日以来，单项合同额不低于100万元的家具供应</w:t>
      </w:r>
      <w:r>
        <w:rPr>
          <w:rFonts w:hint="eastAsia" w:ascii="宋体" w:hAnsi="宋体" w:eastAsia="宋体" w:cs="宋体"/>
          <w:b/>
          <w:bCs/>
          <w:color w:val="auto"/>
          <w:szCs w:val="21"/>
          <w:highlight w:val="yellow"/>
          <w:u w:val="single"/>
          <w:lang w:val="en-US" w:eastAsia="zh-CN"/>
        </w:rPr>
        <w:t>合同业绩（每个业绩至少提供一张该项目的增值税发票或收到业主转账的收款凭证）。</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eastAsia="宋体"/>
          <w:lang w:val="en-US" w:eastAsia="zh-C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54EA9F7E">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1994"/>
      <w:bookmarkStart w:id="26" w:name="_Toc4109_WPSOffice_Level2"/>
      <w:bookmarkStart w:id="27" w:name="_Toc25666_WPSOffice_Level2"/>
      <w:bookmarkStart w:id="28" w:name="_Toc525632588"/>
      <w:bookmarkStart w:id="29" w:name="_Toc4751"/>
      <w:bookmarkStart w:id="30" w:name="_Toc2996_WPSOffice_Level2"/>
      <w:bookmarkStart w:id="31" w:name="_Toc29452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7E757068">
      <w:pPr>
        <w:pageBreakBefore w:val="0"/>
        <w:kinsoku/>
        <w:wordWrap/>
        <w:overflowPunct/>
        <w:topLinePunct w:val="0"/>
        <w:bidi w:val="0"/>
        <w:adjustRightInd/>
        <w:snapToGrid w:val="0"/>
        <w:spacing w:line="460" w:lineRule="exact"/>
        <w:ind w:firstLine="367" w:firstLineChars="175"/>
        <w:textAlignment w:val="auto"/>
        <w:rPr>
          <w:rFonts w:ascii="Times New Roman" w:hAnsi="Times New Roman" w:cs="Times New Roman"/>
          <w:color w:val="000000" w:themeColor="text1"/>
          <w:szCs w:val="22"/>
          <w14:textFill>
            <w14:solidFill>
              <w14:schemeClr w14:val="tx1"/>
            </w14:solidFill>
          </w14:textFill>
        </w:rPr>
      </w:pPr>
      <w:bookmarkStart w:id="32" w:name="_Toc726"/>
      <w:bookmarkStart w:id="33" w:name="_Toc525632589"/>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4C7DCE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5C813060">
      <w:pPr>
        <w:pageBreakBefore w:val="0"/>
        <w:kinsoku/>
        <w:wordWrap/>
        <w:overflowPunct/>
        <w:topLinePunct w:val="0"/>
        <w:bidi w:val="0"/>
        <w:adjustRightInd/>
        <w:snapToGrid w:val="0"/>
        <w:spacing w:line="460" w:lineRule="exact"/>
        <w:ind w:firstLine="420" w:firstLineChars="200"/>
        <w:textAlignment w:val="auto"/>
        <w:rPr>
          <w:rFonts w:hint="eastAsia" w:eastAsiaTheme="minorEastAsia"/>
          <w:color w:val="auto"/>
          <w:highlight w:val="none"/>
          <w:lang w:val="en-US" w:eastAsia="zh-CN"/>
        </w:rPr>
      </w:pPr>
      <w:bookmarkStart w:id="34" w:name="_Toc22719"/>
      <w:bookmarkStart w:id="35" w:name="_Toc525632591"/>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9</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14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9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14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00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690A38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14:paraId="6C731678">
      <w:pPr>
        <w:pageBreakBefore w:val="0"/>
        <w:kinsoku/>
        <w:wordWrap/>
        <w:overflowPunct/>
        <w:topLinePunct w:val="0"/>
        <w:bidi w:val="0"/>
        <w:adjustRightInd/>
        <w:snapToGrid w:val="0"/>
        <w:spacing w:line="460" w:lineRule="exact"/>
        <w:ind w:firstLine="420" w:firstLineChars="200"/>
        <w:textAlignment w:val="auto"/>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_（地点）组织进行响应文件的启封。</w:t>
      </w:r>
    </w:p>
    <w:p w14:paraId="2D52D615">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eastAsia" w:ascii="宋体" w:hAnsi="宋体" w:eastAsia="宋体" w:cs="宋体"/>
          <w:b/>
          <w:bCs/>
          <w:kern w:val="2"/>
          <w:sz w:val="21"/>
          <w:szCs w:val="21"/>
          <w:highlight w:val="yellow"/>
          <w:lang w:val="en-US" w:eastAsia="zh-CN" w:bidi="ar"/>
        </w:rPr>
        <w:t>响应保证金的金额：</w:t>
      </w:r>
      <w:r>
        <w:rPr>
          <w:rFonts w:hint="eastAsia" w:ascii="宋体" w:hAnsi="宋体" w:eastAsia="宋体" w:cs="宋体"/>
          <w:b/>
          <w:bCs/>
          <w:kern w:val="2"/>
          <w:sz w:val="21"/>
          <w:szCs w:val="21"/>
          <w:highlight w:val="yellow"/>
          <w:u w:val="single"/>
          <w:lang w:val="en-US" w:eastAsia="zh-CN" w:bidi="ar"/>
        </w:rPr>
        <w:t>陆</w:t>
      </w:r>
      <w:r>
        <w:rPr>
          <w:rFonts w:hint="eastAsia" w:ascii="宋体" w:hAnsi="宋体" w:eastAsia="宋体" w:cs="宋体"/>
          <w:b/>
          <w:bCs/>
          <w:kern w:val="2"/>
          <w:sz w:val="21"/>
          <w:szCs w:val="21"/>
          <w:highlight w:val="yellow"/>
          <w:u w:val="single"/>
          <w:lang w:val="en-US" w:eastAsia="zh-CN" w:bidi="ar"/>
        </w:rPr>
        <w:t>万元整 （</w:t>
      </w:r>
      <w:r>
        <w:rPr>
          <w:rFonts w:hint="default"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single"/>
          <w:lang w:val="en-US" w:eastAsia="zh-CN" w:bidi="ar"/>
        </w:rPr>
        <w:t>：6</w:t>
      </w:r>
      <w:r>
        <w:rPr>
          <w:rFonts w:hint="default" w:ascii="宋体" w:hAnsi="宋体" w:eastAsia="宋体" w:cs="宋体"/>
          <w:b/>
          <w:bCs/>
          <w:kern w:val="2"/>
          <w:sz w:val="21"/>
          <w:szCs w:val="21"/>
          <w:highlight w:val="yellow"/>
          <w:u w:val="single"/>
          <w:lang w:val="en-US" w:eastAsia="zh-CN" w:bidi="ar"/>
        </w:rPr>
        <w:t>0000.00</w:t>
      </w:r>
      <w:r>
        <w:rPr>
          <w:rFonts w:hint="eastAsia" w:ascii="宋体" w:hAnsi="宋体" w:eastAsia="宋体" w:cs="宋体"/>
          <w:b/>
          <w:bCs/>
          <w:kern w:val="2"/>
          <w:sz w:val="21"/>
          <w:szCs w:val="21"/>
          <w:highlight w:val="yellow"/>
          <w:u w:val="single"/>
          <w:lang w:val="en-US" w:eastAsia="zh-CN" w:bidi="ar"/>
        </w:rPr>
        <w:t>），如参与多个包段，只需缴纳一次保证金）</w:t>
      </w:r>
      <w:r>
        <w:rPr>
          <w:rFonts w:hint="eastAsia" w:ascii="宋体" w:hAnsi="宋体" w:eastAsia="宋体" w:cs="宋体"/>
          <w:b/>
          <w:bCs/>
          <w:kern w:val="2"/>
          <w:sz w:val="21"/>
          <w:szCs w:val="21"/>
          <w:highlight w:val="yellow"/>
          <w:u w:val="none"/>
          <w:lang w:val="en-US" w:eastAsia="zh-CN" w:bidi="ar"/>
        </w:rPr>
        <w:t>。</w:t>
      </w:r>
    </w:p>
    <w:p w14:paraId="2AF6C0D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响应保证金的递交形式：银行转账</w:t>
      </w:r>
    </w:p>
    <w:p w14:paraId="510523B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递交截止时间：</w:t>
      </w:r>
      <w:r>
        <w:rPr>
          <w:rFonts w:hint="default" w:ascii="Times New Roman" w:hAnsi="Times New Roman" w:eastAsia="宋体" w:cs="Times New Roman"/>
          <w:b/>
          <w:bCs/>
          <w:kern w:val="2"/>
          <w:sz w:val="21"/>
          <w:szCs w:val="21"/>
          <w:highlight w:val="none"/>
          <w:lang w:val="en-US" w:eastAsia="zh-CN" w:bidi="ar"/>
        </w:rPr>
        <w:t>2024</w:t>
      </w:r>
      <w:r>
        <w:rPr>
          <w:rFonts w:hint="eastAsia" w:ascii="宋体" w:hAnsi="宋体" w:eastAsia="宋体" w:cs="宋体"/>
          <w:b/>
          <w:bCs/>
          <w:kern w:val="2"/>
          <w:sz w:val="21"/>
          <w:szCs w:val="21"/>
          <w:highlight w:val="none"/>
          <w:lang w:val="en-US" w:eastAsia="zh-CN" w:bidi="ar"/>
        </w:rPr>
        <w:t>年</w:t>
      </w:r>
      <w:r>
        <w:rPr>
          <w:rFonts w:hint="eastAsia" w:ascii="Times New Roman" w:hAnsi="Times New Roman" w:eastAsia="宋体" w:cs="Times New Roman"/>
          <w:b/>
          <w:bCs/>
          <w:kern w:val="2"/>
          <w:sz w:val="21"/>
          <w:szCs w:val="21"/>
          <w:highlight w:val="none"/>
          <w:lang w:val="en-US" w:eastAsia="zh-CN" w:bidi="ar"/>
        </w:rPr>
        <w:t>9</w:t>
      </w:r>
      <w:r>
        <w:rPr>
          <w:rFonts w:hint="eastAsia" w:ascii="宋体" w:hAnsi="宋体" w:eastAsia="宋体" w:cs="宋体"/>
          <w:b/>
          <w:bCs/>
          <w:kern w:val="2"/>
          <w:sz w:val="21"/>
          <w:szCs w:val="21"/>
          <w:highlight w:val="none"/>
          <w:lang w:val="en-US" w:eastAsia="zh-CN" w:bidi="ar"/>
        </w:rPr>
        <w:t>月</w:t>
      </w:r>
      <w:r>
        <w:rPr>
          <w:rFonts w:hint="eastAsia" w:ascii="Times New Roman" w:hAnsi="Times New Roman" w:eastAsia="宋体" w:cs="Times New Roman"/>
          <w:b/>
          <w:bCs/>
          <w:kern w:val="2"/>
          <w:sz w:val="21"/>
          <w:szCs w:val="21"/>
          <w:highlight w:val="none"/>
          <w:lang w:val="en-US" w:eastAsia="zh-CN" w:bidi="ar"/>
        </w:rPr>
        <w:t>14</w:t>
      </w:r>
      <w:r>
        <w:rPr>
          <w:rFonts w:hint="eastAsia" w:ascii="宋体" w:hAnsi="宋体" w:eastAsia="宋体" w:cs="宋体"/>
          <w:b/>
          <w:bCs/>
          <w:kern w:val="2"/>
          <w:sz w:val="21"/>
          <w:szCs w:val="21"/>
          <w:highlight w:val="none"/>
          <w:lang w:val="en-US" w:eastAsia="zh-CN" w:bidi="ar"/>
        </w:rPr>
        <w:t>日</w:t>
      </w:r>
      <w:r>
        <w:rPr>
          <w:rFonts w:hint="eastAsia" w:ascii="Times New Roman" w:hAnsi="Times New Roman" w:eastAsia="宋体" w:cs="Times New Roman"/>
          <w:b/>
          <w:bCs/>
          <w:kern w:val="2"/>
          <w:sz w:val="21"/>
          <w:szCs w:val="21"/>
          <w:highlight w:val="none"/>
          <w:lang w:val="en-US" w:eastAsia="zh-CN" w:bidi="ar"/>
        </w:rPr>
        <w:t>14</w:t>
      </w:r>
      <w:r>
        <w:rPr>
          <w:rFonts w:hint="eastAsia" w:ascii="宋体" w:hAnsi="宋体" w:eastAsia="宋体" w:cs="宋体"/>
          <w:b/>
          <w:bCs/>
          <w:kern w:val="2"/>
          <w:sz w:val="21"/>
          <w:szCs w:val="21"/>
          <w:highlight w:val="none"/>
          <w:lang w:val="en-US" w:eastAsia="zh-CN" w:bidi="ar"/>
        </w:rPr>
        <w:t>时</w:t>
      </w:r>
      <w:r>
        <w:rPr>
          <w:rFonts w:hint="eastAsia" w:ascii="Times New Roman" w:hAnsi="Times New Roman" w:eastAsia="宋体" w:cs="Times New Roman"/>
          <w:b/>
          <w:bCs/>
          <w:kern w:val="2"/>
          <w:sz w:val="21"/>
          <w:szCs w:val="21"/>
          <w:highlight w:val="none"/>
          <w:lang w:val="en-US" w:eastAsia="zh-CN" w:bidi="ar"/>
        </w:rPr>
        <w:t>0</w:t>
      </w:r>
      <w:r>
        <w:rPr>
          <w:rFonts w:hint="default" w:ascii="Times New Roman" w:hAnsi="Times New Roman" w:eastAsia="宋体" w:cs="Times New Roman"/>
          <w:b/>
          <w:bCs/>
          <w:kern w:val="2"/>
          <w:sz w:val="21"/>
          <w:szCs w:val="21"/>
          <w:highlight w:val="none"/>
          <w:lang w:val="en-US" w:eastAsia="zh-CN" w:bidi="ar"/>
        </w:rPr>
        <w:t>0</w:t>
      </w:r>
      <w:r>
        <w:rPr>
          <w:rFonts w:hint="eastAsia" w:ascii="宋体" w:hAnsi="宋体" w:eastAsia="宋体" w:cs="宋体"/>
          <w:b/>
          <w:bCs/>
          <w:kern w:val="2"/>
          <w:sz w:val="21"/>
          <w:szCs w:val="21"/>
          <w:highlight w:val="none"/>
          <w:lang w:val="en-US" w:eastAsia="zh-CN" w:bidi="ar"/>
        </w:rPr>
        <w:t>分。</w:t>
      </w:r>
    </w:p>
    <w:p w14:paraId="3BB495C3">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若采用电汇（转账）形式，响应保证金必须由供应商的账户一次性汇入所示账户，并在响应截止时间前到账，否则无效。</w:t>
      </w:r>
    </w:p>
    <w:p w14:paraId="1EF041C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响应保证金的账户信息：</w:t>
      </w:r>
    </w:p>
    <w:p w14:paraId="07BF75A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户</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安徽省经工物资有限公司</w:t>
      </w:r>
    </w:p>
    <w:p w14:paraId="2B100078">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工行合肥蜀山支行</w:t>
      </w:r>
    </w:p>
    <w:p w14:paraId="5EBF629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账</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1302012119200034038</w:t>
      </w:r>
    </w:p>
    <w:p w14:paraId="799E462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付款备注：家具</w:t>
      </w:r>
      <w:r>
        <w:rPr>
          <w:rFonts w:hint="eastAsia" w:ascii="宋体" w:hAnsi="宋体" w:eastAsia="宋体" w:cs="宋体"/>
          <w:b/>
          <w:bCs/>
          <w:kern w:val="2"/>
          <w:sz w:val="21"/>
          <w:szCs w:val="21"/>
          <w:highlight w:val="yellow"/>
          <w:u w:val="single"/>
          <w:lang w:val="en-US" w:eastAsia="zh-CN" w:bidi="ar"/>
        </w:rPr>
        <w:t xml:space="preserve">     </w:t>
      </w:r>
      <w:r>
        <w:rPr>
          <w:rFonts w:hint="eastAsia" w:ascii="宋体" w:hAnsi="宋体" w:eastAsia="宋体" w:cs="宋体"/>
          <w:b/>
          <w:bCs/>
          <w:kern w:val="2"/>
          <w:sz w:val="21"/>
          <w:szCs w:val="21"/>
          <w:highlight w:val="yellow"/>
          <w:u w:val="none"/>
          <w:lang w:val="en-US" w:eastAsia="zh-CN" w:bidi="ar"/>
        </w:rPr>
        <w:t>包</w:t>
      </w:r>
      <w:r>
        <w:rPr>
          <w:rFonts w:hint="eastAsia" w:ascii="宋体" w:hAnsi="宋体" w:eastAsia="宋体" w:cs="宋体"/>
          <w:b/>
          <w:bCs/>
          <w:kern w:val="2"/>
          <w:sz w:val="21"/>
          <w:szCs w:val="21"/>
          <w:highlight w:val="yellow"/>
          <w:lang w:val="en-US" w:eastAsia="zh-CN" w:bidi="ar"/>
        </w:rPr>
        <w:t>响应保证金</w:t>
      </w:r>
    </w:p>
    <w:p w14:paraId="2344E64E">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9734E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14:paraId="7323527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14:paraId="42885B4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14:paraId="50EA2BD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②供应商账户汇入到上述账户，采购人不接受以个人名义或以现金形式提交的响应保证金。</w:t>
      </w:r>
    </w:p>
    <w:p w14:paraId="04F836AF">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14:paraId="66FF7507">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4A6F32B7">
      <w:pPr>
        <w:pageBreakBefore w:val="0"/>
        <w:kinsoku/>
        <w:wordWrap/>
        <w:overflowPunct/>
        <w:topLinePunct w:val="0"/>
        <w:bidi w:val="0"/>
        <w:adjustRightInd/>
        <w:snapToGrid w:val="0"/>
        <w:spacing w:line="460" w:lineRule="exact"/>
        <w:ind w:firstLine="420" w:firstLineChars="200"/>
        <w:textAlignment w:val="auto"/>
        <w:rPr>
          <w:rFonts w:hint="default"/>
          <w:lang w:val="en-US" w:eastAsia="zh-CN"/>
        </w:rPr>
      </w:pPr>
      <w:bookmarkStart w:id="36" w:name="_Toc525632592"/>
      <w:bookmarkStart w:id="37" w:name="_Toc28571_WPSOffice_Level2"/>
      <w:bookmarkStart w:id="38" w:name="_Toc20572_WPSOffice_Level2"/>
      <w:bookmarkStart w:id="39" w:name="_Toc14943_WPSOffice_Level2"/>
      <w:bookmarkStart w:id="40" w:name="_Toc321_WPSOffice_Level2"/>
      <w:bookmarkStart w:id="41" w:name="_Toc8501"/>
      <w:bookmarkStart w:id="42" w:name="_Toc26829"/>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14:paraId="5DBE2D2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42AA70E5">
      <w:pPr>
        <w:pageBreakBefore w:val="0"/>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安徽交控建设工程集团有限公司</w:t>
      </w:r>
    </w:p>
    <w:p w14:paraId="0183C976">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u w:val="single"/>
          <w:lang w:val="en-US" w:eastAsia="zh-CN"/>
        </w:rPr>
        <w:t xml:space="preserve"> </w:t>
      </w:r>
    </w:p>
    <w:p w14:paraId="7A112477">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u w:val="single"/>
        </w:rPr>
        <w:t xml:space="preserve"> </w:t>
      </w:r>
      <w:r>
        <w:rPr>
          <w:rFonts w:hint="eastAsia" w:ascii="Times New Roman" w:hAnsi="Times New Roman" w:cs="Times New Roman"/>
          <w:color w:val="auto"/>
          <w:sz w:val="21"/>
          <w:szCs w:val="22"/>
          <w:highlight w:val="none"/>
          <w:u w:val="single"/>
          <w:lang w:val="en-US" w:eastAsia="zh-CN"/>
        </w:rPr>
        <w:t>余工</w:t>
      </w:r>
      <w:r>
        <w:rPr>
          <w:rFonts w:hint="default" w:ascii="Times New Roman" w:hAnsi="Times New Roman" w:cs="Times New Roman"/>
          <w:color w:val="auto"/>
          <w:sz w:val="21"/>
          <w:szCs w:val="22"/>
          <w:highlight w:val="none"/>
          <w:u w:val="single"/>
        </w:rPr>
        <w:t xml:space="preserve"> </w:t>
      </w:r>
    </w:p>
    <w:p w14:paraId="5492B619">
      <w:pPr>
        <w:pageBreakBefore w:val="0"/>
        <w:widowControl/>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15256002215   13866130523  </w:t>
      </w:r>
    </w:p>
    <w:p w14:paraId="2FE607D9">
      <w:pPr>
        <w:pageBreakBefore w:val="0"/>
        <w:kinsoku/>
        <w:wordWrap/>
        <w:overflowPunct/>
        <w:topLinePunct w:val="0"/>
        <w:bidi w:val="0"/>
        <w:adjustRightInd/>
        <w:spacing w:line="460" w:lineRule="exact"/>
        <w:ind w:firstLine="420" w:firstLineChars="200"/>
        <w:textAlignment w:val="auto"/>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1197049604@qq.com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6A91422">
      <w:pPr>
        <w:pStyle w:val="2"/>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29CDA18">
      <w:pPr>
        <w:pStyle w:val="28"/>
        <w:pageBreakBefore w:val="0"/>
        <w:kinsoku/>
        <w:wordWrap/>
        <w:overflowPunct/>
        <w:topLinePunct w:val="0"/>
        <w:bidi w:val="0"/>
        <w:adjustRightInd/>
        <w:spacing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12CFDFD">
      <w:pPr>
        <w:pStyle w:val="28"/>
        <w:pageBreakBefore w:val="0"/>
        <w:kinsoku/>
        <w:wordWrap/>
        <w:overflowPunct/>
        <w:topLinePunct w:val="0"/>
        <w:bidi w:val="0"/>
        <w:adjustRightInd/>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p>
    <w:p w14:paraId="37F01151">
      <w:pPr>
        <w:rPr>
          <w:rFonts w:ascii="Times New Roman" w:hAnsi="Times New Roman" w:cs="Times New Roman"/>
          <w:sz w:val="24"/>
          <w:szCs w:val="28"/>
        </w:rPr>
      </w:pP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3"/>
        <w:spacing w:before="312" w:after="312"/>
        <w:rPr>
          <w:rFonts w:hint="eastAsia" w:ascii="Times New Roman" w:hAnsi="Times New Roman" w:eastAsia="宋体" w:cs="Times New Roman"/>
        </w:rPr>
      </w:pPr>
      <w:bookmarkStart w:id="43" w:name="_Toc11819"/>
      <w:bookmarkStart w:id="44" w:name="_Toc6562"/>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响应文件胶装，商务技术文件、报价文件分别密封，正副本密封在同一密封袋，封口处须密封并加盖企业公章。</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最高投标限价人民币</w:t>
            </w:r>
            <w:r>
              <w:rPr>
                <w:rFonts w:hint="eastAsia" w:ascii="宋体" w:hAnsi="宋体" w:eastAsia="宋体" w:cs="宋体"/>
                <w:b/>
                <w:color w:val="auto"/>
                <w:sz w:val="21"/>
                <w:szCs w:val="21"/>
                <w:highlight w:val="yellow"/>
                <w:lang w:eastAsia="zh-CN"/>
              </w:rPr>
              <w:t>：</w:t>
            </w:r>
            <w:bookmarkStart w:id="172" w:name="_GoBack"/>
            <w:bookmarkEnd w:id="172"/>
            <w:r>
              <w:rPr>
                <w:rFonts w:hint="eastAsia" w:ascii="宋体" w:hAnsi="宋体" w:eastAsia="宋体" w:cs="宋体"/>
                <w:b/>
                <w:color w:val="auto"/>
                <w:sz w:val="21"/>
                <w:szCs w:val="21"/>
                <w:highlight w:val="yellow"/>
                <w:u w:val="single"/>
                <w:lang w:val="en-US" w:eastAsia="zh-CN"/>
              </w:rPr>
              <w:t>01包374万元（合肥管理处、芜湖中心、宁国管理处）；02包377万元（高界管理处）；03包365万元（阜阳管理处、六安北中心、蚌埠管理处、界阜蚌公司）；04包365万元（徐明公司、宿州管理处）</w:t>
            </w:r>
            <w:r>
              <w:rPr>
                <w:rFonts w:hint="eastAsia" w:ascii="宋体" w:hAnsi="宋体" w:eastAsia="宋体" w:cs="宋体"/>
                <w:b/>
                <w:color w:val="auto"/>
                <w:sz w:val="21"/>
                <w:szCs w:val="21"/>
                <w:highlight w:val="yellow"/>
                <w:u w:val="none"/>
                <w:lang w:val="en-US" w:eastAsia="zh-CN"/>
              </w:rPr>
              <w:t>。</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EFF0928">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是否要求供应商递交响应保证金：</w:t>
            </w:r>
          </w:p>
          <w:p w14:paraId="6088C991">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□不要求     ☑要求，</w:t>
            </w:r>
          </w:p>
          <w:p w14:paraId="3D3D1F32">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响应保证金的形式：第一类：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lang w:eastAsia="zh-CN"/>
              </w:rPr>
              <w:instrText xml:space="preserve">,</w:instrText>
            </w:r>
            <w:r>
              <w:rPr>
                <w:rFonts w:hint="eastAsia" w:ascii="宋体" w:hAnsi="宋体" w:eastAsia="宋体" w:cs="宋体"/>
                <w:color w:val="auto"/>
                <w:position w:val="2"/>
                <w:sz w:val="21"/>
                <w:szCs w:val="21"/>
                <w:lang w:eastAsia="zh-CN"/>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银行转账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银行电汇  </w:t>
            </w:r>
          </w:p>
          <w:p w14:paraId="09DD978E">
            <w:pPr>
              <w:pStyle w:val="7"/>
              <w:keepNext w:val="0"/>
              <w:keepLines w:val="0"/>
              <w:suppressLineNumbers w:val="0"/>
              <w:spacing w:before="0" w:beforeLines="0" w:beforeAutospacing="0" w:after="0" w:afterLines="0" w:afterAutospacing="0"/>
              <w:ind w:left="0" w:right="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响应保证金的金额：详见采购公告</w:t>
            </w:r>
            <w:r>
              <w:rPr>
                <w:rFonts w:hint="eastAsia" w:ascii="宋体" w:hAnsi="宋体" w:eastAsia="宋体" w:cs="宋体"/>
                <w:b/>
                <w:color w:val="auto"/>
                <w:sz w:val="21"/>
                <w:szCs w:val="21"/>
                <w:lang w:eastAsia="zh-CN"/>
              </w:rPr>
              <w:t>。</w:t>
            </w:r>
          </w:p>
          <w:p w14:paraId="7A1ABE59">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递交要求： </w:t>
            </w:r>
          </w:p>
          <w:p w14:paraId="1222CB32">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①投标保证金的到账截止时间：投标截止时间。</w:t>
            </w:r>
          </w:p>
          <w:p w14:paraId="574F482D">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yellow"/>
              </w:rPr>
              <w:t>②投标保证金应当从供应商账户转出</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不接受以个人名义或以现金形式提交的响应保证金。</w:t>
            </w:r>
          </w:p>
          <w:p w14:paraId="24477B65">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u w:val="single"/>
              </w:rPr>
            </w:pPr>
            <w:r>
              <w:rPr>
                <w:rFonts w:hint="eastAsia" w:ascii="宋体" w:hAnsi="宋体" w:eastAsia="宋体" w:cs="宋体"/>
                <w:color w:val="auto"/>
                <w:sz w:val="21"/>
                <w:szCs w:val="21"/>
              </w:rPr>
              <w:t>③转入的开户银行及账号见本项目招标公告所示。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5B3D4F8">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（1）中标候选人放弃中标候选人资格；</w:t>
            </w:r>
          </w:p>
          <w:p w14:paraId="66890F5A">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（2）供应商在投标过程中存在弄虚作假、与采购人或者其他供应商串通投标、以行贿谋取中标、无正当理由放弃中标以及进行恶意投诉等投标不良行为的；</w:t>
            </w:r>
          </w:p>
          <w:p w14:paraId="30CF9BB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2021</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”（网址：http://www.ahjggroup.com）“招标公告”栏目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2C67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A6BB22">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D28E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送样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F0D70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1.拟中标人须在采购人通知5日内送样经采购人确认，材质、颜色、效果等须和封样产品一致或经采购人同意优化后不低于上述要求。如所送样品不符合产品要求或在供应过程中达不到采购人要求的：</w:t>
            </w:r>
          </w:p>
          <w:p w14:paraId="716334B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1）采购人有权终止中标候选人资格，并没收投标保证金；按候选人公示顺延成交人或重新采购。</w:t>
            </w:r>
          </w:p>
          <w:p w14:paraId="6444B8D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2）采购人有权终止合同，并依据合同规定追究法律责任。</w:t>
            </w:r>
          </w:p>
          <w:p w14:paraId="1A028DD3">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3）采购人有权对拟中标人违约行为按照约定进行处罚。</w:t>
            </w:r>
          </w:p>
          <w:p w14:paraId="47ED8B8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yellow"/>
                <w:lang w:val="en-US" w:eastAsia="zh-CN"/>
              </w:rPr>
              <w:t>4）采购人有权将未完成的工程量移交给第三方实施，供应商应无条件配合相关移交工作。</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7ED555F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异议人或其他利害关系人对评标结果有异议的，应以书面形式提出，异议材料应包括：</w:t>
            </w:r>
          </w:p>
          <w:p w14:paraId="56ACDBD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（1）异议人的名称、地址及有效联系方式；</w:t>
            </w:r>
          </w:p>
          <w:p w14:paraId="3DCFF56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（2）异议事项的基本事实；</w:t>
            </w:r>
          </w:p>
          <w:p w14:paraId="012FE36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（3）有效线索和相关证明材料。</w:t>
            </w:r>
          </w:p>
          <w:p w14:paraId="16E0BA7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yellow"/>
                <w:lang w:val="en-US" w:eastAsia="zh-CN"/>
              </w:rPr>
            </w:pPr>
            <w:r>
              <w:rPr>
                <w:rFonts w:hint="eastAsia"/>
                <w:color w:val="auto"/>
                <w:sz w:val="22"/>
                <w:szCs w:val="21"/>
                <w:highlight w:val="yellow"/>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p w14:paraId="0F68E9E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2.异常低价或不平衡报价，采购人有权做废标处理。</w:t>
            </w:r>
          </w:p>
          <w:p w14:paraId="0B0878D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4.材料常规检测费用含在报价中，采购人不另外单独支付。</w:t>
            </w:r>
          </w:p>
        </w:tc>
      </w:tr>
    </w:tbl>
    <w:p w14:paraId="709811FB">
      <w:pPr>
        <w:rPr>
          <w:rFonts w:ascii="Times New Roman" w:hAnsi="Times New Roman" w:eastAsia="黑体" w:cs="Times New Roman"/>
          <w:bCs/>
          <w:sz w:val="24"/>
          <w:szCs w:val="32"/>
        </w:rPr>
      </w:pPr>
      <w:bookmarkStart w:id="45" w:name="_Toc26656938"/>
      <w:bookmarkStart w:id="46" w:name="_Toc14201207"/>
      <w:bookmarkStart w:id="47" w:name="_Toc9067720"/>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2C0E0BEE">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DC4EEEE">
      <w:pPr>
        <w:pStyle w:val="2"/>
        <w:spacing w:beforeLines="0" w:afterLines="0"/>
        <w:rPr>
          <w:rFonts w:hint="eastAsia"/>
          <w:sz w:val="21"/>
          <w:szCs w:val="24"/>
        </w:rPr>
      </w:pPr>
    </w:p>
    <w:p w14:paraId="0C63E4EF">
      <w:pPr>
        <w:pStyle w:val="2"/>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w:t>
      </w:r>
      <w:r>
        <w:rPr>
          <w:rFonts w:hint="eastAsia"/>
          <w:color w:val="auto"/>
          <w:sz w:val="24"/>
          <w:szCs w:val="24"/>
        </w:rPr>
        <w:t>（业绩最低要求）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18CC1C02">
            <w:pPr>
              <w:keepNext w:val="0"/>
              <w:keepLines w:val="0"/>
              <w:suppressLineNumbers w:val="0"/>
              <w:snapToGrid w:val="0"/>
              <w:spacing w:before="0" w:beforeLines="0" w:beforeAutospacing="0" w:after="0" w:afterLines="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供应商须同时具备：</w:t>
            </w:r>
          </w:p>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eastAsia="宋体" w:cs="宋体"/>
                <w:color w:val="auto"/>
                <w:sz w:val="21"/>
                <w:szCs w:val="21"/>
                <w:highlight w:val="yellow"/>
                <w:lang w:val="en-US" w:eastAsia="zh-CN"/>
              </w:rPr>
              <w:t>至少提供1个自2021年1月1日以来，单项合同额不低于100万元的家具供应合同业绩（每个业绩至少提供一张该项目的增值税发票或收到业主转账的收款凭证）。</w:t>
            </w:r>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2"/>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2"/>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08192E30">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25040CA6">
      <w:pPr>
        <w:spacing w:beforeLines="0" w:afterLines="0"/>
        <w:rPr>
          <w:rFonts w:hint="default"/>
          <w:sz w:val="21"/>
          <w:szCs w:val="24"/>
        </w:rPr>
      </w:pPr>
    </w:p>
    <w:p w14:paraId="5DDEA208">
      <w:pPr>
        <w:adjustRightInd w:val="0"/>
        <w:snapToGrid w:val="0"/>
        <w:spacing w:beforeLines="0" w:afterLines="0" w:line="300" w:lineRule="auto"/>
        <w:jc w:val="center"/>
        <w:outlineLvl w:val="1"/>
        <w:rPr>
          <w:rFonts w:hint="eastAsia" w:ascii="黑体" w:eastAsia="黑体"/>
          <w:color w:val="auto"/>
          <w:sz w:val="24"/>
          <w:szCs w:val="24"/>
        </w:rPr>
      </w:pPr>
      <w:r>
        <w:rPr>
          <w:rFonts w:hint="eastAsia" w:ascii="黑体" w:eastAsia="黑体"/>
          <w:color w:val="auto"/>
          <w:sz w:val="24"/>
          <w:szCs w:val="24"/>
        </w:rPr>
        <w:t>附录3     资格审查条件(财务最低要求)</w:t>
      </w:r>
    </w:p>
    <w:tbl>
      <w:tblPr>
        <w:tblStyle w:val="21"/>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4B12F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tcBorders>
              <w:top w:val="single" w:color="auto" w:sz="12" w:space="0"/>
              <w:left w:val="single" w:color="auto" w:sz="12" w:space="0"/>
              <w:bottom w:val="single" w:color="auto" w:sz="6" w:space="0"/>
              <w:right w:val="single" w:color="auto" w:sz="12" w:space="0"/>
              <w:tl2br w:val="nil"/>
              <w:tr2bl w:val="nil"/>
            </w:tcBorders>
            <w:noWrap w:val="0"/>
            <w:vAlign w:val="center"/>
          </w:tcPr>
          <w:p w14:paraId="0B32EAE7">
            <w:pPr>
              <w:keepNext w:val="0"/>
              <w:keepLines w:val="0"/>
              <w:suppressLineNumbers w:val="0"/>
              <w:adjustRightInd w:val="0"/>
              <w:snapToGrid w:val="0"/>
              <w:spacing w:before="0" w:beforeLines="0" w:beforeAutospacing="0" w:after="0" w:afterLines="0" w:afterAutospacing="0" w:line="300" w:lineRule="auto"/>
              <w:ind w:left="0" w:right="0" w:firstLine="482"/>
              <w:jc w:val="center"/>
              <w:rPr>
                <w:rFonts w:hint="default"/>
                <w:color w:val="auto"/>
                <w:sz w:val="24"/>
                <w:szCs w:val="24"/>
              </w:rPr>
            </w:pPr>
            <w:r>
              <w:rPr>
                <w:rFonts w:hint="eastAsia"/>
                <w:color w:val="auto"/>
                <w:sz w:val="24"/>
                <w:szCs w:val="24"/>
              </w:rPr>
              <w:t>财 务</w:t>
            </w:r>
            <w:r>
              <w:rPr>
                <w:rFonts w:hint="default"/>
                <w:color w:val="auto"/>
                <w:sz w:val="24"/>
                <w:szCs w:val="24"/>
              </w:rPr>
              <w:t xml:space="preserve"> </w:t>
            </w:r>
            <w:r>
              <w:rPr>
                <w:rFonts w:hint="eastAsia"/>
                <w:color w:val="auto"/>
                <w:sz w:val="24"/>
                <w:szCs w:val="24"/>
              </w:rPr>
              <w:t>要 求</w:t>
            </w:r>
          </w:p>
        </w:tc>
      </w:tr>
      <w:tr w14:paraId="689D1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tcBorders>
              <w:top w:val="single" w:color="auto" w:sz="6" w:space="0"/>
              <w:left w:val="single" w:color="auto" w:sz="12" w:space="0"/>
              <w:bottom w:val="single" w:color="auto" w:sz="12" w:space="0"/>
              <w:right w:val="single" w:color="auto" w:sz="12" w:space="0"/>
              <w:tl2br w:val="nil"/>
              <w:tr2bl w:val="nil"/>
            </w:tcBorders>
            <w:noWrap w:val="0"/>
            <w:vAlign w:val="center"/>
          </w:tcPr>
          <w:p w14:paraId="26BF1827">
            <w:pPr>
              <w:keepNext w:val="0"/>
              <w:keepLines w:val="0"/>
              <w:suppressLineNumbers w:val="0"/>
              <w:snapToGrid w:val="0"/>
              <w:spacing w:before="0" w:beforeLines="0" w:beforeAutospacing="0" w:after="0" w:afterLines="0" w:afterAutospacing="0"/>
              <w:ind w:left="0" w:right="0"/>
              <w:jc w:val="left"/>
              <w:rPr>
                <w:rFonts w:hint="eastAsia"/>
                <w:color w:val="auto"/>
                <w:sz w:val="24"/>
                <w:szCs w:val="21"/>
              </w:rPr>
            </w:pPr>
            <w:r>
              <w:rPr>
                <w:rFonts w:hint="eastAsia"/>
                <w:color w:val="auto"/>
                <w:sz w:val="21"/>
                <w:szCs w:val="21"/>
              </w:rPr>
              <w:t>无</w:t>
            </w:r>
          </w:p>
        </w:tc>
      </w:tr>
    </w:tbl>
    <w:p w14:paraId="57C1F01B">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6533D52">
      <w:pPr>
        <w:spacing w:beforeLines="0" w:afterLines="0"/>
        <w:jc w:val="center"/>
        <w:outlineLvl w:val="1"/>
        <w:rPr>
          <w:rFonts w:hint="default"/>
          <w:color w:val="auto"/>
          <w:sz w:val="24"/>
          <w:szCs w:val="24"/>
        </w:rPr>
      </w:pPr>
      <w:r>
        <w:rPr>
          <w:rFonts w:hint="eastAsia" w:ascii="黑体" w:eastAsia="黑体"/>
          <w:color w:val="auto"/>
          <w:sz w:val="24"/>
          <w:szCs w:val="24"/>
        </w:rPr>
        <w:br w:type="page"/>
      </w:r>
      <w:r>
        <w:rPr>
          <w:rFonts w:hint="eastAsia" w:ascii="黑体" w:eastAsia="黑体"/>
          <w:color w:val="auto"/>
          <w:sz w:val="24"/>
          <w:szCs w:val="24"/>
        </w:rPr>
        <w:t>附录</w:t>
      </w:r>
      <w:r>
        <w:rPr>
          <w:rFonts w:hint="eastAsia" w:eastAsia="黑体"/>
          <w:color w:val="auto"/>
          <w:sz w:val="24"/>
          <w:szCs w:val="24"/>
        </w:rPr>
        <w:t>4</w:t>
      </w:r>
      <w:r>
        <w:rPr>
          <w:rFonts w:hint="eastAsia" w:ascii="黑体" w:eastAsia="黑体"/>
          <w:color w:val="auto"/>
          <w:sz w:val="24"/>
          <w:szCs w:val="24"/>
        </w:rPr>
        <w:t>资格审查条件</w:t>
      </w:r>
      <w:r>
        <w:rPr>
          <w:rFonts w:hint="eastAsia"/>
          <w:color w:val="auto"/>
          <w:sz w:val="24"/>
          <w:szCs w:val="24"/>
        </w:rPr>
        <w:t>（信誉最低要求）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26656941"/>
      <w:bookmarkStart w:id="51" w:name="_Toc14201210"/>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14201211"/>
      <w:bookmarkStart w:id="53" w:name="_Toc26656942"/>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14201212"/>
      <w:bookmarkStart w:id="55" w:name="_Toc2665694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26656944"/>
      <w:bookmarkStart w:id="57" w:name="_Toc1420121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14201215"/>
      <w:bookmarkStart w:id="59" w:name="_Toc2665694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14201216"/>
      <w:bookmarkStart w:id="61" w:name="_Toc26656947"/>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26656949"/>
      <w:bookmarkStart w:id="63" w:name="_Toc14201218"/>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14201219"/>
      <w:bookmarkStart w:id="65" w:name="_Toc26656950"/>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9067721"/>
      <w:bookmarkStart w:id="67" w:name="_Toc14201220"/>
      <w:bookmarkStart w:id="68" w:name="_Toc26656951"/>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14201221"/>
      <w:bookmarkStart w:id="70" w:name="_Toc26656952"/>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26656953"/>
      <w:bookmarkStart w:id="72" w:name="_Toc14201222"/>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26656956"/>
      <w:bookmarkStart w:id="74" w:name="_Toc9067722"/>
      <w:bookmarkStart w:id="75" w:name="_Toc14201225"/>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26656957"/>
      <w:bookmarkStart w:id="77" w:name="_Toc14201226"/>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14201227"/>
      <w:bookmarkStart w:id="79" w:name="_Toc26656958"/>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lang w:eastAsia="zh-CN"/>
        </w:rPr>
        <w:t>（</w:t>
      </w:r>
      <w:r>
        <w:rPr>
          <w:rFonts w:hint="eastAsia" w:ascii="Times New Roman" w:hAnsi="Times New Roman"/>
          <w:color w:val="auto"/>
          <w:sz w:val="21"/>
          <w:szCs w:val="24"/>
          <w:lang w:val="en-US" w:eastAsia="zh-CN"/>
        </w:rPr>
        <w:t>1</w:t>
      </w:r>
      <w:r>
        <w:rPr>
          <w:rFonts w:hint="eastAsia" w:ascii="Times New Roman" w:hAnsi="Times New Roman"/>
          <w:color w:val="auto"/>
          <w:sz w:val="21"/>
          <w:szCs w:val="24"/>
          <w:lang w:eastAsia="zh-CN"/>
        </w:rPr>
        <w:t>）</w:t>
      </w:r>
      <w:r>
        <w:rPr>
          <w:rFonts w:hint="eastAsia" w:ascii="Times New Roman" w:hAnsi="Times New Roman"/>
          <w:color w:val="auto"/>
          <w:sz w:val="21"/>
          <w:szCs w:val="24"/>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（6）供货方案；</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（7）技术性能（质量）指标描述</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（8）承诺书</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（9）其他材料。</w:t>
      </w:r>
    </w:p>
    <w:p w14:paraId="6C686A55">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26656959"/>
      <w:bookmarkStart w:id="81" w:name="_Toc14201228"/>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26656960"/>
      <w:bookmarkStart w:id="83" w:name="_Toc14201229"/>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14201232"/>
      <w:bookmarkStart w:id="87" w:name="_Toc26656963"/>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26656964"/>
      <w:bookmarkStart w:id="89" w:name="_Toc9067723"/>
      <w:bookmarkStart w:id="90" w:name="_Toc1420123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26656966"/>
      <w:bookmarkStart w:id="94" w:name="_Toc14201235"/>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w:t>
      </w:r>
      <w:r>
        <w:rPr>
          <w:rFonts w:hint="eastAsia" w:ascii="Times New Roman" w:hAnsi="Times New Roman" w:eastAsia="黑体" w:cs="黑体"/>
          <w:b/>
          <w:snapToGrid w:val="0"/>
          <w:kern w:val="0"/>
          <w:sz w:val="21"/>
          <w:szCs w:val="21"/>
          <w:highlight w:val="yellow"/>
          <w:u w:val="single"/>
          <w:lang w:val="en-US" w:eastAsia="zh-CN"/>
        </w:rPr>
        <w:t xml:space="preserve">     </w:t>
      </w:r>
      <w:r>
        <w:rPr>
          <w:rFonts w:hint="eastAsia" w:ascii="Times New Roman" w:hAnsi="Times New Roman" w:eastAsia="黑体" w:cs="黑体"/>
          <w:b/>
          <w:snapToGrid w:val="0"/>
          <w:kern w:val="0"/>
          <w:sz w:val="21"/>
          <w:szCs w:val="21"/>
          <w:highlight w:val="yellow"/>
          <w:u w:val="none"/>
          <w:lang w:val="en-US" w:eastAsia="zh-CN"/>
        </w:rPr>
        <w:t>包</w:t>
      </w:r>
      <w:r>
        <w:rPr>
          <w:rFonts w:hint="eastAsia" w:ascii="Times New Roman" w:hAnsi="Times New Roman" w:eastAsia="黑体" w:cs="黑体"/>
          <w:b/>
          <w:snapToGrid w:val="0"/>
          <w:kern w:val="0"/>
          <w:sz w:val="21"/>
          <w:szCs w:val="21"/>
          <w:highlight w:val="yellow"/>
          <w:lang w:val="en-US" w:eastAsia="zh-CN"/>
        </w:rPr>
        <w:t xml:space="preserve"> </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w:t>
      </w:r>
      <w:r>
        <w:rPr>
          <w:rFonts w:hint="eastAsia" w:ascii="Times New Roman" w:hAnsi="Times New Roman" w:eastAsia="黑体" w:cs="黑体"/>
          <w:b/>
          <w:snapToGrid w:val="0"/>
          <w:kern w:val="0"/>
          <w:sz w:val="21"/>
          <w:szCs w:val="21"/>
          <w:highlight w:val="yellow"/>
          <w:u w:val="single"/>
          <w:lang w:val="en-US" w:eastAsia="zh-CN"/>
        </w:rPr>
        <w:t xml:space="preserve">     </w:t>
      </w:r>
      <w:r>
        <w:rPr>
          <w:rFonts w:hint="eastAsia" w:ascii="Times New Roman" w:hAnsi="Times New Roman" w:eastAsia="黑体" w:cs="黑体"/>
          <w:b/>
          <w:snapToGrid w:val="0"/>
          <w:kern w:val="0"/>
          <w:sz w:val="21"/>
          <w:szCs w:val="21"/>
          <w:highlight w:val="yellow"/>
          <w:lang w:val="en-US" w:eastAsia="zh-CN"/>
        </w:rPr>
        <w:t>包</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9067724"/>
      <w:bookmarkStart w:id="96" w:name="_Toc14201237"/>
      <w:bookmarkStart w:id="97" w:name="_Toc26656968"/>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14201238"/>
      <w:bookmarkStart w:id="99" w:name="_Toc26656969"/>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26656970"/>
      <w:bookmarkStart w:id="101" w:name="_Toc14201239"/>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9067725"/>
      <w:bookmarkStart w:id="103" w:name="_Toc14201241"/>
      <w:bookmarkStart w:id="104" w:name="_Toc26656972"/>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14201242"/>
      <w:bookmarkStart w:id="106" w:name="_Toc26656973"/>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14201244"/>
      <w:bookmarkStart w:id="108" w:name="_Toc26656975"/>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26656976"/>
      <w:bookmarkStart w:id="110" w:name="_Toc14201245"/>
      <w:bookmarkStart w:id="111" w:name="_Toc9067726"/>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26656977"/>
      <w:bookmarkStart w:id="113" w:name="_Toc14201246"/>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26656978"/>
      <w:bookmarkStart w:id="115" w:name="_Toc14201247"/>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26656979"/>
      <w:bookmarkStart w:id="117" w:name="_Toc14201248"/>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14201250"/>
      <w:bookmarkStart w:id="119" w:name="_Toc26656981"/>
      <w:r>
        <w:rPr>
          <w:rFonts w:hint="eastAsia" w:ascii="Times New Roman" w:hAnsi="Times New Roman" w:eastAsia="Times New Roman"/>
          <w:color w:val="auto"/>
          <w:sz w:val="24"/>
          <w:szCs w:val="32"/>
        </w:rPr>
        <w:t>7.</w:t>
      </w:r>
      <w:bookmarkEnd w:id="118"/>
      <w:bookmarkEnd w:id="119"/>
      <w:bookmarkStart w:id="120" w:name="_Toc26656983"/>
      <w:bookmarkStart w:id="121" w:name="_Toc14201252"/>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26656984"/>
      <w:bookmarkStart w:id="123"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26656988"/>
      <w:bookmarkStart w:id="125" w:name="_Toc14201257"/>
      <w:bookmarkStart w:id="126" w:name="_Toc906772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26656993"/>
      <w:bookmarkStart w:id="128" w:name="_Toc14201262"/>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9067731"/>
      <w:bookmarkStart w:id="130" w:name="_Toc26656994"/>
      <w:bookmarkStart w:id="131" w:name="_Toc14201263"/>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ACF8969">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14:paraId="63EFC54A">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14:paraId="34AA0C2D">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14:paraId="0FF253CE">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14:paraId="0DB7FB5F">
      <w:pPr>
        <w:spacing w:beforeLines="0" w:afterLines="0" w:line="440" w:lineRule="exact"/>
        <w:ind w:firstLine="2520" w:firstLineChars="1200"/>
        <w:rPr>
          <w:rFonts w:hint="eastAsia" w:ascii="Times New Roman" w:hAnsi="Times New Roman" w:eastAsia="Times New Roman"/>
          <w:sz w:val="21"/>
          <w:szCs w:val="21"/>
        </w:rPr>
      </w:pPr>
    </w:p>
    <w:p w14:paraId="00833DEB">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14:paraId="1F9DC62C">
      <w:pPr>
        <w:spacing w:beforeLines="0" w:afterLines="0" w:line="440" w:lineRule="exact"/>
        <w:rPr>
          <w:rFonts w:hint="eastAsia" w:ascii="Times New Roman" w:hAnsi="Times New Roman" w:eastAsia="Times New Roman"/>
          <w:sz w:val="21"/>
          <w:szCs w:val="21"/>
        </w:rPr>
      </w:pPr>
    </w:p>
    <w:p w14:paraId="2378999D">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14:paraId="064A1B8D">
      <w:pPr>
        <w:spacing w:beforeLines="0" w:afterLines="0" w:line="440" w:lineRule="exact"/>
        <w:rPr>
          <w:rFonts w:hint="eastAsia" w:ascii="Times New Roman" w:hAnsi="Times New Roman" w:eastAsia="Times New Roman"/>
          <w:sz w:val="21"/>
          <w:szCs w:val="21"/>
        </w:rPr>
      </w:pPr>
    </w:p>
    <w:p w14:paraId="12AB99EB">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4F73E90">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14:paraId="1BF565E9">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4DCA5ED">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26FB6586">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559E004A">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14:paraId="0329D14B">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14:paraId="70FD4C13">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33D1DCDF">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00E2B781">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7C83D070">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28C71D41">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14:paraId="63C0A577">
      <w:pPr>
        <w:pStyle w:val="8"/>
        <w:spacing w:beforeLines="0" w:afterLines="0"/>
        <w:ind w:firstLine="0"/>
        <w:rPr>
          <w:rFonts w:hint="eastAsia" w:ascii="Times New Roman" w:hAnsi="Times New Roman" w:eastAsia="Times New Roman"/>
          <w:sz w:val="21"/>
          <w:szCs w:val="20"/>
        </w:rPr>
      </w:pPr>
    </w:p>
    <w:p w14:paraId="1A5AEADB">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5C1974D1">
      <w:pPr>
        <w:pStyle w:val="3"/>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3802"/>
      <w:bookmarkStart w:id="134" w:name="_Toc15674"/>
      <w:r>
        <w:rPr>
          <w:rFonts w:hint="eastAsia" w:ascii="Times New Roman" w:hAnsi="Times New Roman" w:eastAsia="宋体"/>
          <w:sz w:val="36"/>
          <w:szCs w:val="44"/>
        </w:rPr>
        <w:t>评审办法</w:t>
      </w:r>
      <w:bookmarkEnd w:id="133"/>
      <w:bookmarkEnd w:id="134"/>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5" w:name="_Toc3834"/>
      <w:bookmarkStart w:id="136" w:name="_Toc152042304"/>
      <w:bookmarkStart w:id="137" w:name="_Toc144974496"/>
      <w:bookmarkStart w:id="138" w:name="_Toc447808662"/>
      <w:bookmarkStart w:id="139" w:name="_Toc152045528"/>
      <w:bookmarkStart w:id="140" w:name="_Toc14847"/>
      <w:bookmarkStart w:id="141" w:name="_Toc457482536"/>
      <w:bookmarkStart w:id="142"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2"/>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2"/>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99A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（1）评标价计算公式： </w:t>
            </w:r>
          </w:p>
          <w:p w14:paraId="5248BE1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14:paraId="7480FD6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（2）评标价平均值 Bi 的计算： </w:t>
            </w:r>
          </w:p>
          <w:p w14:paraId="37AB903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 </w:t>
            </w:r>
          </w:p>
          <w:p w14:paraId="2E65837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的评审结果，并开启进入第二个信封评审的投标人的报价文件。 </w:t>
            </w:r>
          </w:p>
          <w:p w14:paraId="3DF477D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除按第二章“投标人须知”规定开标现场被宣布为不 </w:t>
            </w:r>
          </w:p>
          <w:p w14:paraId="31443F6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进入评标基准价计算的投标报价之外，投标人的评标价的算术平均 </w:t>
            </w:r>
          </w:p>
          <w:p w14:paraId="6E3378C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值为评标价平均值 Bi。 </w:t>
            </w:r>
          </w:p>
          <w:p w14:paraId="3B4F916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14:paraId="4743322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如投标人的评标价低于评标价平均值的</w:t>
            </w:r>
            <w:r>
              <w:rPr>
                <w:rFonts w:hint="eastAsia" w:ascii="宋体" w:hAnsi="宋体" w:cs="宋体"/>
                <w:color w:val="000000"/>
                <w:kern w:val="0"/>
                <w:sz w:val="22"/>
                <w:szCs w:val="22"/>
                <w:lang w:val="en-US" w:eastAsia="zh-CN" w:bidi="ar"/>
              </w:rPr>
              <w:t>90</w:t>
            </w:r>
            <w:r>
              <w:rPr>
                <w:rFonts w:hint="eastAsia" w:ascii="宋体" w:hAnsi="宋体" w:cs="宋体"/>
                <w:color w:val="000000"/>
                <w:kern w:val="0"/>
                <w:sz w:val="22"/>
                <w:szCs w:val="22"/>
                <w:lang w:bidi="ar"/>
              </w:rPr>
              <w:t xml:space="preserve">%时，采购人可以在评标现场要求该投标人作出情况说明并提供相应降低工程造价的相关证明材料，参照附表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55D3207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14:paraId="0B93A88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14:paraId="7FC45D6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14:paraId="19D8E6D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14:paraId="23AFB4D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55EE997">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2"/>
                <w:szCs w:val="22"/>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2"/>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2"/>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2"/>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2021 年 1月1 日以来（以合同签订时间为准），除供应商资审条件要求的业绩得20分，近三年来具有</w:t>
            </w:r>
            <w:r>
              <w:rPr>
                <w:rFonts w:hint="eastAsia" w:ascii="宋体" w:hAnsi="宋体" w:cs="宋体"/>
                <w:sz w:val="21"/>
                <w:szCs w:val="24"/>
                <w:highlight w:val="none"/>
                <w:lang w:val="en-US" w:eastAsia="zh-CN"/>
              </w:rPr>
              <w:t>100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家具</w:t>
            </w:r>
            <w:r>
              <w:rPr>
                <w:rFonts w:hint="eastAsia" w:ascii="宋体" w:hAnsi="宋体" w:cs="宋体"/>
                <w:sz w:val="21"/>
                <w:szCs w:val="24"/>
                <w:highlight w:val="none"/>
              </w:rPr>
              <w:t>供应的业绩，每多提供一个业绩得5分，满分40分。</w:t>
            </w:r>
          </w:p>
          <w:p w14:paraId="476E4F0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lang w:val="en-US" w:eastAsia="zh-CN"/>
              </w:rPr>
            </w:pPr>
            <w:r>
              <w:rPr>
                <w:rFonts w:hint="eastAsia" w:ascii="宋体" w:hAnsi="宋体" w:cs="宋体"/>
                <w:sz w:val="21"/>
                <w:szCs w:val="24"/>
              </w:rPr>
              <w:t>（1）业绩合同应提供包含项目名称、合同总金额、合同签订时间、合同签字盖章页等关键内容的关键页的扫描件；</w:t>
            </w:r>
            <w:r>
              <w:rPr>
                <w:rFonts w:hint="eastAsia" w:ascii="宋体" w:hAnsi="宋体" w:cs="宋体"/>
                <w:sz w:val="21"/>
                <w:szCs w:val="24"/>
                <w:highlight w:val="yellow"/>
                <w:lang w:val="en-US" w:eastAsia="zh-CN"/>
              </w:rPr>
              <w:t>（每个业绩至少提供一张该项目的增值税发票或收到业主转账的收款凭证，未提供，该业绩无效）</w:t>
            </w:r>
          </w:p>
          <w:p w14:paraId="180CA637">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企业实力：</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49D74">
            <w:pPr>
              <w:pStyle w:val="13"/>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lang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2"/>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13"/>
              <w:rPr>
                <w:rFonts w:hint="eastAsia"/>
              </w:rPr>
            </w:pPr>
            <w:r>
              <w:rPr>
                <w:rFonts w:hint="eastAsia" w:ascii="宋体" w:hAnsi="宋体" w:cs="宋体"/>
                <w:color w:val="auto"/>
                <w:sz w:val="21"/>
                <w:szCs w:val="24"/>
                <w:lang w:val="en-US" w:eastAsia="zh-CN"/>
              </w:rPr>
              <w:t>根据投标人售后服务方案及增值服务进行综合评审。评委综合评分，优秀的得8-6分；一般的得5-3分，较差得基础分2分，未提供不得分。</w:t>
            </w:r>
          </w:p>
        </w:tc>
      </w:tr>
    </w:tbl>
    <w:p w14:paraId="72B12F8A">
      <w:pPr>
        <w:pStyle w:val="2"/>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2"/>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2"/>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2"/>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2"/>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2"/>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10B8C232">
      <w:pPr>
        <w:pStyle w:val="2"/>
        <w:spacing w:beforeLines="0" w:afterLines="0"/>
        <w:rPr>
          <w:rFonts w:hint="default"/>
          <w:sz w:val="21"/>
          <w:szCs w:val="24"/>
        </w:rPr>
      </w:pPr>
    </w:p>
    <w:p w14:paraId="46F8D6C0">
      <w:pPr>
        <w:pStyle w:val="3"/>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14:paraId="04E5D6EB">
      <w:pPr>
        <w:spacing w:beforeLines="0" w:afterLines="0"/>
        <w:jc w:val="center"/>
        <w:rPr>
          <w:rFonts w:hint="eastAsia" w:ascii="Times New Roman" w:hAnsi="Times New Roman" w:eastAsia="Times New Roman"/>
          <w:sz w:val="28"/>
          <w:szCs w:val="24"/>
        </w:rPr>
      </w:pPr>
      <w:bookmarkStart w:id="144" w:name="_Toc12005"/>
      <w:bookmarkStart w:id="145" w:name="_Toc447808679"/>
      <w:bookmarkStart w:id="146" w:name="_Toc16698_WPSOffice_Level2"/>
      <w:r>
        <w:rPr>
          <w:rFonts w:hint="eastAsia" w:ascii="Times New Roman" w:hAnsi="Times New Roman" w:eastAsia="Times New Roman"/>
          <w:sz w:val="28"/>
          <w:szCs w:val="24"/>
        </w:rPr>
        <w:br w:type="page"/>
      </w:r>
    </w:p>
    <w:bookmarkEnd w:id="144"/>
    <w:bookmarkEnd w:id="145"/>
    <w:bookmarkEnd w:id="146"/>
    <w:p w14:paraId="75A0213E">
      <w:pPr>
        <w:spacing w:beforeLines="0" w:afterLines="0" w:line="560" w:lineRule="exact"/>
        <w:jc w:val="center"/>
        <w:rPr>
          <w:rFonts w:hint="eastAsia" w:ascii="宋体" w:hAnsi="宋体" w:cs="宋体"/>
          <w:color w:val="auto"/>
          <w:sz w:val="44"/>
          <w:szCs w:val="44"/>
        </w:rPr>
      </w:pPr>
      <w:bookmarkStart w:id="147" w:name="_bookmark259"/>
      <w:bookmarkEnd w:id="147"/>
      <w:bookmarkStart w:id="148" w:name="_Toc15683"/>
      <w:bookmarkStart w:id="149" w:name="_Toc27778"/>
      <w:bookmarkStart w:id="150" w:name="_Toc189369362"/>
      <w:bookmarkStart w:id="151" w:name="_Toc19416"/>
      <w:bookmarkStart w:id="152" w:name="_Toc11084"/>
      <w:bookmarkStart w:id="153" w:name="_Toc22022"/>
      <w:permStart w:id="0" w:edGrp="everyone"/>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permEnd w:id="0"/>
      <w:r>
        <w:rPr>
          <w:rFonts w:hint="eastAsia" w:ascii="方正小标宋简体" w:hAnsi="方正小标宋简体" w:eastAsia="方正小标宋简体" w:cs="方正小标宋简体"/>
          <w:color w:val="auto"/>
          <w:sz w:val="44"/>
          <w:szCs w:val="44"/>
        </w:rPr>
        <w:t>采购及安装合同</w:t>
      </w:r>
    </w:p>
    <w:p w14:paraId="4C1B384B">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33F78EF1">
      <w:pPr>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安徽省经工物资有限公司</w:t>
      </w:r>
      <w:permEnd w:id="1"/>
      <w:r>
        <w:rPr>
          <w:rFonts w:hint="eastAsia" w:ascii="仿宋_GB2312" w:hAnsi="仿宋_GB2312" w:eastAsia="仿宋_GB2312" w:cs="仿宋_GB2312"/>
          <w:color w:val="auto"/>
          <w:sz w:val="28"/>
          <w:szCs w:val="28"/>
        </w:rPr>
        <w:t>（以下简称甲方）</w:t>
      </w:r>
    </w:p>
    <w:p w14:paraId="444EC87C">
      <w:pPr>
        <w:tabs>
          <w:tab w:val="left" w:pos="5370"/>
        </w:tabs>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乙方（供应方）：</w:t>
      </w:r>
      <w:permStart w:id="2" w:edGrp="everyone"/>
      <w:r>
        <w:rPr>
          <w:rFonts w:hint="eastAsia" w:ascii="仿宋_GB2312" w:hAnsi="仿宋_GB2312" w:eastAsia="仿宋_GB2312" w:cs="仿宋_GB2312"/>
          <w:color w:val="auto"/>
          <w:sz w:val="28"/>
          <w:szCs w:val="28"/>
          <w:u w:val="single"/>
        </w:rPr>
        <w:t xml:space="preserve">                      </w:t>
      </w:r>
      <w:permEnd w:id="2"/>
      <w:r>
        <w:rPr>
          <w:rFonts w:hint="eastAsia" w:ascii="仿宋_GB2312" w:hAnsi="仿宋_GB2312" w:eastAsia="仿宋_GB2312" w:cs="仿宋_GB2312"/>
          <w:color w:val="auto"/>
          <w:sz w:val="28"/>
          <w:szCs w:val="28"/>
        </w:rPr>
        <w:t xml:space="preserve">（以下简称乙方）  </w:t>
      </w:r>
    </w:p>
    <w:p w14:paraId="1ED8ED7F">
      <w:pPr>
        <w:widowControl/>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依据《中华人民共和国民法典》及有关规定，甲、乙双方经过友好协商，现就甲方向乙方购买</w:t>
      </w:r>
      <w:permStart w:id="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permEnd w:id="3"/>
      <w:r>
        <w:rPr>
          <w:rFonts w:hint="eastAsia" w:ascii="仿宋_GB2312" w:hAnsi="仿宋_GB2312" w:eastAsia="仿宋_GB2312" w:cs="仿宋_GB2312"/>
          <w:color w:val="auto"/>
          <w:sz w:val="28"/>
          <w:szCs w:val="28"/>
        </w:rPr>
        <w:t>项目有关事宜，达成如下一致条款，以资双方共同遵照执行：</w:t>
      </w:r>
    </w:p>
    <w:p w14:paraId="0EC82EC5">
      <w:pPr>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23D6251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permStart w:id="4"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permEnd w:id="4"/>
      <w:r>
        <w:rPr>
          <w:rFonts w:hint="eastAsia" w:ascii="仿宋_GB2312" w:hAnsi="仿宋_GB2312" w:eastAsia="仿宋_GB2312" w:cs="仿宋_GB2312"/>
          <w:color w:val="auto"/>
          <w:sz w:val="28"/>
          <w:szCs w:val="28"/>
        </w:rPr>
        <w:t>）。</w:t>
      </w:r>
    </w:p>
    <w:p w14:paraId="7069263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912AE23">
      <w:pPr>
        <w:spacing w:beforeLines="0" w:afterLines="0" w:line="52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7669868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1.交货方式：乙方负责运送至甲方指定地点并安装结束。</w:t>
      </w:r>
    </w:p>
    <w:p w14:paraId="3D8D052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2.交货地点：甲方指定地点，乙方负责运送至甲方指定现场，并按甲方指定地点卸货，货物在安装验收合格并交付给甲方前的毁损、灭失，损失由乙方全额承担。</w:t>
      </w:r>
    </w:p>
    <w:p w14:paraId="2C188B1F">
      <w:pPr>
        <w:widowControl/>
        <w:wordWrap w:val="0"/>
        <w:topLinePunct/>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5"/>
      <w:r>
        <w:rPr>
          <w:rFonts w:hint="eastAsia" w:ascii="仿宋_GB2312" w:hAnsi="仿宋_GB2312" w:eastAsia="仿宋_GB2312" w:cs="仿宋_GB2312"/>
          <w:color w:val="auto"/>
          <w:sz w:val="28"/>
          <w:szCs w:val="28"/>
        </w:rPr>
        <w:t>甲方以上述任一方式发出的通知均为合法有效的通知。</w:t>
      </w:r>
    </w:p>
    <w:p w14:paraId="3BBF6CC8">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006DB32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1.乙方按约将货物送至现场后，需将货物卸至甲方指定地点，安装结束并经甲方签收确认，甲方指定</w:t>
      </w:r>
      <w:permStart w:id="6"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6"/>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FC24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3331E05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7DDB6A5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6A4FB30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5A32277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permStart w:id="7" w:edGrp="everyone"/>
      <w:r>
        <w:rPr>
          <w:rFonts w:hint="eastAsia" w:ascii="仿宋_GB2312" w:hAnsi="仿宋_GB2312" w:eastAsia="仿宋_GB2312" w:cs="仿宋_GB2312"/>
          <w:color w:val="auto"/>
          <w:sz w:val="28"/>
          <w:szCs w:val="28"/>
          <w:u w:val="single"/>
        </w:rPr>
        <w:t xml:space="preserve">  2  </w:t>
      </w:r>
      <w:permEnd w:id="7"/>
      <w:r>
        <w:rPr>
          <w:rFonts w:hint="eastAsia" w:ascii="仿宋_GB2312" w:hAnsi="仿宋_GB2312" w:eastAsia="仿宋_GB2312" w:cs="仿宋_GB2312"/>
          <w:color w:val="auto"/>
          <w:sz w:val="28"/>
          <w:szCs w:val="28"/>
        </w:rPr>
        <w:t>年，质量保证期（以下简称质保期）为交工验收合格后</w:t>
      </w:r>
      <w:permStart w:id="8" w:edGrp="everyone"/>
      <w:r>
        <w:rPr>
          <w:rFonts w:hint="eastAsia" w:ascii="仿宋_GB2312" w:hAnsi="仿宋_GB2312" w:eastAsia="仿宋_GB2312" w:cs="仿宋_GB2312"/>
          <w:color w:val="auto"/>
          <w:sz w:val="28"/>
          <w:szCs w:val="28"/>
          <w:u w:val="single"/>
        </w:rPr>
        <w:t xml:space="preserve">  2  </w:t>
      </w:r>
      <w:permEnd w:id="8"/>
      <w:r>
        <w:rPr>
          <w:rFonts w:hint="eastAsia" w:ascii="仿宋_GB2312" w:hAnsi="仿宋_GB2312" w:eastAsia="仿宋_GB2312" w:cs="仿宋_GB2312"/>
          <w:color w:val="auto"/>
          <w:sz w:val="28"/>
          <w:szCs w:val="28"/>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D4F9D1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1E5AC2A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2395341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3DF5B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28A3288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第五条  价款结算及付款方式</w:t>
      </w:r>
    </w:p>
    <w:p w14:paraId="0DBB2209">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permStart w:id="9" w:edGrp="everyone"/>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当供货金额达到合同金额的50%，并且货到工地安装结束经甲方指定签收人验收合格并签收，办理第一批货款支付，支付已供货物价款的70%。</w:t>
      </w:r>
    </w:p>
    <w:p w14:paraId="0638FDAC">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2.产品全部供货并安装结束，经现场甲方指定验收人验收合格并办理完成结算手续后，甲方向乙方支付至结算价的97%。</w:t>
      </w:r>
    </w:p>
    <w:p w14:paraId="7BD51EB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.甲方预留最终审定金额的</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%作为质保金，在缺陷责任期后无质量问题一次性无息支付。</w:t>
      </w:r>
    </w:p>
    <w:p w14:paraId="4AD0B5E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BDA613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5.乙方提供符合采购人财务要求的国家税务局13%增值税专用发票后办理结算，发票需要做到“三流一致”，也即“货物、劳务及应税服务流”、“资金流”、“发票流”必须都是同一受票方。</w:t>
      </w:r>
    </w:p>
    <w:permEnd w:id="9"/>
    <w:p w14:paraId="14090254">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4A5DF2B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67DC01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1267FA0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96FC00F">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14:paraId="164603DC">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14:paraId="2BB0801E">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6D6577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594AA0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782472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71AD1A2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1B6AF8CB">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14:paraId="46817A4E">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657EB219">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63119B52">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2C9985C9">
      <w:pPr>
        <w:pStyle w:val="2"/>
        <w:spacing w:beforeLines="0" w:after="0" w:afterLines="0" w:line="520" w:lineRule="exact"/>
        <w:ind w:firstLine="560" w:firstLineChars="200"/>
        <w:rPr>
          <w:rFonts w:hint="eastAsia"/>
          <w:color w:val="auto"/>
          <w:sz w:val="21"/>
          <w:szCs w:val="24"/>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D2EEA1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57DF2963">
      <w:pPr>
        <w:pStyle w:val="20"/>
        <w:spacing w:beforeLines="0" w:after="0" w:afterLines="0" w:line="52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66238E3B">
      <w:pPr>
        <w:pStyle w:val="20"/>
        <w:spacing w:beforeLines="0" w:after="0" w:afterLines="0" w:line="52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1F3BE02">
      <w:pPr>
        <w:spacing w:beforeLines="0" w:afterLines="0" w:line="52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09CC5083">
      <w:pPr>
        <w:spacing w:beforeLines="0" w:afterLines="0" w:line="520" w:lineRule="exact"/>
        <w:rPr>
          <w:rFonts w:hint="eastAsia"/>
          <w:sz w:val="21"/>
          <w:szCs w:val="24"/>
        </w:rPr>
      </w:pPr>
    </w:p>
    <w:p w14:paraId="2A03A5CA">
      <w:pPr>
        <w:pStyle w:val="2"/>
        <w:spacing w:beforeLines="0" w:after="0" w:afterLines="0" w:line="520" w:lineRule="exact"/>
        <w:rPr>
          <w:rFonts w:hint="eastAsia"/>
          <w:sz w:val="21"/>
          <w:szCs w:val="24"/>
        </w:rPr>
      </w:pPr>
    </w:p>
    <w:p w14:paraId="1E94D9C0">
      <w:pPr>
        <w:wordWrap w:val="0"/>
        <w:spacing w:beforeLines="0" w:afterLines="0" w:line="520" w:lineRule="exact"/>
        <w:rPr>
          <w:rFonts w:hint="default"/>
          <w:color w:val="auto"/>
          <w:sz w:val="21"/>
          <w:szCs w:val="24"/>
        </w:rPr>
      </w:pPr>
      <w:permStart w:id="10" w:edGrp="everyone"/>
      <w:r>
        <w:rPr>
          <w:rFonts w:hint="eastAsia" w:ascii="仿宋_GB2312" w:hAnsi="仿宋_GB2312" w:eastAsia="仿宋_GB2312" w:cs="仿宋_GB2312"/>
          <w:color w:val="auto"/>
          <w:sz w:val="28"/>
          <w:szCs w:val="28"/>
        </w:rPr>
        <w:t xml:space="preserve">甲方：安徽省经工物资有限公司        乙方：  </w:t>
      </w:r>
    </w:p>
    <w:p w14:paraId="499B3548">
      <w:pPr>
        <w:wordWrap w:val="0"/>
        <w:spacing w:beforeLines="0" w:afterLines="0" w:line="52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0DA9E03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6DC0B429">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7FB3D35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0F1ADF2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7DBB330B">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E29687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87BB725">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72DBE2D2">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97181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ermEnd w:id="10"/>
    <w:p w14:paraId="50298B8D">
      <w:pPr>
        <w:pStyle w:val="2"/>
        <w:spacing w:beforeLines="0" w:after="0" w:afterLines="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4179915A">
      <w:pPr>
        <w:numPr>
          <w:ilvl w:val="0"/>
          <w:numId w:val="0"/>
        </w:num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w:t>
      </w:r>
    </w:p>
    <w:p w14:paraId="0218D1AE">
      <w:pPr>
        <w:numPr>
          <w:ilvl w:val="0"/>
          <w:numId w:val="0"/>
        </w:num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DE5BDB8">
      <w:pPr>
        <w:pStyle w:val="2"/>
        <w:spacing w:beforeLines="0" w:after="0" w:afterLines="0" w:line="520" w:lineRule="exact"/>
        <w:ind w:firstLine="422" w:firstLineChars="200"/>
        <w:rPr>
          <w:rFonts w:hint="eastAsia"/>
          <w:b/>
          <w:color w:val="auto"/>
          <w:sz w:val="21"/>
          <w:szCs w:val="24"/>
        </w:rPr>
      </w:pPr>
    </w:p>
    <w:p w14:paraId="61973F1B">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11"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（项目名称）的采购人</w:t>
      </w:r>
      <w:permStart w:id="12" w:edGrp="everyone"/>
      <w:r>
        <w:rPr>
          <w:rFonts w:hint="eastAsia" w:ascii="仿宋_GB2312" w:hAnsi="仿宋_GB2312" w:eastAsia="仿宋_GB2312" w:cs="仿宋_GB2312"/>
          <w:color w:val="auto"/>
          <w:sz w:val="28"/>
          <w:szCs w:val="28"/>
          <w:u w:val="single"/>
        </w:rPr>
        <w:t xml:space="preserve">  安徽省经工物资有限公司 </w:t>
      </w:r>
      <w:permEnd w:id="12"/>
      <w:r>
        <w:rPr>
          <w:rFonts w:hint="eastAsia" w:ascii="仿宋_GB2312" w:hAnsi="仿宋_GB2312" w:eastAsia="仿宋_GB2312" w:cs="仿宋_GB2312"/>
          <w:color w:val="auto"/>
          <w:sz w:val="28"/>
          <w:szCs w:val="28"/>
        </w:rPr>
        <w:t>（采购人名称，以下简称甲方）与该项目的供货商</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（供货商名称，以下简称乙方），特订立如下合同。</w:t>
      </w:r>
    </w:p>
    <w:p w14:paraId="3487D2E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5A498F8">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33233037">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4" w:edGrp="everyone"/>
      <w:r>
        <w:rPr>
          <w:rFonts w:hint="eastAsia" w:ascii="仿宋_GB2312" w:hAnsi="仿宋_GB2312" w:eastAsia="仿宋_GB2312" w:cs="仿宋_GB2312"/>
          <w:color w:val="auto"/>
          <w:sz w:val="28"/>
          <w:szCs w:val="28"/>
          <w:u w:val="single"/>
        </w:rPr>
        <w:t xml:space="preserve">                             </w:t>
      </w:r>
      <w:permEnd w:id="14"/>
      <w:r>
        <w:rPr>
          <w:rFonts w:hint="eastAsia" w:ascii="仿宋_GB2312" w:hAnsi="仿宋_GB2312" w:eastAsia="仿宋_GB2312" w:cs="仿宋_GB2312"/>
          <w:color w:val="auto"/>
          <w:sz w:val="28"/>
          <w:szCs w:val="28"/>
        </w:rPr>
        <w:t>（合同文件名称）合同文件，自觉按合同办事。</w:t>
      </w:r>
    </w:p>
    <w:p w14:paraId="62C81EC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B7A68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6395462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BD2D4D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FED138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2234EC0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05C4D33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193B22E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38832E6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0FE4213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4521E04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11B65A1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4A6468D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1386D00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540E67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69E968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71C6C1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697BF2C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668D1C5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7603E3A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01FCED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590FD2C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50A53F8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59644B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2581BD94">
      <w:pPr>
        <w:spacing w:beforeLines="0" w:afterLines="0"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5B173B37">
      <w:pPr>
        <w:spacing w:beforeLines="0" w:afterLines="0" w:line="520" w:lineRule="exact"/>
        <w:ind w:firstLine="560" w:firstLineChars="200"/>
        <w:rPr>
          <w:rFonts w:hint="eastAsia" w:ascii="仿宋_GB2312" w:hAnsi="仿宋_GB2312" w:eastAsia="仿宋_GB2312" w:cs="仿宋_GB2312"/>
          <w:color w:val="auto"/>
          <w:sz w:val="28"/>
          <w:szCs w:val="28"/>
        </w:rPr>
      </w:pPr>
    </w:p>
    <w:p w14:paraId="45C20CFD">
      <w:pPr>
        <w:spacing w:beforeLines="0" w:afterLines="0" w:line="520" w:lineRule="exact"/>
        <w:ind w:firstLine="560" w:firstLineChars="200"/>
        <w:rPr>
          <w:rFonts w:hint="eastAsia" w:ascii="仿宋_GB2312" w:hAnsi="仿宋_GB2312" w:eastAsia="仿宋_GB2312" w:cs="仿宋_GB2312"/>
          <w:color w:val="auto"/>
          <w:sz w:val="28"/>
          <w:szCs w:val="28"/>
        </w:rPr>
      </w:pPr>
    </w:p>
    <w:p w14:paraId="5F412A1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11591F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6D5D1F46">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369744D6">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9F082E2">
      <w:pPr>
        <w:spacing w:beforeLines="0" w:afterLines="0"/>
        <w:rPr>
          <w:rFonts w:hint="eastAsia" w:ascii="仿宋_GB2312" w:hAnsi="仿宋_GB2312" w:eastAsia="仿宋_GB2312" w:cs="仿宋_GB2312"/>
          <w:b/>
          <w:color w:val="auto"/>
          <w:sz w:val="28"/>
          <w:szCs w:val="28"/>
        </w:rPr>
      </w:pPr>
      <w:permStart w:id="16" w:edGrp="everyone"/>
      <w:r>
        <w:rPr>
          <w:rFonts w:hint="eastAsia" w:ascii="仿宋_GB2312" w:hAnsi="仿宋_GB2312" w:eastAsia="仿宋_GB2312" w:cs="仿宋_GB2312"/>
          <w:b/>
          <w:color w:val="auto"/>
          <w:sz w:val="28"/>
          <w:szCs w:val="28"/>
        </w:rPr>
        <w:br w:type="page"/>
      </w:r>
    </w:p>
    <w:permEnd w:id="16"/>
    <w:p w14:paraId="0539DC8C">
      <w:p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09C16794">
      <w:p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1770A65">
      <w:pPr>
        <w:pStyle w:val="2"/>
        <w:spacing w:beforeLines="0" w:after="0" w:afterLines="0" w:line="520" w:lineRule="exact"/>
        <w:ind w:firstLine="420" w:firstLineChars="200"/>
        <w:rPr>
          <w:rFonts w:hint="eastAsia"/>
          <w:color w:val="auto"/>
          <w:sz w:val="21"/>
          <w:szCs w:val="24"/>
        </w:rPr>
      </w:pPr>
    </w:p>
    <w:p w14:paraId="4C00ADF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8" w:edGrp="everyone"/>
      <w:r>
        <w:rPr>
          <w:rFonts w:hint="eastAsia" w:ascii="仿宋_GB2312" w:hAnsi="仿宋_GB2312" w:eastAsia="仿宋_GB2312" w:cs="仿宋_GB2312"/>
          <w:color w:val="auto"/>
          <w:sz w:val="28"/>
          <w:szCs w:val="28"/>
          <w:u w:val="single"/>
        </w:rPr>
        <w:t xml:space="preserve"> 安徽省经工物资有限公司 </w:t>
      </w:r>
      <w:permEnd w:id="18"/>
      <w:r>
        <w:rPr>
          <w:rFonts w:hint="eastAsia" w:ascii="仿宋_GB2312" w:hAnsi="仿宋_GB2312" w:eastAsia="仿宋_GB2312" w:cs="仿宋_GB2312"/>
          <w:color w:val="auto"/>
          <w:sz w:val="28"/>
          <w:szCs w:val="28"/>
        </w:rPr>
        <w:t>（采购人名称，以下简称甲方）与该项目的供货商</w:t>
      </w:r>
      <w:permStart w:id="19" w:edGrp="everyone"/>
      <w:r>
        <w:rPr>
          <w:rFonts w:hint="eastAsia" w:ascii="仿宋_GB2312" w:hAnsi="仿宋_GB2312" w:eastAsia="仿宋_GB2312" w:cs="仿宋_GB2312"/>
          <w:color w:val="auto"/>
          <w:sz w:val="28"/>
          <w:szCs w:val="28"/>
          <w:u w:val="single"/>
        </w:rPr>
        <w:t xml:space="preserve">              </w:t>
      </w:r>
      <w:permEnd w:id="19"/>
      <w:r>
        <w:rPr>
          <w:rFonts w:hint="eastAsia" w:ascii="仿宋_GB2312" w:hAnsi="仿宋_GB2312" w:eastAsia="仿宋_GB2312" w:cs="仿宋_GB2312"/>
          <w:color w:val="auto"/>
          <w:sz w:val="28"/>
          <w:szCs w:val="28"/>
        </w:rPr>
        <w:t>（供货商名称，以下简称乙方）特此签订此安全生产合同：</w:t>
      </w:r>
    </w:p>
    <w:p w14:paraId="661B8DB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16A960D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57250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1B7FF6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8A4370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8AF114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4EB195E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7600E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38A7176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58AF26B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76B0F4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CD9C76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2C2D24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4672934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1D003A6">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47384CB1">
      <w:pPr>
        <w:pStyle w:val="2"/>
        <w:numPr>
          <w:ilvl w:val="0"/>
          <w:numId w:val="0"/>
        </w:numPr>
        <w:spacing w:beforeLines="0" w:after="0" w:afterLines="0" w:line="520" w:lineRule="exact"/>
        <w:rPr>
          <w:rFonts w:hint="eastAsia"/>
          <w:sz w:val="21"/>
          <w:szCs w:val="24"/>
        </w:rPr>
      </w:pPr>
    </w:p>
    <w:p w14:paraId="34B1C690">
      <w:pPr>
        <w:spacing w:beforeLines="0" w:afterLines="0" w:line="520" w:lineRule="exact"/>
        <w:ind w:firstLine="560" w:firstLineChars="200"/>
        <w:rPr>
          <w:rFonts w:hint="eastAsia" w:ascii="仿宋_GB2312" w:hAnsi="仿宋_GB2312" w:eastAsia="仿宋_GB2312" w:cs="仿宋_GB2312"/>
          <w:color w:val="auto"/>
          <w:sz w:val="28"/>
          <w:szCs w:val="28"/>
        </w:rPr>
      </w:pPr>
    </w:p>
    <w:p w14:paraId="5E974B41">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0F84054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29C8B7E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681201F">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7CE8720">
      <w:pPr>
        <w:spacing w:beforeLines="0" w:afterLines="0"/>
        <w:rPr>
          <w:rFonts w:hint="eastAsia"/>
          <w:sz w:val="21"/>
          <w:szCs w:val="24"/>
        </w:rPr>
      </w:pPr>
      <w:r>
        <w:rPr>
          <w:rFonts w:hint="eastAsia"/>
          <w:sz w:val="21"/>
          <w:szCs w:val="24"/>
        </w:rPr>
        <w:br w:type="page"/>
      </w:r>
    </w:p>
    <w:bookmarkEnd w:id="148"/>
    <w:bookmarkEnd w:id="149"/>
    <w:bookmarkEnd w:id="150"/>
    <w:bookmarkEnd w:id="151"/>
    <w:bookmarkEnd w:id="152"/>
    <w:bookmarkEnd w:id="153"/>
    <w:p w14:paraId="05876BB7">
      <w:pPr>
        <w:pStyle w:val="3"/>
        <w:spacing w:before="312" w:after="312"/>
        <w:ind w:firstLine="0"/>
        <w:rPr>
          <w:rFonts w:hint="eastAsia" w:ascii="Times New Roman" w:hAnsi="Times New Roman" w:eastAsia="Times New Roman"/>
          <w:sz w:val="36"/>
          <w:szCs w:val="44"/>
        </w:rPr>
      </w:pPr>
      <w:bookmarkStart w:id="154" w:name="_Toc25485"/>
      <w:bookmarkStart w:id="155" w:name="_Toc31285"/>
      <w:r>
        <w:rPr>
          <w:rFonts w:hint="eastAsia" w:ascii="Times New Roman" w:hAnsi="Times New Roman" w:eastAsia="宋体"/>
          <w:sz w:val="36"/>
          <w:szCs w:val="44"/>
        </w:rPr>
        <w:t>采购需求及清单</w:t>
      </w:r>
      <w:bookmarkEnd w:id="154"/>
      <w:bookmarkEnd w:id="155"/>
    </w:p>
    <w:p w14:paraId="13E22F2C">
      <w:pPr>
        <w:spacing w:beforeLines="0" w:afterLines="0" w:line="440" w:lineRule="exact"/>
        <w:rPr>
          <w:rFonts w:hint="eastAsia" w:ascii="Times New Roman" w:hAnsi="Times New Roman" w:eastAsia="Times New Roman"/>
          <w:sz w:val="28"/>
          <w:szCs w:val="28"/>
        </w:rPr>
      </w:pPr>
      <w:bookmarkStart w:id="156" w:name="_Toc10970_WPSOffice_Level1"/>
      <w:bookmarkStart w:id="157" w:name="_Toc27821_WPSOffice_Level2"/>
      <w:bookmarkStart w:id="158" w:name="_Toc28814_WPSOffice_Level2"/>
    </w:p>
    <w:p w14:paraId="163E5394">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6"/>
      <w:bookmarkEnd w:id="157"/>
      <w:bookmarkEnd w:id="158"/>
    </w:p>
    <w:p w14:paraId="7908DC8F">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家具</w:t>
      </w:r>
      <w:r>
        <w:rPr>
          <w:rFonts w:hint="eastAsia" w:ascii="宋体" w:hAnsi="宋体" w:cs="宋体"/>
          <w:b/>
          <w:color w:val="000000"/>
          <w:sz w:val="28"/>
          <w:szCs w:val="28"/>
        </w:rPr>
        <w:t>材料报价清单</w:t>
      </w:r>
    </w:p>
    <w:p w14:paraId="0322C678">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14:paraId="470B1D6A">
      <w:pPr>
        <w:pStyle w:val="2"/>
        <w:spacing w:beforeLines="0" w:afterLines="0"/>
        <w:rPr>
          <w:rFonts w:hint="eastAsia"/>
          <w:sz w:val="21"/>
          <w:szCs w:val="24"/>
        </w:rPr>
      </w:pPr>
    </w:p>
    <w:p w14:paraId="6EB2BDB2">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1.上述费用包括货物的原材料、生产、包装、运输、保险、卸货叉车费（如有）、人工费、卸车费、利润、税费等相关费用。</w:t>
      </w:r>
    </w:p>
    <w:p w14:paraId="1137061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家具</w:t>
      </w:r>
      <w:r>
        <w:rPr>
          <w:rFonts w:hint="eastAsia" w:ascii="宋体" w:hAnsi="宋体" w:cs="宋体"/>
          <w:b/>
          <w:color w:val="000000"/>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家具</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家具</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家具</w:t>
      </w:r>
      <w:r>
        <w:rPr>
          <w:rFonts w:hint="eastAsia" w:ascii="宋体" w:hAnsi="宋体" w:cs="宋体"/>
          <w:color w:val="000000"/>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家具</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家具</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14:paraId="16D8E25D"/>
    <w:p w14:paraId="4E27C7CC">
      <w:pPr>
        <w:pStyle w:val="5"/>
      </w:pPr>
    </w:p>
    <w:p w14:paraId="2BD20172"/>
    <w:p w14:paraId="68B75A73">
      <w:pPr>
        <w:pStyle w:val="5"/>
      </w:pPr>
    </w:p>
    <w:p w14:paraId="71E044D3"/>
    <w:p w14:paraId="5B0061A7">
      <w:pPr>
        <w:pStyle w:val="5"/>
      </w:pPr>
    </w:p>
    <w:p w14:paraId="499FF16F"/>
    <w:p w14:paraId="5354BAC5">
      <w:pPr>
        <w:pStyle w:val="5"/>
      </w:pPr>
    </w:p>
    <w:p w14:paraId="329DF9E5"/>
    <w:p w14:paraId="4EFB025E">
      <w:pPr>
        <w:pStyle w:val="5"/>
      </w:pPr>
    </w:p>
    <w:p w14:paraId="633CB658"/>
    <w:p w14:paraId="03A08F38">
      <w:pPr>
        <w:pStyle w:val="5"/>
      </w:pPr>
    </w:p>
    <w:p w14:paraId="7AB50EA3"/>
    <w:p w14:paraId="4225A976">
      <w:pPr>
        <w:pStyle w:val="3"/>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9" w:name="_Toc23456"/>
      <w:r>
        <w:rPr>
          <w:rFonts w:hint="eastAsia" w:ascii="Times New Roman" w:hAnsi="Times New Roman" w:eastAsia="宋体"/>
          <w:sz w:val="36"/>
          <w:szCs w:val="44"/>
        </w:rPr>
        <w:t>响应文件格式</w:t>
      </w:r>
      <w:bookmarkEnd w:id="159"/>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5"/>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5"/>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13"/>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5"/>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包</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0"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0"/>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3"/>
        <w:numPr>
          <w:ilvl w:val="0"/>
          <w:numId w:val="0"/>
        </w:numPr>
        <w:rPr>
          <w:rFonts w:hint="eastAsia" w:eastAsia="方正小标宋_GBK"/>
          <w:sz w:val="36"/>
          <w:szCs w:val="44"/>
        </w:rPr>
      </w:pPr>
      <w:bookmarkStart w:id="161"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61"/>
    </w:p>
    <w:p w14:paraId="49B3464C">
      <w:pPr>
        <w:pStyle w:val="2"/>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包</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3"/>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sz w:val="24"/>
          <w:szCs w:val="24"/>
        </w:rPr>
      </w:pPr>
    </w:p>
    <w:p w14:paraId="4771CF22">
      <w:pPr>
        <w:pStyle w:val="13"/>
        <w:tabs>
          <w:tab w:val="center" w:pos="4153"/>
          <w:tab w:val="right" w:pos="8306"/>
        </w:tabs>
        <w:spacing w:beforeLines="0" w:afterLines="0"/>
        <w:rPr>
          <w:rFonts w:hint="eastAsia"/>
          <w:sz w:val="18"/>
          <w:szCs w:val="24"/>
        </w:rPr>
      </w:pPr>
    </w:p>
    <w:p w14:paraId="4368A36F">
      <w:pPr>
        <w:pStyle w:val="14"/>
        <w:spacing w:beforeLines="0" w:afterLines="0"/>
        <w:rPr>
          <w:rFonts w:hint="eastAsia" w:eastAsia="宋体"/>
          <w:sz w:val="21"/>
          <w:szCs w:val="21"/>
        </w:rPr>
      </w:pPr>
    </w:p>
    <w:p w14:paraId="24B7FA17">
      <w:pPr>
        <w:rPr>
          <w:rFonts w:hint="eastAsia"/>
        </w:rPr>
      </w:pPr>
    </w:p>
    <w:p w14:paraId="76B08196">
      <w:pPr>
        <w:pStyle w:val="2"/>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62" w:name="_Hlk122530524"/>
      <w:r>
        <w:rPr>
          <w:rFonts w:hint="eastAsia" w:ascii="宋体" w:hAnsi="宋体" w:cs="宋体"/>
          <w:sz w:val="24"/>
          <w:szCs w:val="24"/>
          <w:u w:val="single"/>
        </w:rPr>
        <w:t xml:space="preserve">                         </w:t>
      </w:r>
      <w:bookmarkEnd w:id="162"/>
      <w:r>
        <w:rPr>
          <w:rFonts w:hint="eastAsia" w:ascii="宋体" w:hAnsi="宋体" w:cs="宋体"/>
          <w:sz w:val="24"/>
          <w:szCs w:val="24"/>
        </w:rPr>
        <w:t>（盖单位章）</w:t>
      </w:r>
    </w:p>
    <w:p w14:paraId="7CB2BE99">
      <w:pPr>
        <w:pStyle w:val="2"/>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63" w:name="_Toc23378"/>
      <w:r>
        <w:rPr>
          <w:rFonts w:hint="eastAsia" w:ascii="黑体" w:hAnsi="宋体" w:eastAsia="黑体" w:cs="黑体"/>
          <w:kern w:val="2"/>
          <w:sz w:val="28"/>
          <w:szCs w:val="28"/>
          <w:lang w:val="en-US" w:eastAsia="zh-CN" w:bidi="ar"/>
        </w:rPr>
        <w:t>二、法定代表人身份证明及授权委托书</w:t>
      </w:r>
      <w:bookmarkEnd w:id="16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05B12B82">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19890"/>
      <w:r>
        <w:rPr>
          <w:rFonts w:hint="eastAsia" w:ascii="黑体" w:hAnsi="宋体" w:eastAsia="黑体" w:cs="黑体"/>
          <w:kern w:val="2"/>
          <w:sz w:val="28"/>
          <w:szCs w:val="28"/>
          <w:lang w:val="en-US" w:eastAsia="zh-CN" w:bidi="ar"/>
        </w:rPr>
        <w:t>三、供应商基本情况</w:t>
      </w:r>
      <w:bookmarkEnd w:id="16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5" w:name="_Toc9989"/>
      <w:r>
        <w:rPr>
          <w:rFonts w:hint="eastAsia" w:ascii="黑体" w:hAnsi="宋体" w:eastAsia="黑体" w:cs="黑体"/>
          <w:kern w:val="2"/>
          <w:sz w:val="28"/>
          <w:szCs w:val="28"/>
          <w:lang w:val="en-US" w:eastAsia="zh-CN" w:bidi="ar"/>
        </w:rPr>
        <w:t>四、近年类似业绩情况</w:t>
      </w:r>
      <w:bookmarkEnd w:id="16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607"/>
      <w:r>
        <w:rPr>
          <w:rFonts w:hint="eastAsia" w:ascii="黑体" w:hAnsi="宋体" w:eastAsia="黑体" w:cs="黑体"/>
          <w:kern w:val="2"/>
          <w:sz w:val="28"/>
          <w:szCs w:val="28"/>
          <w:lang w:val="en-US" w:eastAsia="zh-CN" w:bidi="ar"/>
        </w:rPr>
        <w:t>五、信誉情况</w:t>
      </w:r>
      <w:bookmarkEnd w:id="16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rPr>
      </w:pPr>
      <w:bookmarkStart w:id="167" w:name="_Toc1569"/>
      <w:r>
        <w:rPr>
          <w:rFonts w:hint="eastAsia" w:ascii="黑体" w:hAnsi="宋体" w:eastAsia="黑体" w:cs="黑体"/>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七、供货方案</w:t>
      </w:r>
      <w:bookmarkEnd w:id="167"/>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8" w:name="_Toc7941"/>
      <w:r>
        <w:rPr>
          <w:rFonts w:hint="eastAsia" w:ascii="Times New Roman" w:hAnsi="Times New Roman" w:eastAsia="黑体"/>
          <w:sz w:val="28"/>
          <w:szCs w:val="28"/>
          <w:lang w:val="en-US" w:eastAsia="zh-CN"/>
        </w:rPr>
        <w:t>八</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w:t>
      </w:r>
      <w:r>
        <w:rPr>
          <w:rFonts w:hint="eastAsia" w:ascii="Times New Roman" w:hAnsi="Times New Roman" w:eastAsia="黑体"/>
          <w:sz w:val="28"/>
          <w:szCs w:val="28"/>
        </w:rPr>
        <w:t>方案</w:t>
      </w: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供应商应按项目特点编制供货方案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8"/>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9" w:name="_Toc30485"/>
      <w:r>
        <w:rPr>
          <w:rFonts w:hint="eastAsia" w:ascii="黑体" w:hAnsi="宋体" w:eastAsia="黑体" w:cs="黑体"/>
          <w:kern w:val="2"/>
          <w:sz w:val="28"/>
          <w:szCs w:val="28"/>
          <w:lang w:val="en-US" w:eastAsia="zh-CN" w:bidi="ar"/>
        </w:rPr>
        <w:t>九、承诺书</w:t>
      </w:r>
      <w:bookmarkEnd w:id="16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7DAC01B7">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0" w:name="_Toc2975"/>
      <w:r>
        <w:rPr>
          <w:rFonts w:hint="eastAsia" w:ascii="黑体" w:hAnsi="宋体" w:eastAsia="黑体" w:cs="黑体"/>
          <w:kern w:val="2"/>
          <w:sz w:val="28"/>
          <w:szCs w:val="28"/>
          <w:lang w:val="en-US" w:eastAsia="zh-CN" w:bidi="ar"/>
        </w:rPr>
        <w:t>十、其他材料</w:t>
      </w:r>
      <w:bookmarkEnd w:id="17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rPr>
        <w:t xml:space="preserve">    </w:t>
      </w:r>
      <w:r>
        <w:rPr>
          <w:rFonts w:hint="eastAsia" w:ascii="方正小标宋简体" w:hAnsi="方正小标宋简体" w:eastAsia="方正小标宋简体" w:cs="方正小标宋简体"/>
          <w:kern w:val="2"/>
          <w:sz w:val="44"/>
          <w:szCs w:val="44"/>
          <w:u w:val="none"/>
          <w:lang w:val="en-US" w:eastAsia="zh-CN"/>
        </w:rPr>
        <w:t>包</w:t>
      </w:r>
      <w:r>
        <w:rPr>
          <w:rFonts w:hint="default" w:ascii="Times New Roman" w:hAnsi="Times New Roman" w:eastAsia="黑体" w:cs="Times New Roman"/>
          <w:kern w:val="2"/>
          <w:sz w:val="50"/>
          <w:szCs w:val="50"/>
          <w:u w:val="none"/>
          <w:lang w:val="en-US" w:eastAsia="zh-CN" w:bidi="ar"/>
        </w:rPr>
        <w:t xml:space="preserve"> </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71"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71"/>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管理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45ECA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14:paraId="5BB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810C39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7518F20">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家具</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A4B0E24">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55DDC952">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14:paraId="568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6A1752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030A7B9">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6A8C8A7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1CA9356D">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14:paraId="714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3AF6">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总合计金额（元）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9106">
            <w:pPr>
              <w:pStyle w:val="17"/>
              <w:keepNext w:val="0"/>
              <w:keepLines w:val="0"/>
              <w:widowControl w:val="0"/>
              <w:suppressLineNumbers w:val="0"/>
              <w:spacing w:before="0" w:beforeAutospacing="1" w:after="120" w:afterAutospacing="0"/>
              <w:ind w:left="0"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14:paraId="3363EBBE">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0089E4D">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78FD3C78">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F2DB243">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15A4052">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6E63BA9">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6899C5A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000000"/>
          <w:kern w:val="2"/>
          <w:sz w:val="24"/>
          <w:szCs w:val="24"/>
          <w:lang w:val="en-US" w:eastAsia="zh-CN" w:bidi="ar"/>
        </w:rPr>
      </w:pPr>
    </w:p>
    <w:p w14:paraId="767B2F99">
      <w:pPr>
        <w:pStyle w:val="2"/>
        <w:rPr>
          <w:rFonts w:hint="eastAsia"/>
          <w:lang w:val="en-US" w:eastAsia="zh-CN"/>
        </w:rPr>
      </w:pP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涉及家具检测复试费用均由供应商承担，抽检频率和批次按国家、行业标准或甲方要求执行。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4.家具须在包装外壁醒目位置及材料上永久性标示生产厂家、生产批次、品牌标志、规格型号、唯一性可追溯性编码标识（如二维码）等信息。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5.家具供货进度应满足采购人工程进度分批次实施的安排和要求，中标人应充分理解并全力配合采购人的家具采购、进场工作，并承担因送货次数增加而引起的运输成本增加等相应风险。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家具质量负总责，材料进场应按程序履行报验、交接手续；因家具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ED54BA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2430D2E3">
      <w:pPr>
        <w:pStyle w:val="17"/>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华文中宋" w:cs="Times New Roman"/>
          <w:b/>
          <w:bCs w:val="0"/>
          <w:smallCaps/>
          <w:kern w:val="2"/>
          <w:sz w:val="24"/>
          <w:szCs w:val="24"/>
          <w:highlight w:val="yellow"/>
        </w:rPr>
      </w:pPr>
      <w:r>
        <w:rPr>
          <w:rFonts w:hint="eastAsia" w:ascii="华文中宋" w:hAnsi="华文中宋" w:eastAsia="华文中宋" w:cs="华文中宋"/>
          <w:b/>
          <w:bCs w:val="0"/>
          <w:smallCaps/>
          <w:kern w:val="2"/>
          <w:sz w:val="24"/>
          <w:szCs w:val="24"/>
          <w:highlight w:val="yellow"/>
          <w:lang w:val="en-US" w:eastAsia="zh-CN" w:bidi="ar"/>
        </w:rPr>
        <w:t>后附报价清单</w:t>
      </w:r>
    </w:p>
    <w:p w14:paraId="77596016">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BF29F0B">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7639002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7C8D3830">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1BB9E883">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2"/>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236DBB99">
    <w:pPr>
      <w:pStyle w:val="12"/>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6AE1">
    <w:pPr>
      <w:pStyle w:val="12"/>
      <w:spacing w:beforeLines="0" w:afterLines="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340C">
    <w:pPr>
      <w:pStyle w:val="13"/>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4"/>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TUyMGQwNThhNjYxNWYxZjU1M2FkNWY2Njk3YjQifQ=="/>
  </w:docVars>
  <w:rsids>
    <w:rsidRoot w:val="00172A27"/>
    <w:rsid w:val="0022317B"/>
    <w:rsid w:val="00302DB5"/>
    <w:rsid w:val="00302F3A"/>
    <w:rsid w:val="005607D6"/>
    <w:rsid w:val="00653222"/>
    <w:rsid w:val="00691F7C"/>
    <w:rsid w:val="00724BD4"/>
    <w:rsid w:val="007C6E94"/>
    <w:rsid w:val="00E8570D"/>
    <w:rsid w:val="0175017E"/>
    <w:rsid w:val="01E925F2"/>
    <w:rsid w:val="02285819"/>
    <w:rsid w:val="023E3C6A"/>
    <w:rsid w:val="028D5673"/>
    <w:rsid w:val="02D346A3"/>
    <w:rsid w:val="038863C7"/>
    <w:rsid w:val="03A9557F"/>
    <w:rsid w:val="046F330D"/>
    <w:rsid w:val="04701D1E"/>
    <w:rsid w:val="04E034BC"/>
    <w:rsid w:val="05BE1FE7"/>
    <w:rsid w:val="05F94BA8"/>
    <w:rsid w:val="06341F34"/>
    <w:rsid w:val="068727A0"/>
    <w:rsid w:val="06950CEC"/>
    <w:rsid w:val="07063EDC"/>
    <w:rsid w:val="070E48A8"/>
    <w:rsid w:val="073835B2"/>
    <w:rsid w:val="076958CF"/>
    <w:rsid w:val="079B060F"/>
    <w:rsid w:val="08843E62"/>
    <w:rsid w:val="09210464"/>
    <w:rsid w:val="09866978"/>
    <w:rsid w:val="0A2E7496"/>
    <w:rsid w:val="0A466107"/>
    <w:rsid w:val="0A941F2B"/>
    <w:rsid w:val="0AAD73BC"/>
    <w:rsid w:val="0AEF2AC2"/>
    <w:rsid w:val="0B9D5AB0"/>
    <w:rsid w:val="0BA10DDD"/>
    <w:rsid w:val="0BDD422F"/>
    <w:rsid w:val="0C425774"/>
    <w:rsid w:val="0CA45010"/>
    <w:rsid w:val="0D0C6C6B"/>
    <w:rsid w:val="0D345CCC"/>
    <w:rsid w:val="0DBC505E"/>
    <w:rsid w:val="0DBD0BDC"/>
    <w:rsid w:val="0DCD2DC7"/>
    <w:rsid w:val="0DE02F17"/>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431F92"/>
    <w:rsid w:val="13E11194"/>
    <w:rsid w:val="144A391D"/>
    <w:rsid w:val="14FC0436"/>
    <w:rsid w:val="150E5893"/>
    <w:rsid w:val="15133F2C"/>
    <w:rsid w:val="15436065"/>
    <w:rsid w:val="15475B55"/>
    <w:rsid w:val="15C3657D"/>
    <w:rsid w:val="163D1F3A"/>
    <w:rsid w:val="16414AC9"/>
    <w:rsid w:val="188C4113"/>
    <w:rsid w:val="190378FF"/>
    <w:rsid w:val="191A46EE"/>
    <w:rsid w:val="191E4E53"/>
    <w:rsid w:val="19647370"/>
    <w:rsid w:val="19DE1C05"/>
    <w:rsid w:val="1A185E2C"/>
    <w:rsid w:val="1A3C6E09"/>
    <w:rsid w:val="1A657CD8"/>
    <w:rsid w:val="1AA97D25"/>
    <w:rsid w:val="1B87260E"/>
    <w:rsid w:val="1BFB4C41"/>
    <w:rsid w:val="1C0C5403"/>
    <w:rsid w:val="1C511068"/>
    <w:rsid w:val="1CB03FE0"/>
    <w:rsid w:val="1CD07137"/>
    <w:rsid w:val="1CF12CD2"/>
    <w:rsid w:val="1D3772E3"/>
    <w:rsid w:val="1D3F5364"/>
    <w:rsid w:val="1D9C6C71"/>
    <w:rsid w:val="1DD02C25"/>
    <w:rsid w:val="1E7E7378"/>
    <w:rsid w:val="1F0D4887"/>
    <w:rsid w:val="1F93095F"/>
    <w:rsid w:val="1FB449F5"/>
    <w:rsid w:val="1FC01B05"/>
    <w:rsid w:val="20220D88"/>
    <w:rsid w:val="202D724A"/>
    <w:rsid w:val="20432E03"/>
    <w:rsid w:val="20CE712B"/>
    <w:rsid w:val="20E701EC"/>
    <w:rsid w:val="21B66AE8"/>
    <w:rsid w:val="21EF5977"/>
    <w:rsid w:val="2211172D"/>
    <w:rsid w:val="22456F98"/>
    <w:rsid w:val="22A243CB"/>
    <w:rsid w:val="233944AA"/>
    <w:rsid w:val="23610B8C"/>
    <w:rsid w:val="241D716E"/>
    <w:rsid w:val="243A0633"/>
    <w:rsid w:val="259137B5"/>
    <w:rsid w:val="25CC7C14"/>
    <w:rsid w:val="2613091A"/>
    <w:rsid w:val="265909F3"/>
    <w:rsid w:val="26BD3DC8"/>
    <w:rsid w:val="27621A0B"/>
    <w:rsid w:val="279E7B84"/>
    <w:rsid w:val="27B103DE"/>
    <w:rsid w:val="285445B2"/>
    <w:rsid w:val="28D24D9C"/>
    <w:rsid w:val="28FE7045"/>
    <w:rsid w:val="2941798C"/>
    <w:rsid w:val="294C5129"/>
    <w:rsid w:val="295C70D0"/>
    <w:rsid w:val="296543A4"/>
    <w:rsid w:val="2A8F70B0"/>
    <w:rsid w:val="2AE43776"/>
    <w:rsid w:val="2B1D5459"/>
    <w:rsid w:val="2CB01DDA"/>
    <w:rsid w:val="2CDC2BCF"/>
    <w:rsid w:val="2D141CF6"/>
    <w:rsid w:val="2D197980"/>
    <w:rsid w:val="2D984126"/>
    <w:rsid w:val="2E0A4375"/>
    <w:rsid w:val="2E471A2B"/>
    <w:rsid w:val="2E6740D2"/>
    <w:rsid w:val="2E6B5FB9"/>
    <w:rsid w:val="2ED8288A"/>
    <w:rsid w:val="2F1C72B3"/>
    <w:rsid w:val="300246FB"/>
    <w:rsid w:val="30793AE8"/>
    <w:rsid w:val="30843362"/>
    <w:rsid w:val="319B3695"/>
    <w:rsid w:val="32332253"/>
    <w:rsid w:val="324271A8"/>
    <w:rsid w:val="32B75C71"/>
    <w:rsid w:val="331F3816"/>
    <w:rsid w:val="333F226C"/>
    <w:rsid w:val="33C26030"/>
    <w:rsid w:val="35201A23"/>
    <w:rsid w:val="35437DFC"/>
    <w:rsid w:val="35843E04"/>
    <w:rsid w:val="35B540D6"/>
    <w:rsid w:val="361938E0"/>
    <w:rsid w:val="36C144C3"/>
    <w:rsid w:val="371E5C74"/>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F7310E"/>
    <w:rsid w:val="3D31661F"/>
    <w:rsid w:val="3D804EB1"/>
    <w:rsid w:val="3DDB2BAE"/>
    <w:rsid w:val="3E103B9E"/>
    <w:rsid w:val="3E2829E9"/>
    <w:rsid w:val="3E35535E"/>
    <w:rsid w:val="3E5113D8"/>
    <w:rsid w:val="3EEC6CA2"/>
    <w:rsid w:val="3FB452E6"/>
    <w:rsid w:val="3FF744E4"/>
    <w:rsid w:val="403D54CD"/>
    <w:rsid w:val="408028ED"/>
    <w:rsid w:val="41212AAF"/>
    <w:rsid w:val="4178455B"/>
    <w:rsid w:val="41B873F1"/>
    <w:rsid w:val="41BB6E00"/>
    <w:rsid w:val="41CF3C5E"/>
    <w:rsid w:val="41FB71FC"/>
    <w:rsid w:val="426A68F1"/>
    <w:rsid w:val="426B29F2"/>
    <w:rsid w:val="42754E3B"/>
    <w:rsid w:val="42ED38B0"/>
    <w:rsid w:val="44173115"/>
    <w:rsid w:val="442716E3"/>
    <w:rsid w:val="44623B29"/>
    <w:rsid w:val="44CB7E92"/>
    <w:rsid w:val="44D53D34"/>
    <w:rsid w:val="45551BA2"/>
    <w:rsid w:val="45E82159"/>
    <w:rsid w:val="460C19D8"/>
    <w:rsid w:val="46767799"/>
    <w:rsid w:val="475036EC"/>
    <w:rsid w:val="476304E5"/>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5368C9"/>
    <w:rsid w:val="4F570614"/>
    <w:rsid w:val="4F7A3E56"/>
    <w:rsid w:val="5051384E"/>
    <w:rsid w:val="50932863"/>
    <w:rsid w:val="50C64757"/>
    <w:rsid w:val="5147420C"/>
    <w:rsid w:val="51801680"/>
    <w:rsid w:val="52247F23"/>
    <w:rsid w:val="524B7D2C"/>
    <w:rsid w:val="525E7F64"/>
    <w:rsid w:val="528B597C"/>
    <w:rsid w:val="53277E51"/>
    <w:rsid w:val="53C77F81"/>
    <w:rsid w:val="54A11E85"/>
    <w:rsid w:val="54C60539"/>
    <w:rsid w:val="55CE5FAF"/>
    <w:rsid w:val="568D4A8B"/>
    <w:rsid w:val="56B714EC"/>
    <w:rsid w:val="5787376C"/>
    <w:rsid w:val="581847D6"/>
    <w:rsid w:val="58340631"/>
    <w:rsid w:val="588621CE"/>
    <w:rsid w:val="58AC03AC"/>
    <w:rsid w:val="58B3037A"/>
    <w:rsid w:val="595C637A"/>
    <w:rsid w:val="598F3C15"/>
    <w:rsid w:val="5A1256BA"/>
    <w:rsid w:val="5AB4136D"/>
    <w:rsid w:val="5AB51CCA"/>
    <w:rsid w:val="5AB57322"/>
    <w:rsid w:val="5AB86B82"/>
    <w:rsid w:val="5B1C4013"/>
    <w:rsid w:val="5BC0596D"/>
    <w:rsid w:val="5BE5635E"/>
    <w:rsid w:val="5C03587B"/>
    <w:rsid w:val="5C4805D9"/>
    <w:rsid w:val="5D164A17"/>
    <w:rsid w:val="5DA53F1B"/>
    <w:rsid w:val="5DC63FF9"/>
    <w:rsid w:val="5E2B6069"/>
    <w:rsid w:val="5E785A05"/>
    <w:rsid w:val="5EEF11CE"/>
    <w:rsid w:val="5F8676E8"/>
    <w:rsid w:val="5FC627A0"/>
    <w:rsid w:val="5FD076A0"/>
    <w:rsid w:val="602C137F"/>
    <w:rsid w:val="60CC0666"/>
    <w:rsid w:val="61393910"/>
    <w:rsid w:val="61C61CF3"/>
    <w:rsid w:val="61DA4AD9"/>
    <w:rsid w:val="629D4803"/>
    <w:rsid w:val="62AE498D"/>
    <w:rsid w:val="63D57455"/>
    <w:rsid w:val="63E312E7"/>
    <w:rsid w:val="63FF44D2"/>
    <w:rsid w:val="64AB0CD1"/>
    <w:rsid w:val="64D84E1A"/>
    <w:rsid w:val="65675ED4"/>
    <w:rsid w:val="66154D09"/>
    <w:rsid w:val="66773813"/>
    <w:rsid w:val="6683497C"/>
    <w:rsid w:val="676E5CC7"/>
    <w:rsid w:val="67A755AC"/>
    <w:rsid w:val="67E14BAB"/>
    <w:rsid w:val="67EE0AE5"/>
    <w:rsid w:val="67F71E56"/>
    <w:rsid w:val="680A0CAC"/>
    <w:rsid w:val="683A302B"/>
    <w:rsid w:val="684C44B3"/>
    <w:rsid w:val="68880F3A"/>
    <w:rsid w:val="68A13DAA"/>
    <w:rsid w:val="690F1726"/>
    <w:rsid w:val="6A2D5CB0"/>
    <w:rsid w:val="6BB90159"/>
    <w:rsid w:val="6C111246"/>
    <w:rsid w:val="6C124248"/>
    <w:rsid w:val="6C6B059F"/>
    <w:rsid w:val="6CA00B62"/>
    <w:rsid w:val="6CFE27E3"/>
    <w:rsid w:val="6D0517E7"/>
    <w:rsid w:val="6D274D94"/>
    <w:rsid w:val="6D955447"/>
    <w:rsid w:val="6DD01AB0"/>
    <w:rsid w:val="6DEB139F"/>
    <w:rsid w:val="6E5D0773"/>
    <w:rsid w:val="6E8B3FD1"/>
    <w:rsid w:val="6E9D5013"/>
    <w:rsid w:val="6F4D02A4"/>
    <w:rsid w:val="6FDB7D0C"/>
    <w:rsid w:val="706B3710"/>
    <w:rsid w:val="706B4417"/>
    <w:rsid w:val="70784F6A"/>
    <w:rsid w:val="70B2470E"/>
    <w:rsid w:val="710D46D2"/>
    <w:rsid w:val="71817101"/>
    <w:rsid w:val="71943263"/>
    <w:rsid w:val="71A60683"/>
    <w:rsid w:val="71B80224"/>
    <w:rsid w:val="72032E67"/>
    <w:rsid w:val="720B21A0"/>
    <w:rsid w:val="72775B5D"/>
    <w:rsid w:val="72E163D5"/>
    <w:rsid w:val="730651BF"/>
    <w:rsid w:val="738D54B9"/>
    <w:rsid w:val="751540E3"/>
    <w:rsid w:val="757762DF"/>
    <w:rsid w:val="76085468"/>
    <w:rsid w:val="760B64AF"/>
    <w:rsid w:val="7630676D"/>
    <w:rsid w:val="764861AD"/>
    <w:rsid w:val="765A1D4D"/>
    <w:rsid w:val="7671300D"/>
    <w:rsid w:val="772B58B2"/>
    <w:rsid w:val="77822AD2"/>
    <w:rsid w:val="7846297D"/>
    <w:rsid w:val="78EA52F9"/>
    <w:rsid w:val="79487052"/>
    <w:rsid w:val="79C142AC"/>
    <w:rsid w:val="79E06FD9"/>
    <w:rsid w:val="7A1E34AC"/>
    <w:rsid w:val="7A2B3BCE"/>
    <w:rsid w:val="7AC3206E"/>
    <w:rsid w:val="7AFF6ACD"/>
    <w:rsid w:val="7B436E21"/>
    <w:rsid w:val="7B635BF4"/>
    <w:rsid w:val="7B9003DA"/>
    <w:rsid w:val="7BF11E66"/>
    <w:rsid w:val="7CAA6238"/>
    <w:rsid w:val="7D3B579A"/>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unhideWhenUsed/>
    <w:qFormat/>
    <w:uiPriority w:val="0"/>
    <w:pPr>
      <w:spacing w:beforeLines="0" w:afterLines="0"/>
    </w:pPr>
    <w:rPr>
      <w:rFonts w:hint="default"/>
      <w:sz w:val="21"/>
      <w:szCs w:val="20"/>
    </w:rPr>
  </w:style>
  <w:style w:type="paragraph" w:styleId="8">
    <w:name w:val="Normal Indent"/>
    <w:basedOn w:val="1"/>
    <w:unhideWhenUsed/>
    <w:qFormat/>
    <w:uiPriority w:val="0"/>
    <w:pPr>
      <w:spacing w:beforeLines="0" w:afterLines="0"/>
      <w:ind w:firstLine="420"/>
    </w:pPr>
    <w:rPr>
      <w:rFonts w:hint="default"/>
      <w:sz w:val="21"/>
      <w:szCs w:val="20"/>
    </w:rPr>
  </w:style>
  <w:style w:type="paragraph" w:styleId="9">
    <w:name w:val="Body Text Indent"/>
    <w:basedOn w:val="1"/>
    <w:next w:val="10"/>
    <w:link w:val="34"/>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5"/>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next w:val="14"/>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9"/>
    <w:autoRedefine/>
    <w:qFormat/>
    <w:uiPriority w:val="0"/>
  </w:style>
  <w:style w:type="character" w:customStyle="1" w:styleId="35">
    <w:name w:val="纯文本 Char"/>
    <w:link w:val="11"/>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4"/>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23109</Words>
  <Characters>24247</Characters>
  <Lines>1</Lines>
  <Paragraphs>1</Paragraphs>
  <TotalTime>2</TotalTime>
  <ScaleCrop>false</ScaleCrop>
  <LinksUpToDate>false</LinksUpToDate>
  <CharactersWithSpaces>31656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2024-09-11T01:43:00Z</cp:lastPrinted>
  <dcterms:modified xsi:type="dcterms:W3CDTF">2024-09-11T11:19:00Z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E4E4BE12606E4D6BA04208285F71F2FF_13</vt:lpwstr>
  </property>
</Properties>
</file>