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B407B">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安徽省交通控股集团有限公司2025年度</w:t>
      </w:r>
    </w:p>
    <w:p w14:paraId="084BAD90">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新建改建路段服务区交安设施采购</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及安装项目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14:paraId="0D3160AD">
      <w:pPr>
        <w:pStyle w:val="8"/>
        <w:rPr>
          <w:rFonts w:ascii="Times New Roman" w:hAnsi="Times New Roman" w:cs="Times New Roman"/>
          <w:color w:val="auto"/>
          <w:szCs w:val="21"/>
          <w:highlight w:val="none"/>
        </w:rPr>
      </w:pPr>
    </w:p>
    <w:p w14:paraId="6B3871F8">
      <w:pPr>
        <w:rPr>
          <w:color w:val="auto"/>
          <w:highlight w:val="none"/>
        </w:rPr>
      </w:pPr>
    </w:p>
    <w:p w14:paraId="28B17120">
      <w:pPr>
        <w:pStyle w:val="8"/>
        <w:rPr>
          <w:rFonts w:ascii="Times New Roman" w:hAnsi="Times New Roman" w:cs="Times New Roman"/>
          <w:color w:val="auto"/>
          <w:szCs w:val="21"/>
          <w:highlight w:val="none"/>
        </w:rPr>
      </w:pPr>
    </w:p>
    <w:p w14:paraId="3E23AC69">
      <w:pPr>
        <w:pStyle w:val="8"/>
        <w:rPr>
          <w:rFonts w:ascii="Times New Roman" w:hAnsi="Times New Roman" w:cs="Times New Roman"/>
          <w:color w:val="auto"/>
          <w:szCs w:val="21"/>
          <w:highlight w:val="none"/>
        </w:rPr>
      </w:pPr>
    </w:p>
    <w:p w14:paraId="33EC8FBC">
      <w:pPr>
        <w:pStyle w:val="9"/>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10</w:t>
      </w:r>
      <w:r>
        <w:rPr>
          <w:rFonts w:hint="eastAsia" w:ascii="黑体" w:hAnsi="黑体" w:eastAsia="黑体" w:cs="黑体"/>
          <w:color w:val="auto"/>
          <w:sz w:val="32"/>
          <w:szCs w:val="32"/>
          <w:highlight w:val="none"/>
        </w:rPr>
        <w:t>月</w:t>
      </w:r>
    </w:p>
    <w:p w14:paraId="02CB63D9">
      <w:pPr>
        <w:pStyle w:val="9"/>
        <w:rPr>
          <w:rFonts w:hint="eastAsia"/>
          <w:color w:val="auto"/>
        </w:rPr>
      </w:pP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51F28E66">
          <w:pPr>
            <w:pStyle w:val="15"/>
            <w:tabs>
              <w:tab w:val="right" w:leader="dot" w:pos="8312"/>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_Toc12632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第一章 </w:t>
          </w:r>
          <w:r>
            <w:rPr>
              <w:rFonts w:hint="eastAsia" w:ascii="Times New Roman" w:hAnsi="Times New Roman" w:eastAsia="宋体" w:cs="Times New Roman"/>
              <w:highlight w:val="none"/>
              <w:lang w:val="en-US" w:eastAsia="zh-CN"/>
            </w:rPr>
            <w:t>预</w:t>
          </w:r>
          <w:r>
            <w:rPr>
              <w:rFonts w:ascii="Times New Roman" w:hAnsi="Times New Roman" w:eastAsia="宋体" w:cs="Times New Roman"/>
              <w:highlight w:val="none"/>
            </w:rPr>
            <w:t>采购公告</w:t>
          </w:r>
          <w:r>
            <w:tab/>
          </w:r>
          <w:r>
            <w:fldChar w:fldCharType="begin"/>
          </w:r>
          <w:r>
            <w:instrText xml:space="preserve"> PAGEREF _Toc12632 \h </w:instrText>
          </w:r>
          <w:r>
            <w:fldChar w:fldCharType="separate"/>
          </w:r>
          <w:r>
            <w:t>3</w:t>
          </w:r>
          <w:r>
            <w:fldChar w:fldCharType="end"/>
          </w:r>
          <w:r>
            <w:rPr>
              <w:rFonts w:hint="eastAsia" w:ascii="宋体" w:hAnsi="宋体" w:eastAsia="宋体" w:cs="宋体"/>
              <w:color w:val="auto"/>
              <w:szCs w:val="24"/>
              <w:highlight w:val="none"/>
            </w:rPr>
            <w:fldChar w:fldCharType="end"/>
          </w:r>
        </w:p>
        <w:p w14:paraId="3FC485D1">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_Toc20021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_Toc20021 \h </w:instrText>
          </w:r>
          <w:r>
            <w:fldChar w:fldCharType="separate"/>
          </w:r>
          <w:r>
            <w:t>7</w:t>
          </w:r>
          <w:r>
            <w:fldChar w:fldCharType="end"/>
          </w:r>
          <w:r>
            <w:rPr>
              <w:rFonts w:hint="eastAsia" w:ascii="宋体" w:hAnsi="宋体" w:eastAsia="宋体" w:cs="宋体"/>
              <w:color w:val="auto"/>
              <w:szCs w:val="24"/>
              <w:highlight w:val="none"/>
            </w:rPr>
            <w:fldChar w:fldCharType="end"/>
          </w:r>
        </w:p>
        <w:p w14:paraId="375E32DA">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_Toc8031 </w:instrText>
          </w:r>
          <w:r>
            <w:rPr>
              <w:rFonts w:hint="eastAsia" w:ascii="宋体" w:hAnsi="宋体" w:eastAsia="宋体" w:cs="宋体"/>
              <w:szCs w:val="24"/>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_Toc8031 \h </w:instrText>
          </w:r>
          <w:r>
            <w:fldChar w:fldCharType="separate"/>
          </w:r>
          <w:r>
            <w:t>18</w:t>
          </w:r>
          <w:r>
            <w:fldChar w:fldCharType="end"/>
          </w:r>
          <w:r>
            <w:rPr>
              <w:rFonts w:hint="eastAsia" w:ascii="宋体" w:hAnsi="宋体" w:eastAsia="宋体" w:cs="宋体"/>
              <w:color w:val="auto"/>
              <w:szCs w:val="24"/>
              <w:highlight w:val="none"/>
            </w:rPr>
            <w:fldChar w:fldCharType="end"/>
          </w:r>
        </w:p>
        <w:p w14:paraId="6B2E0122">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_Toc6156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_Toc6156 \h </w:instrText>
          </w:r>
          <w:r>
            <w:fldChar w:fldCharType="separate"/>
          </w:r>
          <w:r>
            <w:t>26</w:t>
          </w:r>
          <w:r>
            <w:fldChar w:fldCharType="end"/>
          </w:r>
          <w:r>
            <w:rPr>
              <w:rFonts w:hint="eastAsia" w:ascii="宋体" w:hAnsi="宋体" w:eastAsia="宋体" w:cs="宋体"/>
              <w:color w:val="auto"/>
              <w:szCs w:val="24"/>
              <w:highlight w:val="none"/>
            </w:rPr>
            <w:fldChar w:fldCharType="end"/>
          </w:r>
        </w:p>
        <w:p w14:paraId="6CC0C803">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_Toc32569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第五章 采购需求及清单</w:t>
          </w:r>
          <w:r>
            <w:tab/>
          </w:r>
          <w:r>
            <w:fldChar w:fldCharType="begin"/>
          </w:r>
          <w:r>
            <w:instrText xml:space="preserve"> PAGEREF _Toc32569 \h </w:instrText>
          </w:r>
          <w:r>
            <w:fldChar w:fldCharType="separate"/>
          </w:r>
          <w:r>
            <w:t>44</w:t>
          </w:r>
          <w:r>
            <w:fldChar w:fldCharType="end"/>
          </w:r>
          <w:r>
            <w:rPr>
              <w:rFonts w:hint="eastAsia" w:ascii="宋体" w:hAnsi="宋体" w:eastAsia="宋体" w:cs="宋体"/>
              <w:color w:val="auto"/>
              <w:szCs w:val="24"/>
              <w:highlight w:val="none"/>
            </w:rPr>
            <w:fldChar w:fldCharType="end"/>
          </w:r>
        </w:p>
        <w:p w14:paraId="7A9DCA61">
          <w:pPr>
            <w:pStyle w:val="15"/>
            <w:tabs>
              <w:tab w:val="right" w:leader="dot" w:pos="83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_Toc21767 </w:instrText>
          </w:r>
          <w:r>
            <w:rPr>
              <w:rFonts w:hint="eastAsia" w:ascii="宋体" w:hAnsi="宋体" w:eastAsia="宋体" w:cs="宋体"/>
              <w:szCs w:val="24"/>
              <w:highlight w:val="none"/>
            </w:rPr>
            <w:fldChar w:fldCharType="separate"/>
          </w:r>
          <w:r>
            <w:rPr>
              <w:rFonts w:hint="eastAsia" w:ascii="Times New Roman" w:hAnsi="Times New Roman" w:eastAsia="宋体" w:cs="Times New Roman"/>
              <w:highlight w:val="none"/>
              <w:lang w:val="en-US" w:eastAsia="zh-CN"/>
            </w:rPr>
            <w:t xml:space="preserve">第六章 </w:t>
          </w:r>
          <w:r>
            <w:rPr>
              <w:rFonts w:hint="eastAsia" w:ascii="Times New Roman" w:hAnsi="Times New Roman" w:eastAsia="宋体" w:cs="Times New Roman"/>
              <w:highlight w:val="none"/>
            </w:rPr>
            <w:t>响应文件格式</w:t>
          </w:r>
          <w:r>
            <w:tab/>
          </w:r>
          <w:r>
            <w:fldChar w:fldCharType="begin"/>
          </w:r>
          <w:r>
            <w:instrText xml:space="preserve"> PAGEREF _Toc21767 \h </w:instrText>
          </w:r>
          <w:r>
            <w:fldChar w:fldCharType="separate"/>
          </w:r>
          <w:r>
            <w:t>47</w:t>
          </w:r>
          <w:r>
            <w:fldChar w:fldCharType="end"/>
          </w:r>
          <w:r>
            <w:rPr>
              <w:rFonts w:hint="eastAsia" w:ascii="宋体" w:hAnsi="宋体" w:eastAsia="宋体" w:cs="宋体"/>
              <w:color w:val="auto"/>
              <w:szCs w:val="24"/>
              <w:highlight w:val="none"/>
            </w:rPr>
            <w:fldChar w:fldCharType="end"/>
          </w:r>
        </w:p>
        <w:p w14:paraId="144A6115">
          <w:pPr>
            <w:pStyle w:val="15"/>
            <w:tabs>
              <w:tab w:val="right" w:leader="dot" w:pos="8312"/>
            </w:tabs>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2"/>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highlight w:val="none"/>
        </w:rPr>
      </w:pPr>
      <w:bookmarkStart w:id="0" w:name="_Toc12632"/>
      <w:r>
        <w:rPr>
          <w:rFonts w:hint="eastAsia" w:ascii="Times New Roman" w:hAnsi="Times New Roman" w:eastAsia="宋体" w:cs="Times New Roman"/>
          <w:color w:val="auto"/>
          <w:highlight w:val="none"/>
          <w:lang w:val="en-US" w:eastAsia="zh-CN"/>
        </w:rPr>
        <w:t>预</w:t>
      </w:r>
      <w:r>
        <w:rPr>
          <w:rFonts w:ascii="Times New Roman" w:hAnsi="Times New Roman" w:eastAsia="宋体" w:cs="Times New Roman"/>
          <w:color w:val="auto"/>
          <w:highlight w:val="none"/>
        </w:rPr>
        <w:t>采购公告</w:t>
      </w:r>
      <w:bookmarkEnd w:id="0"/>
    </w:p>
    <w:p w14:paraId="04084549">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4489_WPSOffice_Level2"/>
      <w:bookmarkStart w:id="2" w:name="_Toc10395_WPSOffice_Level2"/>
      <w:bookmarkStart w:id="3" w:name="_Toc12765"/>
      <w:bookmarkStart w:id="4" w:name="_Toc6496_WPSOffice_Level2"/>
      <w:bookmarkStart w:id="5" w:name="_Toc525632585"/>
      <w:bookmarkStart w:id="6" w:name="_Toc24354_WPSOffice_Level2"/>
      <w:bookmarkStart w:id="7" w:name="_Toc13871"/>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安徽省交通控股集团有限公司2025年度新建改建路段服务区交安设施采购及安装项目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Times New Roman" w:hAnsi="Times New Roman" w:eastAsia="宋体" w:cs="Times New Roman"/>
          <w:color w:val="auto"/>
          <w:sz w:val="21"/>
          <w:szCs w:val="21"/>
          <w:highlight w:val="none"/>
          <w:u w:val="single"/>
          <w:lang w:val="en-US" w:eastAsia="zh-CN"/>
        </w:rPr>
        <w:t>安徽省交通控股集团所辖宁信高速的吕寨、阜南东服务区、太蕲高速天华服务区、天天高速竹丝湖、金社服务区、徐淮阜高速亳州段涡阳北服务区、亳蒙高速漆园服务区、固蚌高速王庄服务区、沪渝高速广德服务区及京台高速吴圩服务区的交安设施采购及安装</w:t>
      </w:r>
      <w:r>
        <w:rPr>
          <w:rFonts w:hint="default" w:ascii="Times New Roman" w:hAnsi="Times New Roman" w:eastAsia="宋体" w:cs="Times New Roman"/>
          <w:color w:val="auto"/>
          <w:kern w:val="0"/>
          <w:sz w:val="21"/>
          <w:szCs w:val="21"/>
          <w:highlight w:val="none"/>
          <w:u w:val="none"/>
          <w:lang w:eastAsia="zh-CN"/>
        </w:rPr>
        <w:t>。</w:t>
      </w:r>
    </w:p>
    <w:p w14:paraId="4C504C29">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23266_WPSOffice_Level2"/>
      <w:bookmarkStart w:id="9" w:name="_Toc8128_WPSOffice_Level2"/>
      <w:bookmarkStart w:id="10" w:name="_Toc10274"/>
      <w:bookmarkStart w:id="11" w:name="_Toc525632586"/>
      <w:bookmarkStart w:id="12" w:name="_Toc18453"/>
      <w:bookmarkStart w:id="13" w:name="_Toc18367_WPSOffice_Level2"/>
      <w:bookmarkStart w:id="14" w:name="_Toc17858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r>
        <w:rPr>
          <w:rFonts w:hint="eastAsia" w:ascii="Times New Roman" w:hAnsi="Times New Roman" w:eastAsia="黑体" w:cs="Times New Roman"/>
          <w:b w:val="0"/>
          <w:bCs/>
          <w:color w:val="auto"/>
          <w:sz w:val="22"/>
          <w:szCs w:val="15"/>
          <w:highlight w:val="none"/>
          <w:lang w:val="en-US" w:eastAsia="zh-CN"/>
        </w:rPr>
        <w:t>.</w:t>
      </w:r>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宋体" w:hAnsi="宋体" w:eastAsia="宋体" w:cs="宋体"/>
          <w:color w:val="auto"/>
          <w:szCs w:val="21"/>
          <w:highlight w:val="none"/>
          <w:u w:val="single"/>
          <w:lang w:val="en-US" w:eastAsia="zh-CN"/>
        </w:rPr>
        <w:t>详见采购清单。</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人民币237.6万元</w:t>
      </w:r>
      <w:r>
        <w:rPr>
          <w:rFonts w:hint="eastAsia" w:ascii="宋体" w:hAnsi="宋体" w:eastAsia="宋体" w:cs="宋体"/>
          <w:b w:val="0"/>
          <w:bCs w:val="0"/>
          <w:color w:val="auto"/>
          <w:szCs w:val="21"/>
          <w:highlight w:val="none"/>
          <w:u w:val="single"/>
          <w:lang w:val="en-US" w:eastAsia="zh-CN"/>
        </w:rPr>
        <w:t>。</w:t>
      </w:r>
    </w:p>
    <w:p w14:paraId="43DDA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kern w:val="0"/>
          <w:sz w:val="21"/>
          <w:szCs w:val="21"/>
          <w:highlight w:val="none"/>
          <w:u w:val="none"/>
          <w:lang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single"/>
        </w:rPr>
        <w:t>接甲方通知之日起15天</w:t>
      </w:r>
      <w:r>
        <w:rPr>
          <w:rFonts w:hint="eastAsia" w:ascii="Times New Roman" w:hAnsi="Times New Roman" w:eastAsia="宋体" w:cs="Times New Roman"/>
          <w:color w:val="auto"/>
          <w:szCs w:val="21"/>
          <w:highlight w:val="none"/>
          <w:u w:val="single"/>
          <w:lang w:val="en-US" w:eastAsia="zh-CN"/>
        </w:rPr>
        <w:t>内</w:t>
      </w:r>
      <w:r>
        <w:rPr>
          <w:rFonts w:hint="default" w:ascii="Times New Roman" w:hAnsi="Times New Roman" w:eastAsia="宋体" w:cs="Times New Roman"/>
          <w:color w:val="auto"/>
          <w:szCs w:val="21"/>
          <w:highlight w:val="none"/>
          <w:u w:val="single"/>
        </w:rPr>
        <w:t>货到现场</w:t>
      </w:r>
      <w:r>
        <w:rPr>
          <w:rFonts w:hint="eastAsia" w:ascii="Times New Roman" w:hAnsi="Times New Roman" w:eastAsia="宋体" w:cs="Times New Roman"/>
          <w:color w:val="auto"/>
          <w:szCs w:val="21"/>
          <w:highlight w:val="none"/>
          <w:u w:val="single"/>
          <w:lang w:val="en-US" w:eastAsia="zh-CN"/>
        </w:rPr>
        <w:t>并安装完成</w:t>
      </w:r>
      <w:r>
        <w:rPr>
          <w:rFonts w:hint="eastAsia" w:ascii="宋体" w:hAnsi="宋体" w:eastAsia="宋体" w:cs="宋体"/>
          <w:color w:val="auto"/>
          <w:kern w:val="0"/>
          <w:sz w:val="21"/>
          <w:szCs w:val="21"/>
          <w:highlight w:val="none"/>
          <w:u w:val="single"/>
          <w:lang w:val="en-US" w:eastAsia="zh-CN"/>
        </w:rPr>
        <w:t>（具体根据实际情况安排进度）</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szCs w:val="21"/>
          <w:highlight w:val="none"/>
          <w:u w:val="none"/>
          <w:lang w:val="en-US" w:eastAsia="zh-CN"/>
        </w:rPr>
        <w:t xml:space="preserve"> </w:t>
      </w:r>
    </w:p>
    <w:p w14:paraId="41257F13">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Times New Roman" w:hAnsi="Times New Roman" w:eastAsia="宋体" w:cs="Times New Roman"/>
          <w:color w:val="auto"/>
          <w:sz w:val="21"/>
          <w:szCs w:val="21"/>
          <w:highlight w:val="none"/>
          <w:u w:val="single"/>
          <w:lang w:val="en-US" w:eastAsia="zh-CN"/>
        </w:rPr>
        <w:t>吕寨、阜南东服务区、太蕲高速天华服务区、天天高速竹丝湖、金社服务区、徐淮阜高速亳州段涡阳北服务区、亳蒙高速漆园服务区、固蚌高速王庄服务区、沪渝高速广德服务区及京台高速吴圩服务区，</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yellow"/>
          <w:lang w:val="en-US" w:eastAsia="zh-CN"/>
        </w:rPr>
        <w:t>注：本次采购拟选两家供应单位，即入围报价环节价格最低的前两名，报价最低的单位将作为本项目主要供应单位，另外一家作为备选单位。备选单位须响应报价最低单位的价格，如不能响应，将由采购人按候选人名次顺延备选供应单位。两家供应单位共同保障本次项目供应。</w:t>
      </w:r>
      <w:r>
        <w:rPr>
          <w:rFonts w:hint="eastAsia" w:ascii="Times New Roman" w:hAnsi="Times New Roman" w:eastAsia="宋体" w:cs="Times New Roman"/>
          <w:b/>
          <w:bCs/>
          <w:color w:val="auto"/>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 xml:space="preserve">         </w:t>
      </w:r>
    </w:p>
    <w:p w14:paraId="22830808">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6F1DA9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②制造商/厂家参与询比的，应具备有生产、销售采购人所需材料的能力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8"/>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2022</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50万</w:t>
      </w:r>
      <w:r>
        <w:rPr>
          <w:rFonts w:hint="default" w:ascii="Times New Roman" w:hAnsi="Times New Roman" w:cs="Times New Roman" w:eastAsiaTheme="minorEastAsia"/>
          <w:b w:val="0"/>
          <w:bCs w:val="0"/>
          <w:color w:val="auto"/>
          <w:highlight w:val="none"/>
          <w:u w:val="single"/>
          <w:lang w:val="en-US" w:eastAsia="zh-CN"/>
        </w:rPr>
        <w:t>元的</w:t>
      </w:r>
      <w:r>
        <w:rPr>
          <w:rFonts w:hint="eastAsia" w:ascii="Times New Roman" w:hAnsi="Times New Roman" w:cs="Times New Roman"/>
          <w:b w:val="0"/>
          <w:bCs w:val="0"/>
          <w:color w:val="auto"/>
          <w:highlight w:val="none"/>
          <w:u w:val="single"/>
          <w:lang w:val="en-US" w:eastAsia="zh-CN"/>
        </w:rPr>
        <w:t>交安设施类</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8"/>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4109_WPSOffice_Level2"/>
      <w:bookmarkStart w:id="19" w:name="_Toc525632588"/>
      <w:bookmarkStart w:id="20" w:name="_Toc2996_WPSOffice_Level2"/>
      <w:bookmarkStart w:id="21" w:name="_Toc29452_WPSOffice_Level2"/>
      <w:bookmarkStart w:id="22" w:name="_Toc4751"/>
      <w:bookmarkStart w:id="23" w:name="_Toc1994"/>
      <w:bookmarkStart w:id="24" w:name="_Toc25666_WPSOffice_Level2"/>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6B76A709">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eastAsiaTheme="minorEastAsia"/>
          <w:color w:val="auto"/>
          <w:sz w:val="21"/>
          <w:szCs w:val="22"/>
          <w:highlight w:val="none"/>
          <w:lang w:eastAsia="zh-CN"/>
        </w:rPr>
      </w:pPr>
      <w:bookmarkStart w:id="25" w:name="_Toc525632589"/>
      <w:bookmarkStart w:id="26" w:name="_Toc726"/>
      <w:r>
        <w:rPr>
          <w:rFonts w:hint="eastAsia" w:ascii="Times New Roman" w:hAnsi="Times New Roman"/>
          <w:color w:val="auto"/>
          <w:sz w:val="21"/>
          <w:szCs w:val="22"/>
          <w:highlight w:val="none"/>
        </w:rPr>
        <w:t>供应商应在递交响应文件的截止时间前登录“安徽交控招采平台”（网址：zcpt.ahjkjt.com）</w:t>
      </w: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rPr>
        <w:t>“</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”（网址：www.ahjggroup.com），自行下载</w:t>
      </w:r>
      <w:r>
        <w:rPr>
          <w:rFonts w:hint="eastAsia" w:ascii="Times New Roman" w:hAnsi="Times New Roman"/>
          <w:color w:val="auto"/>
          <w:sz w:val="21"/>
          <w:szCs w:val="22"/>
          <w:highlight w:val="none"/>
          <w:lang w:val="en-US" w:eastAsia="zh-CN"/>
        </w:rPr>
        <w:t>询比</w:t>
      </w:r>
      <w:r>
        <w:rPr>
          <w:rFonts w:hint="eastAsia" w:ascii="Times New Roman" w:hAnsi="Times New Roman"/>
          <w:color w:val="auto"/>
          <w:sz w:val="21"/>
          <w:szCs w:val="22"/>
          <w:highlight w:val="none"/>
        </w:rPr>
        <w:t>文件及相关资料。未按规定下载采购文件的，后续将不予接受其响应文件</w:t>
      </w:r>
      <w:r>
        <w:rPr>
          <w:rFonts w:hint="eastAsia" w:ascii="Times New Roman" w:hAnsi="Times New Roman"/>
          <w:color w:val="auto"/>
          <w:sz w:val="21"/>
          <w:szCs w:val="22"/>
          <w:highlight w:val="none"/>
          <w:lang w:eastAsia="zh-CN"/>
        </w:rPr>
        <w:t>。</w:t>
      </w:r>
    </w:p>
    <w:p w14:paraId="080155A2">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rPr>
        <w:t>注意事项：</w:t>
      </w:r>
    </w:p>
    <w:p w14:paraId="6D1CD989">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eastAsiaTheme="minorEastAsia" w:cstheme="minorBidi"/>
          <w:color w:val="auto"/>
          <w:kern w:val="2"/>
          <w:sz w:val="21"/>
          <w:szCs w:val="22"/>
          <w:highlight w:val="none"/>
          <w:lang w:val="en-US" w:eastAsia="zh-CN" w:bidi="ar-SA"/>
        </w:rPr>
        <w:t>（1）</w:t>
      </w:r>
      <w:r>
        <w:rPr>
          <w:rFonts w:hint="eastAsia" w:ascii="Times New Roman" w:hAnsi="Times New Roman"/>
          <w:color w:val="auto"/>
          <w:sz w:val="21"/>
          <w:szCs w:val="22"/>
          <w:highlight w:val="none"/>
        </w:rPr>
        <w:t>潜在供应商登陆“安徽交控招采平台”（网址：zcpt.ahjkjt.com）参与本项目</w:t>
      </w:r>
      <w:r>
        <w:rPr>
          <w:rFonts w:hint="eastAsia" w:ascii="Times New Roman" w:hAnsi="Times New Roman"/>
          <w:color w:val="auto"/>
          <w:sz w:val="21"/>
          <w:szCs w:val="22"/>
          <w:highlight w:val="none"/>
          <w:lang w:eastAsia="zh-CN"/>
        </w:rPr>
        <w:t>的</w:t>
      </w:r>
      <w:r>
        <w:rPr>
          <w:rFonts w:hint="eastAsia" w:ascii="Times New Roman" w:hAnsi="Times New Roman"/>
          <w:color w:val="auto"/>
          <w:sz w:val="21"/>
          <w:szCs w:val="22"/>
          <w:highlight w:val="none"/>
        </w:rPr>
        <w:t>。</w:t>
      </w:r>
    </w:p>
    <w:p w14:paraId="4AB3FAEA">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eastAsia="zh-CN"/>
        </w:rPr>
        <w:t>①</w:t>
      </w:r>
      <w:r>
        <w:rPr>
          <w:rFonts w:hint="eastAsia" w:ascii="Times New Roman" w:hAnsi="Times New Roman"/>
          <w:color w:val="auto"/>
          <w:sz w:val="21"/>
          <w:szCs w:val="22"/>
          <w:highlight w:val="none"/>
        </w:rPr>
        <w:t>首次登陆须办理注册手续，请务必选择注册为“供应商”类型。注册流程见安徽交控招采平台“用户注册”栏目，咨询电话：010-86392341。因未及时办理注册手续影响参加采购活动的，责任自负。</w:t>
      </w:r>
    </w:p>
    <w:p w14:paraId="6464E68A">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val="en-US" w:eastAsia="zh-CN"/>
        </w:rPr>
        <w:t>②</w:t>
      </w:r>
      <w:r>
        <w:rPr>
          <w:rFonts w:hint="eastAsia" w:ascii="Times New Roman" w:hAnsi="Times New Roman"/>
          <w:color w:val="auto"/>
          <w:sz w:val="21"/>
          <w:szCs w:val="22"/>
          <w:highlight w:val="none"/>
        </w:rPr>
        <w:t>已注册的潜在供应商可登录安徽交控招采平台直接获取采购文件。本项目的采购文件及其他资料（含澄清、答疑及相关补充文件）通过安徽交控招采平台发布，采购人/代理机构不再另行书面通知，潜在供应商应及时关注、查阅安徽交控招采平台。因未及时查看导致不利后果的，责任自负。</w:t>
      </w:r>
    </w:p>
    <w:p w14:paraId="5A7E5BF8">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eastAsia" w:ascii="Times New Roman" w:hAnsi="Times New Roman"/>
          <w:color w:val="auto"/>
          <w:sz w:val="21"/>
          <w:szCs w:val="22"/>
          <w:highlight w:val="none"/>
        </w:rPr>
      </w:pPr>
      <w:r>
        <w:rPr>
          <w:rFonts w:hint="eastAsia" w:ascii="Times New Roman" w:hAnsi="Times New Roman"/>
          <w:color w:val="auto"/>
          <w:sz w:val="21"/>
          <w:szCs w:val="22"/>
          <w:highlight w:val="none"/>
          <w:lang w:val="en-US" w:eastAsia="zh-CN"/>
        </w:rPr>
        <w:t>③</w:t>
      </w:r>
      <w:r>
        <w:rPr>
          <w:rFonts w:hint="eastAsia" w:ascii="Times New Roman" w:hAnsi="Times New Roman"/>
          <w:color w:val="auto"/>
          <w:sz w:val="21"/>
          <w:szCs w:val="22"/>
          <w:highlight w:val="none"/>
        </w:rPr>
        <w:t>已注册的潜在供应商若注册信息发生变更（如：与初始注册信息不一致），应及时网上提交变更申请。因未及时变更导致不利后果的，责任自负。</w:t>
      </w:r>
    </w:p>
    <w:p w14:paraId="00F75D5F">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lang w:val="en-US" w:eastAsia="zh-CN"/>
        </w:rPr>
        <w:t>2</w:t>
      </w:r>
      <w:r>
        <w:rPr>
          <w:rFonts w:hint="eastAsia" w:ascii="Times New Roman" w:hAnsi="Times New Roman"/>
          <w:color w:val="auto"/>
          <w:sz w:val="21"/>
          <w:szCs w:val="22"/>
          <w:highlight w:val="none"/>
          <w:lang w:eastAsia="zh-CN"/>
        </w:rPr>
        <w:t>）</w:t>
      </w:r>
      <w:r>
        <w:rPr>
          <w:rFonts w:hint="eastAsia" w:ascii="Times New Roman" w:hAnsi="Times New Roman"/>
          <w:color w:val="auto"/>
          <w:sz w:val="21"/>
          <w:szCs w:val="22"/>
          <w:highlight w:val="none"/>
        </w:rPr>
        <w:t>潜在供应商登陆“</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”（网址：www.ahjggroup.com）参与本项目</w:t>
      </w:r>
      <w:r>
        <w:rPr>
          <w:rFonts w:hint="eastAsia" w:ascii="Times New Roman" w:hAnsi="Times New Roman"/>
          <w:color w:val="auto"/>
          <w:sz w:val="21"/>
          <w:szCs w:val="22"/>
          <w:highlight w:val="none"/>
          <w:lang w:eastAsia="zh-CN"/>
        </w:rPr>
        <w:t>的。</w:t>
      </w:r>
      <w:r>
        <w:rPr>
          <w:rFonts w:hint="eastAsia" w:ascii="Times New Roman" w:hAnsi="Times New Roman"/>
          <w:color w:val="auto"/>
          <w:sz w:val="21"/>
          <w:szCs w:val="22"/>
          <w:highlight w:val="none"/>
          <w:lang w:val="en-US" w:eastAsia="zh-CN"/>
        </w:rPr>
        <w:t>需在</w:t>
      </w:r>
      <w:r>
        <w:rPr>
          <w:rFonts w:hint="eastAsia" w:ascii="Times New Roman" w:hAnsi="Times New Roman"/>
          <w:color w:val="auto"/>
          <w:sz w:val="21"/>
          <w:szCs w:val="22"/>
          <w:highlight w:val="none"/>
        </w:rPr>
        <w:t>“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22719"/>
      <w:bookmarkStart w:id="28" w:name="_Toc525632591"/>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10</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28</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14</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22B0FA7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付款备注：新改建服务区项目交安设施响应保证金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777188AF">
      <w:pPr>
        <w:numPr>
          <w:ilvl w:val="0"/>
          <w:numId w:val="0"/>
        </w:numPr>
        <w:spacing w:beforeLines="0" w:afterLines="0" w:line="440" w:lineRule="exact"/>
        <w:ind w:firstLine="420" w:firstLineChars="0"/>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（2）</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w:t>
      </w:r>
      <w:r>
        <w:rPr>
          <w:rFonts w:hint="eastAsia" w:ascii="宋体" w:hAnsi="宋体" w:cs="宋体"/>
          <w:b/>
          <w:color w:val="auto"/>
          <w:sz w:val="21"/>
          <w:szCs w:val="21"/>
          <w:highlight w:val="none"/>
          <w:u w:val="single"/>
          <w:lang w:val="en-US" w:eastAsia="zh-CN" w:bidi="ar"/>
        </w:rPr>
        <w:t>2%</w:t>
      </w:r>
      <w:r>
        <w:rPr>
          <w:rFonts w:hint="eastAsia" w:ascii="宋体" w:hAnsi="宋体" w:cs="宋体"/>
          <w:b/>
          <w:color w:val="auto"/>
          <w:sz w:val="21"/>
          <w:szCs w:val="21"/>
          <w:highlight w:val="none"/>
          <w:lang w:val="en-US" w:eastAsia="zh-CN" w:bidi="ar"/>
        </w:rPr>
        <w:t>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w:t>
      </w:r>
      <w:r>
        <w:rPr>
          <w:rFonts w:hint="eastAsia" w:ascii="宋体" w:hAnsi="宋体" w:cs="宋体"/>
          <w:b/>
          <w:color w:val="auto"/>
          <w:sz w:val="21"/>
          <w:szCs w:val="21"/>
          <w:highlight w:val="none"/>
          <w:u w:val="single"/>
          <w:lang w:val="en-US" w:eastAsia="zh-CN" w:bidi="ar"/>
        </w:rPr>
        <w:t>5%</w:t>
      </w:r>
      <w:r>
        <w:rPr>
          <w:rFonts w:hint="eastAsia" w:ascii="宋体" w:hAnsi="宋体" w:cs="宋体"/>
          <w:b/>
          <w:color w:val="auto"/>
          <w:sz w:val="21"/>
          <w:szCs w:val="21"/>
          <w:highlight w:val="none"/>
          <w:lang w:val="en-US" w:eastAsia="zh-CN" w:bidi="ar"/>
        </w:rPr>
        <w:t>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p w14:paraId="6AF987E4">
      <w:pPr>
        <w:numPr>
          <w:ilvl w:val="0"/>
          <w:numId w:val="0"/>
        </w:numPr>
        <w:spacing w:beforeLines="0" w:afterLines="0" w:line="440" w:lineRule="exact"/>
        <w:ind w:firstLine="420" w:firstLineChars="0"/>
        <w:rPr>
          <w:rFonts w:hint="eastAsia" w:ascii="宋体" w:hAnsi="宋体" w:eastAsia="宋体" w:cs="宋体"/>
          <w:color w:val="auto"/>
          <w:szCs w:val="21"/>
        </w:rPr>
      </w:pPr>
      <w:r>
        <w:rPr>
          <w:rFonts w:hint="eastAsia" w:ascii="宋体" w:hAnsi="宋体" w:eastAsia="宋体" w:cs="宋体"/>
          <w:color w:val="auto"/>
          <w:szCs w:val="21"/>
        </w:rPr>
        <w:t xml:space="preserve">（3）已提交响应保证金的供应商，无需二次提交。 </w:t>
      </w:r>
    </w:p>
    <w:p w14:paraId="110D2E1A">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8501"/>
      <w:bookmarkStart w:id="30" w:name="_Toc28571_WPSOffice_Level2"/>
      <w:bookmarkStart w:id="31" w:name="_Toc525632592"/>
      <w:bookmarkStart w:id="32" w:name="_Toc14943_WPSOffice_Level2"/>
      <w:bookmarkStart w:id="33" w:name="_Toc20572_WPSOffice_Level2"/>
      <w:bookmarkStart w:id="34" w:name="_Toc321_WPSOffice_Level2"/>
      <w:bookmarkStart w:id="35" w:name="_Toc26829"/>
      <w:r>
        <w:rPr>
          <w:rFonts w:hint="eastAsia" w:ascii="Times New Roman" w:hAnsi="Times New Roman"/>
          <w:color w:val="auto"/>
          <w:sz w:val="21"/>
          <w:szCs w:val="22"/>
          <w:highlight w:val="none"/>
        </w:rPr>
        <w:t>本次采购公告同时在安徽交控招采平台（zcpt.ahjkjt.com）、安徽交控建设工程集团有限公司网站（www.ahjggroup.com）上发布，对于因其他网站转载并发布的非完整版或修改版公告，而导致误报名或无效报名的情形，采购人不予承担责任。</w:t>
      </w:r>
    </w:p>
    <w:p w14:paraId="1B57102E">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67DD1B2B">
      <w:pPr>
        <w:pStyle w:val="3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64AAB20">
      <w:pPr>
        <w:pStyle w:val="33"/>
        <w:jc w:val="both"/>
        <w:rPr>
          <w:rFonts w:hint="eastAsia" w:ascii="宋体" w:hAnsi="宋体" w:eastAsia="宋体" w:cs="宋体"/>
          <w:color w:val="auto"/>
          <w:sz w:val="21"/>
          <w:szCs w:val="21"/>
          <w:highlight w:val="none"/>
        </w:rPr>
      </w:pPr>
    </w:p>
    <w:p w14:paraId="3F5167B0">
      <w:pPr>
        <w:pStyle w:val="33"/>
        <w:jc w:val="both"/>
        <w:rPr>
          <w:rFonts w:hint="eastAsia" w:ascii="宋体" w:hAnsi="宋体" w:eastAsia="宋体" w:cs="宋体"/>
          <w:color w:val="auto"/>
          <w:sz w:val="21"/>
          <w:szCs w:val="21"/>
          <w:highlight w:val="none"/>
        </w:rPr>
      </w:pPr>
    </w:p>
    <w:p w14:paraId="7B02CDF2">
      <w:pPr>
        <w:pStyle w:val="33"/>
        <w:jc w:val="both"/>
        <w:rPr>
          <w:rFonts w:hint="eastAsia" w:ascii="宋体" w:hAnsi="宋体" w:eastAsia="宋体" w:cs="宋体"/>
          <w:color w:val="auto"/>
          <w:sz w:val="21"/>
          <w:szCs w:val="21"/>
          <w:highlight w:val="none"/>
        </w:rPr>
      </w:pPr>
    </w:p>
    <w:p w14:paraId="47F5354D">
      <w:pPr>
        <w:pStyle w:val="33"/>
        <w:jc w:val="both"/>
        <w:rPr>
          <w:rFonts w:hint="eastAsia" w:ascii="宋体" w:hAnsi="宋体" w:eastAsia="宋体" w:cs="宋体"/>
          <w:color w:val="auto"/>
          <w:sz w:val="21"/>
          <w:szCs w:val="21"/>
          <w:highlight w:val="none"/>
        </w:rPr>
      </w:pPr>
    </w:p>
    <w:p w14:paraId="013077F2">
      <w:pPr>
        <w:pStyle w:val="33"/>
        <w:jc w:val="both"/>
        <w:rPr>
          <w:rFonts w:hint="eastAsia" w:ascii="宋体" w:hAnsi="宋体" w:eastAsia="宋体" w:cs="宋体"/>
          <w:color w:val="auto"/>
          <w:sz w:val="21"/>
          <w:szCs w:val="21"/>
          <w:highlight w:val="none"/>
        </w:rPr>
      </w:pPr>
    </w:p>
    <w:p w14:paraId="2DED9ADE">
      <w:pPr>
        <w:pStyle w:val="33"/>
        <w:jc w:val="both"/>
        <w:rPr>
          <w:rFonts w:hint="eastAsia" w:ascii="宋体" w:hAnsi="宋体" w:eastAsia="宋体" w:cs="宋体"/>
          <w:color w:val="auto"/>
          <w:sz w:val="21"/>
          <w:szCs w:val="21"/>
          <w:highlight w:val="none"/>
        </w:rPr>
      </w:pPr>
    </w:p>
    <w:p w14:paraId="28659942">
      <w:pPr>
        <w:pStyle w:val="33"/>
        <w:jc w:val="both"/>
        <w:rPr>
          <w:rFonts w:hint="eastAsia" w:ascii="宋体" w:hAnsi="宋体" w:eastAsia="宋体" w:cs="宋体"/>
          <w:color w:val="auto"/>
          <w:sz w:val="21"/>
          <w:szCs w:val="21"/>
          <w:highlight w:val="none"/>
        </w:rPr>
      </w:pPr>
    </w:p>
    <w:p w14:paraId="0997C17A">
      <w:pPr>
        <w:pStyle w:val="33"/>
        <w:jc w:val="both"/>
        <w:rPr>
          <w:rFonts w:hint="eastAsia" w:ascii="宋体" w:hAnsi="宋体" w:eastAsia="宋体" w:cs="宋体"/>
          <w:color w:val="auto"/>
          <w:sz w:val="21"/>
          <w:szCs w:val="21"/>
          <w:highlight w:val="none"/>
        </w:rPr>
      </w:pPr>
    </w:p>
    <w:p w14:paraId="3F1EA6EE">
      <w:pPr>
        <w:pStyle w:val="33"/>
        <w:jc w:val="both"/>
        <w:rPr>
          <w:rFonts w:hint="eastAsia" w:ascii="宋体" w:hAnsi="宋体" w:eastAsia="宋体" w:cs="宋体"/>
          <w:color w:val="auto"/>
          <w:sz w:val="21"/>
          <w:szCs w:val="21"/>
          <w:highlight w:val="none"/>
        </w:rPr>
      </w:pPr>
    </w:p>
    <w:p w14:paraId="24EB2EA2">
      <w:pPr>
        <w:pStyle w:val="2"/>
        <w:spacing w:before="312" w:after="312"/>
        <w:rPr>
          <w:rFonts w:ascii="Times New Roman" w:hAnsi="Times New Roman" w:eastAsia="宋体" w:cs="Times New Roman"/>
          <w:color w:val="auto"/>
          <w:highlight w:val="none"/>
        </w:rPr>
      </w:pPr>
      <w:bookmarkStart w:id="36" w:name="_Toc20021"/>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26656928"/>
      <w:bookmarkStart w:id="38" w:name="_Toc19501"/>
      <w:bookmarkStart w:id="39" w:name="_Toc55466811"/>
      <w:bookmarkStart w:id="40" w:name="_Toc29381_WPSOffice_Level2"/>
      <w:bookmarkStart w:id="41" w:name="_Toc16069"/>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预采购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采购</w:t>
            </w:r>
            <w:r>
              <w:rPr>
                <w:rFonts w:hint="default"/>
                <w:color w:val="auto"/>
                <w:sz w:val="22"/>
                <w:szCs w:val="22"/>
                <w:highlight w:val="none"/>
              </w:rPr>
              <w:t>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预</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预</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bCs/>
                <w:color w:val="auto"/>
                <w:kern w:val="0"/>
                <w:sz w:val="22"/>
                <w:szCs w:val="22"/>
                <w:highlight w:val="none"/>
                <w:lang w:val="en-US" w:eastAsia="zh-CN" w:bidi="ar"/>
              </w:rPr>
              <w:t>预</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bCs/>
                <w:color w:val="auto"/>
                <w:kern w:val="0"/>
                <w:sz w:val="22"/>
                <w:szCs w:val="22"/>
                <w:highlight w:val="none"/>
                <w:lang w:val="en-US" w:eastAsia="zh-CN" w:bidi="ar"/>
              </w:rPr>
              <w:t>预</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val="en-US" w:eastAsia="zh-CN"/>
              </w:rPr>
            </w:pPr>
            <w:r>
              <w:rPr>
                <w:rFonts w:hint="default"/>
                <w:color w:val="auto"/>
                <w:sz w:val="22"/>
                <w:szCs w:val="22"/>
                <w:highlight w:val="none"/>
              </w:rPr>
              <w:t>是否接受联合体</w:t>
            </w:r>
            <w:r>
              <w:rPr>
                <w:rFonts w:hint="eastAsia"/>
                <w:color w:val="auto"/>
                <w:sz w:val="22"/>
                <w:szCs w:val="22"/>
                <w:highlight w:val="none"/>
                <w:lang w:val="en-US" w:eastAsia="zh-CN"/>
              </w:rPr>
              <w:t>响应</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形式：“安徽交控招采平台”（网址：zcpt.ahjkjt.com）、</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安徽交控建设工程集团</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（网址：www.ahjggroup.com）</w:t>
            </w:r>
            <w:r>
              <w:rPr>
                <w:rFonts w:hint="eastAsia" w:cs="宋体"/>
                <w:color w:val="auto"/>
                <w:sz w:val="22"/>
                <w:szCs w:val="22"/>
                <w:highlight w:val="none"/>
                <w:lang w:val="en-US" w:eastAsia="zh-CN"/>
              </w:rPr>
              <w:t>同时</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澄清将在“安徽交控招采平台”（网址：zcpt.ahjkjt.com）、</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安徽交控建设工程集团</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（网址：www.ahjggroup.com）</w:t>
            </w:r>
            <w:r>
              <w:rPr>
                <w:rFonts w:hint="eastAsia" w:ascii="宋体" w:hAnsi="宋体" w:eastAsia="宋体" w:cs="宋体"/>
                <w:color w:val="auto"/>
                <w:sz w:val="22"/>
                <w:szCs w:val="22"/>
                <w:highlight w:val="none"/>
                <w:lang w:val="en-US" w:eastAsia="zh-CN"/>
              </w:rPr>
              <w:t>同时</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应关注“安徽交控招采平台”（网址：zcpt.ahjkjt.com）、</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lang w:eastAsia="zh-CN"/>
              </w:rPr>
              <w:t>安徽交控建设工程集团</w:t>
            </w:r>
            <w:r>
              <w:rPr>
                <w:rFonts w:hint="eastAsia" w:cs="宋体"/>
                <w:color w:val="auto"/>
                <w:sz w:val="22"/>
                <w:szCs w:val="22"/>
                <w:highlight w:val="none"/>
                <w:lang w:eastAsia="zh-CN"/>
              </w:rPr>
              <w:t>”</w:t>
            </w:r>
            <w:r>
              <w:rPr>
                <w:rFonts w:hint="eastAsia" w:ascii="宋体" w:hAnsi="宋体" w:eastAsia="宋体" w:cs="宋体"/>
                <w:color w:val="auto"/>
                <w:sz w:val="22"/>
                <w:szCs w:val="22"/>
                <w:highlight w:val="none"/>
              </w:rPr>
              <w:t>（网址：www.ahjggroup.com）的网站，及时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w:t>
            </w:r>
            <w:r>
              <w:rPr>
                <w:rFonts w:hint="eastAsia"/>
                <w:b/>
                <w:bCs/>
                <w:color w:val="auto"/>
                <w:sz w:val="22"/>
                <w:szCs w:val="22"/>
                <w:highlight w:val="none"/>
                <w:lang w:val="en-US" w:eastAsia="zh-CN"/>
              </w:rPr>
              <w:t>预</w:t>
            </w:r>
            <w:r>
              <w:rPr>
                <w:rFonts w:hint="default"/>
                <w:b/>
                <w:bCs/>
                <w:color w:val="auto"/>
                <w:sz w:val="22"/>
                <w:szCs w:val="22"/>
                <w:highlight w:val="none"/>
              </w:rPr>
              <w:t>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val="en-US"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6"/>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w:t>
            </w:r>
            <w:r>
              <w:rPr>
                <w:rFonts w:hint="eastAsia" w:ascii="宋体" w:hAnsi="宋体" w:eastAsia="宋体" w:cs="宋体"/>
                <w:b/>
                <w:bCs/>
                <w:color w:val="auto"/>
                <w:sz w:val="22"/>
                <w:szCs w:val="22"/>
                <w:highlight w:val="none"/>
                <w:lang w:val="en-US" w:eastAsia="zh-CN"/>
              </w:rPr>
              <w:t>预</w:t>
            </w:r>
            <w:r>
              <w:rPr>
                <w:rFonts w:hint="eastAsia" w:ascii="宋体" w:hAnsi="宋体" w:eastAsia="宋体" w:cs="宋体"/>
                <w:b/>
                <w:bCs/>
                <w:color w:val="auto"/>
                <w:sz w:val="22"/>
                <w:szCs w:val="22"/>
                <w:highlight w:val="none"/>
                <w:lang w:eastAsia="zh-CN"/>
              </w:rPr>
              <w:t>采购公告。</w:t>
            </w:r>
          </w:p>
          <w:p w14:paraId="5989D34F">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截止时间。</w:t>
            </w:r>
          </w:p>
          <w:p w14:paraId="1D8317AE">
            <w:pPr>
              <w:pStyle w:val="6"/>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6"/>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w:t>
            </w:r>
            <w:r>
              <w:rPr>
                <w:rFonts w:hint="eastAsia"/>
                <w:bCs/>
                <w:color w:val="auto"/>
                <w:kern w:val="0"/>
                <w:sz w:val="22"/>
                <w:szCs w:val="22"/>
                <w:highlight w:val="none"/>
                <w:lang w:val="en-US" w:eastAsia="zh-CN" w:bidi="ar"/>
              </w:rPr>
              <w:t>预</w:t>
            </w:r>
            <w:r>
              <w:rPr>
                <w:rFonts w:hint="eastAsia" w:eastAsia="宋体"/>
                <w:color w:val="auto"/>
                <w:sz w:val="22"/>
                <w:szCs w:val="22"/>
                <w:highlight w:val="none"/>
                <w:u w:val="none"/>
                <w:lang w:eastAsia="zh-CN"/>
              </w:rPr>
              <w:t>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val="en-US"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val="en-US" w:eastAsia="zh-CN"/>
              </w:rPr>
              <w:t>响应</w:t>
            </w:r>
            <w:r>
              <w:rPr>
                <w:rFonts w:hint="default"/>
                <w:color w:val="auto"/>
                <w:sz w:val="22"/>
                <w:szCs w:val="22"/>
                <w:highlight w:val="none"/>
              </w:rPr>
              <w:t>、以行贿谋取</w:t>
            </w:r>
            <w:r>
              <w:rPr>
                <w:rFonts w:hint="eastAsia"/>
                <w:color w:val="auto"/>
                <w:sz w:val="22"/>
                <w:szCs w:val="22"/>
                <w:highlight w:val="none"/>
                <w:lang w:val="en-US" w:eastAsia="zh-CN"/>
              </w:rPr>
              <w:t>成交</w:t>
            </w:r>
            <w:r>
              <w:rPr>
                <w:rFonts w:hint="default"/>
                <w:color w:val="auto"/>
                <w:sz w:val="22"/>
                <w:szCs w:val="22"/>
                <w:highlight w:val="none"/>
              </w:rPr>
              <w:t>、无正当理由放弃</w:t>
            </w:r>
            <w:r>
              <w:rPr>
                <w:rFonts w:hint="eastAsia"/>
                <w:color w:val="auto"/>
                <w:sz w:val="22"/>
                <w:szCs w:val="22"/>
                <w:highlight w:val="none"/>
                <w:lang w:val="en-US" w:eastAsia="zh-CN"/>
              </w:rPr>
              <w:t>成交</w:t>
            </w:r>
            <w:r>
              <w:rPr>
                <w:rFonts w:hint="default"/>
                <w:color w:val="auto"/>
                <w:sz w:val="22"/>
                <w:szCs w:val="22"/>
                <w:highlight w:val="none"/>
              </w:rPr>
              <w:t>以及进行恶意投诉等</w:t>
            </w:r>
            <w:r>
              <w:rPr>
                <w:rFonts w:hint="eastAsia"/>
                <w:color w:val="auto"/>
                <w:sz w:val="22"/>
                <w:szCs w:val="22"/>
                <w:highlight w:val="none"/>
                <w:lang w:val="en-US"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cs="宋体"/>
                <w:color w:val="auto"/>
                <w:sz w:val="22"/>
                <w:szCs w:val="22"/>
                <w:highlight w:val="none"/>
                <w:u w:val="single"/>
                <w:lang w:val="en-US" w:eastAsia="zh-CN"/>
              </w:rPr>
              <w:t>2022</w:t>
            </w:r>
            <w:r>
              <w:rPr>
                <w:rFonts w:hint="eastAsia" w:ascii="宋体" w:hAnsi="宋体" w:cs="宋体"/>
                <w:color w:val="auto"/>
                <w:sz w:val="22"/>
                <w:szCs w:val="22"/>
                <w:highlight w:val="none"/>
              </w:rPr>
              <w:t>年</w:t>
            </w:r>
            <w:r>
              <w:rPr>
                <w:rFonts w:hint="eastAsia"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cs="宋体"/>
                <w:color w:val="auto"/>
                <w:sz w:val="22"/>
                <w:szCs w:val="22"/>
                <w:highlight w:val="none"/>
                <w:u w:val="single"/>
                <w:lang w:val="en-US" w:eastAsia="zh-CN"/>
              </w:rPr>
              <w:t>1</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val="en-US" w:eastAsia="zh-CN"/>
              </w:rPr>
              <w:t>响应</w:t>
            </w:r>
            <w:r>
              <w:rPr>
                <w:rFonts w:hint="default"/>
                <w:color w:val="auto"/>
                <w:sz w:val="22"/>
                <w:szCs w:val="22"/>
                <w:highlight w:val="none"/>
              </w:rPr>
              <w:t>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val="en-US" w:eastAsia="zh-CN"/>
              </w:rPr>
              <w:t>响应</w:t>
            </w:r>
            <w:r>
              <w:rPr>
                <w:rFonts w:hint="default"/>
                <w:color w:val="auto"/>
                <w:sz w:val="22"/>
                <w:szCs w:val="22"/>
                <w:highlight w:val="none"/>
              </w:rPr>
              <w:t>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评审</w:t>
            </w:r>
            <w:r>
              <w:rPr>
                <w:rFonts w:hint="eastAsia" w:ascii="宋体" w:hAnsi="宋体" w:cs="宋体"/>
                <w:color w:val="auto"/>
                <w:sz w:val="22"/>
                <w:szCs w:val="22"/>
                <w:highlight w:val="none"/>
              </w:rPr>
              <w:t>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密封情况检查：宣布评审后，供应商代表互检响应文件密封及递交情况，并就检查结果明确意见。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评审</w:t>
            </w:r>
            <w:r>
              <w:rPr>
                <w:rFonts w:hint="default"/>
                <w:color w:val="auto"/>
                <w:sz w:val="22"/>
                <w:szCs w:val="22"/>
                <w:highlight w:val="none"/>
              </w:rPr>
              <w:t>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w:t>
            </w:r>
            <w:r>
              <w:rPr>
                <w:rFonts w:hint="eastAsia"/>
                <w:color w:val="auto"/>
                <w:sz w:val="22"/>
                <w:szCs w:val="22"/>
                <w:highlight w:val="none"/>
                <w:lang w:val="en-US" w:eastAsia="zh-CN"/>
              </w:rPr>
              <w:t>审</w:t>
            </w:r>
            <w:r>
              <w:rPr>
                <w:rFonts w:hint="default"/>
                <w:color w:val="auto"/>
                <w:sz w:val="22"/>
                <w:szCs w:val="22"/>
                <w:highlight w:val="none"/>
              </w:rPr>
              <w:t>专家确定方式：符合规定的评</w:t>
            </w:r>
            <w:r>
              <w:rPr>
                <w:rFonts w:hint="eastAsia"/>
                <w:color w:val="auto"/>
                <w:sz w:val="22"/>
                <w:szCs w:val="22"/>
                <w:highlight w:val="none"/>
                <w:lang w:val="en-US" w:eastAsia="zh-CN"/>
              </w:rPr>
              <w:t>审</w:t>
            </w:r>
            <w:r>
              <w:rPr>
                <w:rFonts w:hint="default"/>
                <w:color w:val="auto"/>
                <w:sz w:val="22"/>
                <w:szCs w:val="22"/>
                <w:highlight w:val="none"/>
              </w:rPr>
              <w:t>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w:t>
            </w:r>
            <w:r>
              <w:rPr>
                <w:rFonts w:hint="eastAsia"/>
                <w:color w:val="auto"/>
                <w:sz w:val="22"/>
                <w:szCs w:val="22"/>
                <w:highlight w:val="none"/>
                <w:lang w:val="en-US" w:eastAsia="zh-CN"/>
              </w:rPr>
              <w:t>审</w:t>
            </w:r>
            <w:r>
              <w:rPr>
                <w:rFonts w:hint="eastAsia"/>
                <w:color w:val="auto"/>
                <w:sz w:val="22"/>
                <w:szCs w:val="22"/>
                <w:highlight w:val="none"/>
              </w:rPr>
              <w:t>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公示媒介：“安徽交控招采平台”（网址：zcpt.ahjkjt.com）、“安徽交控建设工程集团”（网址：www.ahjggroup.com）</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w:t>
            </w:r>
            <w:r>
              <w:rPr>
                <w:rFonts w:hint="eastAsia"/>
                <w:color w:val="auto"/>
                <w:sz w:val="22"/>
                <w:szCs w:val="22"/>
                <w:highlight w:val="none"/>
                <w:lang w:val="en-US" w:eastAsia="zh-CN"/>
              </w:rPr>
              <w:t>成交</w:t>
            </w:r>
            <w:r>
              <w:rPr>
                <w:rFonts w:hint="eastAsia"/>
                <w:color w:val="auto"/>
                <w:sz w:val="22"/>
                <w:szCs w:val="22"/>
                <w:highlight w:val="none"/>
                <w:lang w:eastAsia="zh-CN"/>
              </w:rPr>
              <w:t>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lang w:val="en-US" w:eastAsia="zh-CN"/>
              </w:rPr>
              <w:t>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color w:val="auto"/>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w:t>
            </w:r>
            <w:r>
              <w:rPr>
                <w:rFonts w:hint="eastAsia"/>
                <w:color w:val="auto"/>
                <w:sz w:val="22"/>
                <w:szCs w:val="22"/>
                <w:highlight w:val="none"/>
                <w:lang w:val="en-US" w:eastAsia="zh-CN"/>
              </w:rPr>
              <w:t>采购</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EEF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4ED376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1"/>
                <w:highlight w:val="none"/>
                <w:lang w:val="en-US" w:eastAsia="zh-CN" w:bidi="ar-SA"/>
              </w:rPr>
            </w:pPr>
            <w:r>
              <w:rPr>
                <w:rFonts w:hint="eastAsia" w:cstheme="minorBidi"/>
                <w:color w:val="auto"/>
                <w:kern w:val="2"/>
                <w:sz w:val="22"/>
                <w:szCs w:val="21"/>
                <w:highlight w:val="none"/>
                <w:lang w:val="en-US" w:eastAsia="zh-CN" w:bidi="ar-SA"/>
              </w:rPr>
              <w:t>50</w:t>
            </w:r>
          </w:p>
        </w:tc>
        <w:tc>
          <w:tcPr>
            <w:tcW w:w="2193" w:type="dxa"/>
            <w:shd w:val="clear" w:color="auto" w:fill="auto"/>
            <w:vAlign w:val="center"/>
          </w:tcPr>
          <w:p w14:paraId="01E4BD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送样</w:t>
            </w:r>
          </w:p>
        </w:tc>
        <w:tc>
          <w:tcPr>
            <w:tcW w:w="6347" w:type="dxa"/>
            <w:shd w:val="clear" w:color="auto" w:fill="auto"/>
            <w:vAlign w:val="center"/>
          </w:tcPr>
          <w:p w14:paraId="5D80C0AA">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拟成交人须在采购人通知之日起</w:t>
            </w:r>
            <w:r>
              <w:rPr>
                <w:rFonts w:hint="eastAsia" w:ascii="宋体" w:hAnsi="宋体" w:eastAsia="宋体" w:cs="宋体"/>
                <w:color w:val="auto"/>
                <w:sz w:val="22"/>
                <w:szCs w:val="22"/>
                <w:highlight w:val="yellow"/>
                <w:u w:val="single"/>
                <w:lang w:val="en-US" w:eastAsia="zh-CN"/>
              </w:rPr>
              <w:t>3</w:t>
            </w:r>
            <w:r>
              <w:rPr>
                <w:rFonts w:hint="eastAsia" w:ascii="宋体" w:hAnsi="宋体" w:eastAsia="宋体" w:cs="宋体"/>
                <w:color w:val="auto"/>
                <w:sz w:val="22"/>
                <w:szCs w:val="22"/>
                <w:highlight w:val="yellow"/>
                <w:lang w:val="en-US" w:eastAsia="zh-CN"/>
              </w:rPr>
              <w:t xml:space="preserve">日内送样并经采购人确认、封样，如所送样品不符合产品要求或在供应过程中达不到采购人要求的： </w:t>
            </w:r>
          </w:p>
          <w:p w14:paraId="14B782ED">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1）采购人有权终止成交候选人资格，并没收响应保证金；按候选人公示顺延成交人或重新采购。 </w:t>
            </w:r>
          </w:p>
          <w:p w14:paraId="2402C797">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2）采购人有权终止合同，并依据合同规定追究法律责任。 </w:t>
            </w:r>
          </w:p>
          <w:p w14:paraId="3A749900">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3）采购人有权对拟成交人违约行为按照约定进行处罚。 </w:t>
            </w:r>
          </w:p>
          <w:p w14:paraId="76455339">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yellow"/>
                <w:lang w:val="en-US" w:eastAsia="zh-CN"/>
              </w:rPr>
              <w:t>4）采购人有权将未完成的供货部分移交给第三方实施，供应商应无条件配合相关移交工作。</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51</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w:t>
            </w:r>
            <w:r>
              <w:rPr>
                <w:rFonts w:hint="eastAsia"/>
                <w:color w:val="auto"/>
                <w:spacing w:val="-3"/>
                <w:kern w:val="0"/>
                <w:sz w:val="22"/>
                <w:szCs w:val="22"/>
                <w:highlight w:val="none"/>
                <w:lang w:val="en-US" w:eastAsia="zh-CN"/>
              </w:rPr>
              <w:t>审</w:t>
            </w:r>
            <w:r>
              <w:rPr>
                <w:rFonts w:hint="default"/>
                <w:color w:val="auto"/>
                <w:spacing w:val="-3"/>
                <w:kern w:val="0"/>
                <w:sz w:val="22"/>
                <w:szCs w:val="22"/>
                <w:highlight w:val="none"/>
              </w:rPr>
              <w:t>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bookmarkStart w:id="42" w:name="_Toc14201207"/>
            <w:bookmarkStart w:id="43" w:name="_Toc26656938"/>
            <w:bookmarkStart w:id="44" w:name="_Toc9067720"/>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2CDCA5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46E39DD">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lang w:val="en-US" w:eastAsia="zh-CN"/>
              </w:rPr>
              <w:t>53</w:t>
            </w:r>
          </w:p>
        </w:tc>
        <w:tc>
          <w:tcPr>
            <w:tcW w:w="8540" w:type="dxa"/>
            <w:gridSpan w:val="2"/>
            <w:shd w:val="clear" w:color="auto" w:fill="auto"/>
            <w:vAlign w:val="center"/>
          </w:tcPr>
          <w:p w14:paraId="5F2BBD1E">
            <w:pPr>
              <w:keepNext w:val="0"/>
              <w:keepLines w:val="0"/>
              <w:suppressLineNumbers w:val="0"/>
              <w:spacing w:before="0" w:beforeAutospacing="0" w:after="0" w:afterAutospacing="0"/>
              <w:ind w:left="0" w:right="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本次比选项目为我方的意向模拟项目,存在后期未竞得该项目的可能，根据可能发生的情况按下述两种执行。</w:t>
            </w:r>
          </w:p>
          <w:p w14:paraId="789C575E">
            <w:pPr>
              <w:keepNext w:val="0"/>
              <w:keepLines w:val="0"/>
              <w:numPr>
                <w:ilvl w:val="0"/>
                <w:numId w:val="0"/>
              </w:numPr>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kern w:val="2"/>
                <w:sz w:val="22"/>
                <w:szCs w:val="22"/>
                <w:highlight w:val="yellow"/>
                <w:lang w:val="en-US" w:eastAsia="zh-CN" w:bidi="ar-SA"/>
              </w:rPr>
              <w:t>1.</w:t>
            </w:r>
            <w:r>
              <w:rPr>
                <w:rFonts w:hint="eastAsia" w:ascii="宋体" w:hAnsi="宋体" w:eastAsia="宋体" w:cs="宋体"/>
                <w:b/>
                <w:bCs/>
                <w:color w:val="auto"/>
                <w:sz w:val="22"/>
                <w:szCs w:val="22"/>
                <w:highlight w:val="yellow"/>
                <w:lang w:val="en-US" w:eastAsia="zh-CN"/>
              </w:rPr>
              <w:t>若我方未竞得该项目，则执行本次比选项目终止，成交人视为无条件认同并接受本条款，不得以此进行索赔。</w:t>
            </w:r>
          </w:p>
          <w:p w14:paraId="5BBFFA55">
            <w:pPr>
              <w:keepNext w:val="0"/>
              <w:keepLines w:val="0"/>
              <w:numPr>
                <w:ilvl w:val="0"/>
                <w:numId w:val="0"/>
              </w:numPr>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kern w:val="2"/>
                <w:sz w:val="22"/>
                <w:szCs w:val="22"/>
                <w:highlight w:val="yellow"/>
                <w:lang w:val="en-US" w:eastAsia="zh-CN" w:bidi="ar-SA"/>
              </w:rPr>
            </w:pPr>
            <w:r>
              <w:rPr>
                <w:rFonts w:hint="eastAsia" w:ascii="宋体" w:hAnsi="宋体" w:eastAsia="宋体" w:cs="宋体"/>
                <w:b/>
                <w:bCs/>
                <w:color w:val="auto"/>
                <w:sz w:val="22"/>
                <w:szCs w:val="22"/>
                <w:highlight w:val="yellow"/>
                <w:lang w:val="en-US" w:eastAsia="zh-CN"/>
              </w:rPr>
              <w:t>2.若我方竞得该项目，则执行与本次比选项目成交人签订采购合同，按合同履约程序。</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54</w:t>
            </w:r>
          </w:p>
        </w:tc>
        <w:tc>
          <w:tcPr>
            <w:tcW w:w="8540" w:type="dxa"/>
            <w:gridSpan w:val="2"/>
            <w:vAlign w:val="center"/>
          </w:tcPr>
          <w:p w14:paraId="2A56C04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37BC4E51">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4197EF5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r w14:paraId="063243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582204F">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auto"/>
                <w:sz w:val="22"/>
                <w:szCs w:val="22"/>
                <w:highlight w:val="yellow"/>
                <w:lang w:val="en-US" w:eastAsia="zh-CN"/>
              </w:rPr>
            </w:pPr>
            <w:r>
              <w:rPr>
                <w:rFonts w:hint="eastAsia"/>
                <w:b/>
                <w:bCs/>
                <w:color w:val="auto"/>
                <w:sz w:val="22"/>
                <w:szCs w:val="21"/>
                <w:highlight w:val="none"/>
                <w:lang w:val="en-US" w:eastAsia="zh-CN"/>
              </w:rPr>
              <w:t>55</w:t>
            </w:r>
          </w:p>
        </w:tc>
        <w:tc>
          <w:tcPr>
            <w:tcW w:w="8540" w:type="dxa"/>
            <w:gridSpan w:val="2"/>
            <w:vAlign w:val="center"/>
          </w:tcPr>
          <w:p w14:paraId="09F6FFF9">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1.采购代理服务费：拟成交人须在领取成交通知书前向采购人或采购代理机构支付代理服务费（¥：25600.00元 大写：贰万伍仟陆佰元整），此费用不进行单独报价，包含在总报价。</w:t>
            </w:r>
          </w:p>
          <w:p w14:paraId="39B0689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2.以上相关费用，响应人在报价单中不单列，包含在响应总价中，采购人不再单独计量支付。</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46F2141">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①具备独立法人资格，持有有效的营业执照。  </w:t>
            </w:r>
          </w:p>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②制造商/厂家参与询比的，应具备有生产、销售采购人所需材料的能力；经销商/代理商参加询比的，应具备销售采购人所需材料的能力（提供所投产品业绩进行证明）。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8"/>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highlight w:val="none"/>
                <w:lang w:val="en-US" w:eastAsia="zh-CN"/>
              </w:rPr>
              <w:t>至少提供1个自</w:t>
            </w: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日以来，单项合同额不低于</w:t>
            </w:r>
            <w:r>
              <w:rPr>
                <w:rFonts w:hint="eastAsia"/>
                <w:color w:val="auto"/>
                <w:highlight w:val="none"/>
                <w:u w:val="single"/>
                <w:lang w:val="en-US" w:eastAsia="zh-CN"/>
              </w:rPr>
              <w:t>50万</w:t>
            </w:r>
            <w:r>
              <w:rPr>
                <w:rFonts w:hint="eastAsia"/>
                <w:color w:val="auto"/>
                <w:highlight w:val="none"/>
                <w:lang w:val="en-US" w:eastAsia="zh-CN"/>
              </w:rPr>
              <w:t>元的</w:t>
            </w:r>
            <w:r>
              <w:rPr>
                <w:rFonts w:hint="eastAsia"/>
                <w:color w:val="auto"/>
                <w:highlight w:val="none"/>
                <w:u w:val="single"/>
                <w:lang w:val="en-US" w:eastAsia="zh-CN"/>
              </w:rPr>
              <w:t>交安设施类</w:t>
            </w:r>
            <w:r>
              <w:rPr>
                <w:rFonts w:hint="eastAsia"/>
                <w:color w:val="auto"/>
                <w:highlight w:val="none"/>
                <w:lang w:val="en-US" w:eastAsia="zh-CN"/>
              </w:rPr>
              <w:t>合同业绩，</w:t>
            </w:r>
            <w:r>
              <w:rPr>
                <w:rFonts w:hint="default"/>
                <w:color w:val="auto"/>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color w:val="auto"/>
          <w:sz w:val="24"/>
          <w:szCs w:val="24"/>
          <w:highlight w:val="none"/>
        </w:rPr>
      </w:pPr>
    </w:p>
    <w:p w14:paraId="09FA73C9">
      <w:pPr>
        <w:pStyle w:val="8"/>
        <w:rPr>
          <w:rFonts w:hint="eastAsia"/>
          <w:color w:val="auto"/>
        </w:rPr>
      </w:pPr>
    </w:p>
    <w:p w14:paraId="43ED56AD">
      <w:pPr>
        <w:jc w:val="both"/>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bCs/>
          <w:color w:val="auto"/>
          <w:kern w:val="0"/>
          <w:sz w:val="22"/>
          <w:szCs w:val="22"/>
          <w:highlight w:val="none"/>
          <w:lang w:val="en-US" w:eastAsia="zh-CN" w:bidi="ar"/>
        </w:rPr>
        <w:t>预</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bCs/>
          <w:color w:val="auto"/>
          <w:kern w:val="0"/>
          <w:sz w:val="22"/>
          <w:szCs w:val="22"/>
          <w:highlight w:val="none"/>
          <w:lang w:val="en-US" w:eastAsia="zh-CN" w:bidi="ar"/>
        </w:rPr>
        <w:t>预</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bCs/>
          <w:color w:val="auto"/>
          <w:kern w:val="0"/>
          <w:sz w:val="22"/>
          <w:szCs w:val="22"/>
          <w:highlight w:val="none"/>
          <w:lang w:val="en-US" w:eastAsia="zh-CN" w:bidi="ar"/>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bCs/>
          <w:color w:val="auto"/>
          <w:kern w:val="0"/>
          <w:sz w:val="22"/>
          <w:szCs w:val="22"/>
          <w:highlight w:val="none"/>
          <w:lang w:val="en-US" w:eastAsia="zh-CN" w:bidi="ar"/>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bCs/>
          <w:color w:val="auto"/>
          <w:kern w:val="0"/>
          <w:sz w:val="22"/>
          <w:szCs w:val="22"/>
          <w:highlight w:val="none"/>
          <w:lang w:val="en-US" w:eastAsia="zh-CN" w:bidi="ar"/>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bCs/>
          <w:color w:val="auto"/>
          <w:kern w:val="0"/>
          <w:sz w:val="22"/>
          <w:szCs w:val="22"/>
          <w:highlight w:val="none"/>
          <w:lang w:val="en-US" w:eastAsia="zh-CN" w:bidi="ar"/>
        </w:rPr>
        <w:t>预</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w:t>
      </w:r>
      <w:r>
        <w:rPr>
          <w:rFonts w:hint="eastAsia"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lang w:val="en-US" w:eastAsia="zh-CN"/>
        </w:rPr>
        <w:t>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w:t>
      </w:r>
      <w:r>
        <w:rPr>
          <w:rFonts w:hint="eastAsia" w:ascii="Times New Roman" w:hAnsi="Times New Roman" w:cs="Times New Roman"/>
          <w:color w:val="auto"/>
          <w:highlight w:val="none"/>
          <w:u w:val="single"/>
          <w:lang w:val="en-US" w:eastAsia="zh-CN"/>
        </w:rPr>
        <w:t>5%</w:t>
      </w:r>
      <w:r>
        <w:rPr>
          <w:rFonts w:hint="eastAsia" w:ascii="Times New Roman" w:hAnsi="Times New Roman" w:cs="Times New Roman"/>
          <w:color w:val="auto"/>
          <w:highlight w:val="none"/>
          <w:lang w:val="en-US" w:eastAsia="zh-CN"/>
        </w:rPr>
        <w:t>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14201253"/>
      <w:bookmarkStart w:id="46" w:name="_Toc26656984"/>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9067727"/>
      <w:bookmarkStart w:id="48" w:name="_Toc14201257"/>
      <w:bookmarkStart w:id="49" w:name="_Toc26656988"/>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26656993"/>
      <w:bookmarkStart w:id="51" w:name="_Toc14201262"/>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9067731"/>
      <w:bookmarkStart w:id="53" w:name="_Toc14201263"/>
      <w:bookmarkStart w:id="54" w:name="_Toc26656994"/>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2E2898B1">
      <w:pPr>
        <w:pStyle w:val="8"/>
        <w:rPr>
          <w:rFonts w:hint="eastAsia"/>
          <w:color w:val="auto"/>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6EE6A9DE">
      <w:pPr>
        <w:pStyle w:val="2"/>
        <w:spacing w:before="312" w:after="312"/>
        <w:rPr>
          <w:rFonts w:ascii="Times New Roman" w:hAnsi="Times New Roman" w:eastAsia="宋体" w:cs="Times New Roman"/>
          <w:color w:val="auto"/>
          <w:highlight w:val="none"/>
        </w:rPr>
      </w:pPr>
      <w:bookmarkStart w:id="55" w:name="_Toc8031"/>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152042304"/>
      <w:bookmarkStart w:id="57" w:name="_Toc144974496"/>
      <w:bookmarkStart w:id="58" w:name="_Toc3834"/>
      <w:bookmarkStart w:id="59" w:name="_Toc152045528"/>
      <w:bookmarkStart w:id="60" w:name="_Toc457482536"/>
      <w:bookmarkStart w:id="61" w:name="_Toc447808662"/>
      <w:bookmarkStart w:id="62" w:name="_Toc14847"/>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委员会按评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价相等时，评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8"/>
              <w:keepNext w:val="0"/>
              <w:keepLines w:val="0"/>
              <w:suppressLineNumbers w:val="0"/>
              <w:adjustRightInd w:val="0"/>
              <w:snapToGrid w:val="0"/>
              <w:spacing w:before="0" w:beforeAutospacing="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 xml:space="preserve">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7"/>
        <w:numPr>
          <w:ilvl w:val="0"/>
          <w:numId w:val="0"/>
        </w:numPr>
        <w:spacing w:before="0"/>
        <w:outlineLvl w:val="9"/>
        <w:rPr>
          <w:rFonts w:hint="eastAsia" w:ascii="宋体" w:hAnsi="宋体" w:eastAsia="宋体" w:cs="宋体"/>
          <w:b/>
          <w:bCs/>
          <w:color w:val="auto"/>
          <w:szCs w:val="28"/>
          <w:highlight w:val="none"/>
        </w:rPr>
      </w:pPr>
    </w:p>
    <w:p w14:paraId="0ADDC629">
      <w:pPr>
        <w:pStyle w:val="37"/>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724"/>
        <w:gridCol w:w="6430"/>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 w:type="pct"/>
            <w:vAlign w:val="center"/>
          </w:tcPr>
          <w:p w14:paraId="45D40427">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57"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70"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72" w:type="pct"/>
            <w:vAlign w:val="center"/>
          </w:tcPr>
          <w:p w14:paraId="63038A90">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957" w:type="pct"/>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2"/>
                <w:szCs w:val="22"/>
                <w:highlight w:val="none"/>
                <w:lang w:bidi="ar"/>
              </w:rPr>
              <w:t>成</w:t>
            </w:r>
            <w:r>
              <w:rPr>
                <w:rFonts w:hint="eastAsia" w:ascii="宋体" w:hAnsi="宋体" w:cs="宋体"/>
                <w:color w:val="auto"/>
                <w:sz w:val="21"/>
                <w:szCs w:val="21"/>
                <w:highlight w:val="none"/>
              </w:rPr>
              <w:t>（总分100分）</w:t>
            </w:r>
          </w:p>
        </w:tc>
        <w:tc>
          <w:tcPr>
            <w:tcW w:w="3570" w:type="pct"/>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60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24</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供货方案：</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 8 </w:t>
            </w:r>
            <w:r>
              <w:rPr>
                <w:rFonts w:hint="eastAsia" w:ascii="宋体" w:hAnsi="宋体" w:cs="宋体"/>
                <w:color w:val="auto"/>
                <w:sz w:val="21"/>
                <w:szCs w:val="24"/>
                <w:highlight w:val="none"/>
              </w:rPr>
              <w:t>分</w:t>
            </w:r>
          </w:p>
          <w:p w14:paraId="265BFC5D">
            <w:pPr>
              <w:pStyle w:val="8"/>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售后服务方案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2" w:type="pct"/>
            <w:vAlign w:val="center"/>
          </w:tcPr>
          <w:p w14:paraId="65831E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lang w:val="en-US" w:eastAsia="zh-CN"/>
              </w:rPr>
            </w:pPr>
            <w:r>
              <w:rPr>
                <w:rFonts w:hint="eastAsia" w:ascii="宋体" w:hAnsi="宋体" w:eastAsia="宋体" w:cs="宋体"/>
                <w:color w:val="auto"/>
                <w:kern w:val="0"/>
                <w:sz w:val="21"/>
                <w:szCs w:val="21"/>
                <w:highlight w:val="none"/>
                <w:lang w:val="en-US" w:eastAsia="zh-CN" w:bidi="ar"/>
              </w:rPr>
              <w:t>3</w:t>
            </w:r>
          </w:p>
        </w:tc>
        <w:tc>
          <w:tcPr>
            <w:tcW w:w="957" w:type="pct"/>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3570" w:type="pct"/>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①如响应人的评审价低于评审价平均值的90%时，采购人可以在评审现场要求该响应人作出情况说明并提供相应降低工程造价的相关证明材料，参照附表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并否决其响应。</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②异常低价或不平衡报价，采购人有权作废除响应资格处理。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低工程造价的相关证明材料，以避免错过要求澄清时间，造成的不良后果由响应人自行承担。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2)以下情形不得作为要求澄清或报价文件中提供异常低价响应说明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审结果的附件提交给采购人。响应人在响应文件中不能作出有效澄清、说明或采购人认定（按少数服从多数的原则）其存在履约及质量安全风险的，采购人应否决其响应。</w:t>
            </w:r>
          </w:p>
        </w:tc>
      </w:tr>
    </w:tbl>
    <w:p w14:paraId="6731446D">
      <w:pPr>
        <w:rPr>
          <w:rFonts w:hint="eastAsia" w:ascii="黑体" w:eastAsia="黑体"/>
          <w:color w:val="auto"/>
          <w:sz w:val="21"/>
          <w:szCs w:val="21"/>
          <w:highlight w:val="none"/>
          <w:lang w:val="en-US" w:eastAsia="zh-CN"/>
        </w:rPr>
      </w:pPr>
    </w:p>
    <w:tbl>
      <w:tblPr>
        <w:tblStyle w:val="21"/>
        <w:tblW w:w="5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6"/>
        <w:gridCol w:w="932"/>
        <w:gridCol w:w="1662"/>
        <w:gridCol w:w="5558"/>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85" w:type="pct"/>
            <w:vAlign w:val="center"/>
          </w:tcPr>
          <w:p w14:paraId="159E5634">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16" w:type="pct"/>
            <w:vAlign w:val="center"/>
          </w:tcPr>
          <w:p w14:paraId="5521CC7E">
            <w:pPr>
              <w:pStyle w:val="8"/>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20" w:type="pct"/>
            <w:vAlign w:val="center"/>
          </w:tcPr>
          <w:p w14:paraId="70A2FD8E">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77" w:type="pct"/>
            <w:vAlign w:val="center"/>
          </w:tcPr>
          <w:p w14:paraId="3868DF9F">
            <w:pPr>
              <w:pStyle w:val="8"/>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5" w:hRule="atLeast"/>
          <w:jc w:val="center"/>
        </w:trPr>
        <w:tc>
          <w:tcPr>
            <w:tcW w:w="485" w:type="pct"/>
            <w:vMerge w:val="restart"/>
            <w:vAlign w:val="center"/>
          </w:tcPr>
          <w:p w14:paraId="572DA4A5">
            <w:pPr>
              <w:pStyle w:val="8"/>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p>
          <w:p w14:paraId="5BC79124">
            <w:pPr>
              <w:pStyle w:val="8"/>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16" w:type="pct"/>
            <w:vMerge w:val="restart"/>
            <w:vAlign w:val="center"/>
          </w:tcPr>
          <w:p w14:paraId="2B8AF269">
            <w:pPr>
              <w:pStyle w:val="8"/>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920" w:type="pct"/>
            <w:vAlign w:val="center"/>
          </w:tcPr>
          <w:p w14:paraId="62D7CE1F">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35898049">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60 </w:t>
            </w:r>
            <w:r>
              <w:rPr>
                <w:rFonts w:hint="eastAsia" w:ascii="宋体" w:hAnsi="宋体" w:cs="宋体"/>
                <w:color w:val="auto"/>
                <w:sz w:val="21"/>
                <w:szCs w:val="21"/>
                <w:highlight w:val="none"/>
              </w:rPr>
              <w:t>分）</w:t>
            </w:r>
          </w:p>
        </w:tc>
        <w:tc>
          <w:tcPr>
            <w:tcW w:w="3077" w:type="pct"/>
            <w:vAlign w:val="center"/>
          </w:tcPr>
          <w:p w14:paraId="003C586F">
            <w:pPr>
              <w:pStyle w:val="8"/>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w:t>
            </w:r>
            <w:r>
              <w:rPr>
                <w:rFonts w:hint="eastAsia" w:ascii="宋体" w:hAnsi="宋体" w:cs="宋体"/>
                <w:color w:val="auto"/>
                <w:sz w:val="21"/>
                <w:szCs w:val="24"/>
                <w:highlight w:val="none"/>
              </w:rPr>
              <w:t>（以合同签订时间为准），除供应商资审条件要求的业绩得</w:t>
            </w:r>
            <w:r>
              <w:rPr>
                <w:rFonts w:hint="eastAsia" w:ascii="宋体" w:hAnsi="宋体" w:cs="宋体"/>
                <w:color w:val="auto"/>
                <w:sz w:val="21"/>
                <w:szCs w:val="24"/>
                <w:highlight w:val="none"/>
                <w:lang w:val="en-US" w:eastAsia="zh-CN"/>
              </w:rPr>
              <w:t>45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u w:val="single"/>
                <w:lang w:val="en-US" w:eastAsia="zh-CN"/>
              </w:rPr>
              <w:t>50万</w:t>
            </w:r>
            <w:r>
              <w:rPr>
                <w:rFonts w:hint="eastAsia" w:ascii="宋体" w:hAnsi="宋体" w:cs="宋体"/>
                <w:color w:val="auto"/>
                <w:sz w:val="21"/>
                <w:szCs w:val="24"/>
                <w:highlight w:val="none"/>
              </w:rPr>
              <w:t>及以上的</w:t>
            </w:r>
            <w:r>
              <w:rPr>
                <w:rFonts w:hint="eastAsia" w:ascii="宋体" w:hAnsi="宋体" w:cs="宋体"/>
                <w:color w:val="auto"/>
                <w:sz w:val="21"/>
                <w:szCs w:val="24"/>
                <w:highlight w:val="none"/>
                <w:u w:val="single"/>
                <w:lang w:val="en-US" w:eastAsia="zh-CN"/>
              </w:rPr>
              <w:t>交安设施类</w:t>
            </w:r>
            <w:r>
              <w:rPr>
                <w:rFonts w:hint="eastAsia" w:ascii="宋体" w:hAnsi="宋体" w:cs="宋体"/>
                <w:color w:val="auto"/>
                <w:sz w:val="21"/>
                <w:szCs w:val="24"/>
                <w:highlight w:val="none"/>
                <w:u w:val="none"/>
                <w:lang w:val="en-US" w:eastAsia="zh-CN"/>
              </w:rPr>
              <w:t>合同</w:t>
            </w:r>
            <w:r>
              <w:rPr>
                <w:rFonts w:hint="eastAsia" w:ascii="宋体" w:hAnsi="宋体" w:cs="宋体"/>
                <w:color w:val="auto"/>
                <w:sz w:val="21"/>
                <w:szCs w:val="24"/>
                <w:highlight w:val="none"/>
              </w:rPr>
              <w:t>业绩，每多提供一个业绩得5分，满分</w:t>
            </w:r>
            <w:r>
              <w:rPr>
                <w:rFonts w:hint="eastAsia" w:ascii="宋体" w:hAnsi="宋体" w:cs="宋体"/>
                <w:color w:val="auto"/>
                <w:sz w:val="21"/>
                <w:szCs w:val="24"/>
                <w:highlight w:val="none"/>
                <w:lang w:val="en-US" w:eastAsia="zh-CN"/>
              </w:rPr>
              <w:t>60</w:t>
            </w:r>
            <w:r>
              <w:rPr>
                <w:rFonts w:hint="eastAsia" w:ascii="宋体" w:hAnsi="宋体" w:cs="宋体"/>
                <w:color w:val="auto"/>
                <w:sz w:val="21"/>
                <w:szCs w:val="24"/>
                <w:highlight w:val="none"/>
              </w:rPr>
              <w:t>分。</w:t>
            </w:r>
          </w:p>
          <w:p w14:paraId="1679D332">
            <w:pPr>
              <w:pStyle w:val="8"/>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none"/>
                <w:lang w:val="en-US" w:eastAsia="zh-CN"/>
              </w:rPr>
              <w:t>每个业绩至少提供不低于合同金额50%的增值税发票（或提供不低于资格审查要求业绩金额的增值税发票），未提供或提供发票金额不足的，该业绩无效。</w:t>
            </w:r>
          </w:p>
          <w:p w14:paraId="71881B33">
            <w:pPr>
              <w:pStyle w:val="8"/>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485" w:type="pct"/>
            <w:vMerge w:val="continue"/>
            <w:vAlign w:val="center"/>
          </w:tcPr>
          <w:p w14:paraId="15F3468D">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6" w:type="pct"/>
            <w:vMerge w:val="continue"/>
            <w:vAlign w:val="center"/>
          </w:tcPr>
          <w:p w14:paraId="6271DD01">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0" w:type="pct"/>
            <w:vAlign w:val="center"/>
          </w:tcPr>
          <w:p w14:paraId="2BCA433A">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6119F0E8">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77" w:type="pct"/>
            <w:vAlign w:val="center"/>
          </w:tcPr>
          <w:p w14:paraId="142D53F5">
            <w:pPr>
              <w:pStyle w:val="18"/>
              <w:keepNext w:val="0"/>
              <w:keepLines w:val="0"/>
              <w:suppressLineNumbers w:val="0"/>
              <w:spacing w:before="0" w:beforeLines="0" w:beforeAutospacing="0" w:after="0" w:afterLines="0" w:afterAutospacing="0"/>
              <w:ind w:left="0" w:right="0" w:firstLine="210" w:firstLineChars="100"/>
              <w:jc w:val="both"/>
              <w:rPr>
                <w:rFonts w:hint="eastAsia" w:ascii="宋体" w:hAnsi="宋体" w:eastAsia="宋体" w:cs="宋体"/>
                <w:color w:val="auto"/>
                <w:kern w:val="0"/>
                <w:sz w:val="21"/>
                <w:szCs w:val="21"/>
                <w:highlight w:val="yellow"/>
                <w:lang w:bidi="ar"/>
              </w:rPr>
            </w:pPr>
            <w:r>
              <w:rPr>
                <w:rFonts w:hint="eastAsia" w:ascii="宋体" w:hAnsi="宋体" w:eastAsia="宋体" w:cs="宋体"/>
                <w:color w:val="auto"/>
                <w:kern w:val="0"/>
                <w:sz w:val="21"/>
                <w:szCs w:val="21"/>
                <w:highlight w:val="yellow"/>
                <w:lang w:val="en-US" w:eastAsia="zh-CN" w:bidi="ar"/>
              </w:rPr>
              <w:t>产品生产厂家企业实力</w:t>
            </w:r>
            <w:r>
              <w:rPr>
                <w:rFonts w:hint="eastAsia" w:ascii="宋体" w:hAnsi="宋体" w:eastAsia="宋体" w:cs="宋体"/>
                <w:color w:val="auto"/>
                <w:kern w:val="0"/>
                <w:sz w:val="21"/>
                <w:szCs w:val="21"/>
                <w:highlight w:val="yellow"/>
                <w:lang w:bidi="ar"/>
              </w:rPr>
              <w:t>：</w:t>
            </w:r>
          </w:p>
          <w:p w14:paraId="0B7DADC9">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bidi="ar"/>
              </w:rPr>
              <w:t>.厂区规模情况</w:t>
            </w: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kern w:val="0"/>
                <w:sz w:val="21"/>
                <w:szCs w:val="21"/>
                <w:highlight w:val="none"/>
                <w:lang w:bidi="ar"/>
              </w:rPr>
              <w:t>须提供</w:t>
            </w:r>
            <w:r>
              <w:rPr>
                <w:rFonts w:hint="eastAsia" w:ascii="宋体" w:hAnsi="宋体" w:eastAsia="宋体" w:cs="宋体"/>
                <w:b/>
                <w:bCs/>
                <w:color w:val="auto"/>
                <w:kern w:val="0"/>
                <w:sz w:val="21"/>
                <w:szCs w:val="21"/>
                <w:highlight w:val="none"/>
                <w:lang w:val="en-US" w:eastAsia="zh-CN" w:bidi="ar"/>
              </w:rPr>
              <w:t>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9C1D5BD">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bidi="ar"/>
              </w:rPr>
              <w:t>2.机械设备情况</w:t>
            </w:r>
            <w:r>
              <w:rPr>
                <w:rFonts w:hint="eastAsia" w:ascii="宋体" w:hAnsi="宋体" w:eastAsia="宋体" w:cs="宋体"/>
                <w:color w:val="auto"/>
                <w:kern w:val="0"/>
                <w:sz w:val="21"/>
                <w:szCs w:val="21"/>
                <w:highlight w:val="none"/>
                <w:lang w:bidi="ar"/>
              </w:rPr>
              <w:t>（须提供自有设备照片、采购租赁合同协议书等，自有或租赁设备须明确证明材料），评委根据上述证明材料综合评审，优秀的得8-6分；一般的得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3943130">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5BA79F9B">
            <w:pPr>
              <w:pStyle w:val="7"/>
              <w:keepNext w:val="0"/>
              <w:keepLines w:val="0"/>
              <w:suppressLineNumbers w:val="0"/>
              <w:spacing w:before="0" w:beforeAutospacing="0" w:after="0" w:afterAutospacing="0"/>
              <w:ind w:left="0" w:right="0"/>
              <w:rPr>
                <w:rFonts w:hint="eastAsia"/>
                <w:color w:val="auto"/>
                <w:highlight w:val="yellow"/>
                <w:lang w:eastAsia="zh-CN"/>
              </w:rPr>
            </w:pPr>
            <w:r>
              <w:rPr>
                <w:rFonts w:hint="eastAsia"/>
                <w:color w:val="auto"/>
                <w:highlight w:val="yellow"/>
                <w:lang w:val="en-US" w:eastAsia="zh-CN"/>
              </w:rPr>
              <w:t>注：经销商/代理商参与的需要提供产品生产厂家授权文件。</w:t>
            </w:r>
          </w:p>
          <w:p w14:paraId="4A57E4ED">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w:t>
            </w:r>
            <w:r>
              <w:rPr>
                <w:rFonts w:hint="eastAsia" w:ascii="宋体" w:hAnsi="宋体" w:eastAsia="宋体" w:cs="宋体"/>
                <w:b/>
                <w:color w:val="auto"/>
                <w:kern w:val="0"/>
                <w:sz w:val="21"/>
                <w:szCs w:val="21"/>
                <w:highlight w:val="none"/>
                <w:lang w:val="en-US" w:eastAsia="zh-CN" w:bidi="ar"/>
              </w:rPr>
              <w:t>成交</w:t>
            </w:r>
            <w:r>
              <w:rPr>
                <w:rFonts w:hint="eastAsia" w:ascii="宋体" w:hAnsi="宋体" w:eastAsia="宋体" w:cs="宋体"/>
                <w:b/>
                <w:color w:val="auto"/>
                <w:kern w:val="0"/>
                <w:sz w:val="21"/>
                <w:szCs w:val="21"/>
                <w:highlight w:val="none"/>
                <w:lang w:bidi="ar"/>
              </w:rPr>
              <w:t>资格，已签合同的可随时解除合同）</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85" w:type="pct"/>
            <w:vMerge w:val="continue"/>
            <w:vAlign w:val="center"/>
          </w:tcPr>
          <w:p w14:paraId="249875D6">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6" w:type="pct"/>
            <w:vMerge w:val="continue"/>
            <w:vAlign w:val="center"/>
          </w:tcPr>
          <w:p w14:paraId="36F98C23">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0" w:type="pct"/>
            <w:shd w:val="clear" w:color="auto" w:fill="auto"/>
            <w:vAlign w:val="center"/>
          </w:tcPr>
          <w:p w14:paraId="0FFC4C0C">
            <w:pPr>
              <w:pStyle w:val="8"/>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供货方案</w:t>
            </w:r>
          </w:p>
          <w:p w14:paraId="4CD1C9F8">
            <w:pPr>
              <w:pStyle w:val="8"/>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77" w:type="pct"/>
            <w:shd w:val="clear" w:color="auto" w:fill="auto"/>
            <w:vAlign w:val="center"/>
          </w:tcPr>
          <w:p w14:paraId="0C475E43">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Lines="0" w:afterAutospacing="0"/>
              <w:ind w:left="0" w:leftChars="0" w:right="0" w:rightChars="0" w:firstLine="420" w:firstLineChars="200"/>
              <w:jc w:val="left"/>
              <w:textAlignment w:val="auto"/>
              <w:rPr>
                <w:rFonts w:hint="eastAsia"/>
                <w:color w:val="auto"/>
                <w:highlight w:val="none"/>
                <w:lang w:val="en-US" w:eastAsia="zh-CN"/>
              </w:rPr>
            </w:pPr>
            <w:r>
              <w:rPr>
                <w:rFonts w:hint="eastAsia" w:ascii="宋体" w:hAnsi="宋体" w:cs="宋体"/>
                <w:color w:val="auto"/>
                <w:sz w:val="21"/>
                <w:szCs w:val="21"/>
                <w:highlight w:val="none"/>
                <w:lang w:val="en-US" w:eastAsia="zh-CN" w:bidi="ar"/>
              </w:rPr>
              <w:t>安装供货方案合理,对项目关键技术主要施工艺有深入的表述,对重点、难点问题有合理化建议解决方案完整、经济、安全、切实可行,措施得力，评委综合评分，优秀的得8-6分；一般的得5-3分，较差得基础分2分，未提供不得分。</w:t>
            </w:r>
            <w:r>
              <w:rPr>
                <w:rFonts w:hint="eastAsia" w:ascii="宋体" w:hAnsi="宋体" w:cs="宋体"/>
                <w:color w:val="auto"/>
                <w:sz w:val="21"/>
                <w:szCs w:val="21"/>
                <w:highlight w:val="none"/>
                <w:lang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85" w:type="pct"/>
            <w:vMerge w:val="continue"/>
            <w:vAlign w:val="center"/>
          </w:tcPr>
          <w:p w14:paraId="1728D70F">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16" w:type="pct"/>
            <w:vMerge w:val="continue"/>
            <w:vAlign w:val="center"/>
          </w:tcPr>
          <w:p w14:paraId="2CE56D02">
            <w:pPr>
              <w:pStyle w:val="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20" w:type="pct"/>
            <w:shd w:val="clear" w:color="auto" w:fill="auto"/>
            <w:vAlign w:val="center"/>
          </w:tcPr>
          <w:p w14:paraId="06E7F4D4">
            <w:pPr>
              <w:pStyle w:val="20"/>
              <w:keepNext w:val="0"/>
              <w:keepLines w:val="0"/>
              <w:suppressLineNumbers w:val="0"/>
              <w:spacing w:before="0" w:beforeLines="0" w:beforeAutospacing="0" w:afterLines="0" w:afterAutospacing="0"/>
              <w:ind w:left="0" w:leftChars="0" w:right="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p w14:paraId="308209DC">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满分</w:t>
            </w:r>
            <w:r>
              <w:rPr>
                <w:rFonts w:hint="eastAsia" w:ascii="宋体" w:hAnsi="宋体" w:cs="宋体"/>
                <w:color w:val="auto"/>
                <w:sz w:val="21"/>
                <w:szCs w:val="21"/>
                <w:highlight w:val="none"/>
                <w:u w:val="single"/>
                <w:lang w:val="en-US" w:eastAsia="zh-CN"/>
              </w:rPr>
              <w:t xml:space="preserve"> 8 </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tc>
        <w:tc>
          <w:tcPr>
            <w:tcW w:w="3077" w:type="pct"/>
            <w:shd w:val="clear" w:color="auto" w:fill="auto"/>
            <w:vAlign w:val="center"/>
          </w:tcPr>
          <w:p w14:paraId="3686DE7B">
            <w:pPr>
              <w:pStyle w:val="9"/>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4"/>
                <w:highlight w:val="none"/>
                <w:lang w:val="en-US" w:eastAsia="zh-CN"/>
              </w:rPr>
              <w:t>根据响应人售后服务方案及增值服务进行综合评审。评委综合评分，</w:t>
            </w:r>
            <w:r>
              <w:rPr>
                <w:rFonts w:hint="eastAsia" w:ascii="宋体" w:hAnsi="宋体" w:cs="宋体"/>
                <w:color w:val="auto"/>
                <w:sz w:val="21"/>
                <w:szCs w:val="21"/>
                <w:highlight w:val="none"/>
                <w:lang w:val="en-US" w:eastAsia="zh-CN" w:bidi="ar"/>
              </w:rPr>
              <w:t>优秀的得8-6分；一般的得5-3分，较差得基础分2分，未提供不得分。</w:t>
            </w:r>
            <w:r>
              <w:rPr>
                <w:rFonts w:hint="eastAsia" w:ascii="宋体" w:hAnsi="宋体" w:cs="宋体"/>
                <w:color w:val="auto"/>
                <w:sz w:val="21"/>
                <w:szCs w:val="21"/>
                <w:highlight w:val="none"/>
                <w:lang w:bidi="ar"/>
              </w:rPr>
              <w:t xml:space="preserve">  </w:t>
            </w:r>
          </w:p>
        </w:tc>
      </w:tr>
    </w:tbl>
    <w:p w14:paraId="5218B9BA">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274C6E3">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w:t>
      </w:r>
      <w:r>
        <w:rPr>
          <w:rFonts w:hint="eastAsia" w:ascii="Times New Roman" w:hAnsi="Times New Roman"/>
          <w:color w:val="auto"/>
          <w:sz w:val="21"/>
          <w:szCs w:val="24"/>
          <w:highlight w:val="none"/>
          <w:lang w:val="en-US" w:eastAsia="zh-CN"/>
        </w:rPr>
        <w:t>审</w:t>
      </w:r>
      <w:r>
        <w:rPr>
          <w:rFonts w:hint="eastAsia" w:ascii="Times New Roman" w:hAnsi="Times New Roman"/>
          <w:color w:val="auto"/>
          <w:sz w:val="21"/>
          <w:szCs w:val="24"/>
          <w:highlight w:val="none"/>
        </w:rPr>
        <w:t>价由低到高的顺序推荐3名</w:t>
      </w:r>
      <w:r>
        <w:rPr>
          <w:rFonts w:hint="eastAsia" w:ascii="Times New Roman" w:hAnsi="Times New Roman"/>
          <w:color w:val="auto"/>
          <w:sz w:val="21"/>
          <w:szCs w:val="24"/>
          <w:highlight w:val="none"/>
          <w:lang w:val="en-US" w:eastAsia="zh-CN"/>
        </w:rPr>
        <w:t>成交</w:t>
      </w:r>
      <w:r>
        <w:rPr>
          <w:rFonts w:hint="eastAsia" w:ascii="Times New Roman" w:hAnsi="Times New Roman"/>
          <w:color w:val="auto"/>
          <w:sz w:val="21"/>
          <w:szCs w:val="24"/>
          <w:highlight w:val="none"/>
        </w:rPr>
        <w:t>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w:t>
      </w:r>
      <w:r>
        <w:rPr>
          <w:rFonts w:hint="eastAsia" w:ascii="Times New Roman" w:hAnsi="Times New Roman"/>
          <w:color w:val="auto"/>
          <w:sz w:val="21"/>
          <w:szCs w:val="24"/>
          <w:highlight w:val="yellow"/>
          <w:lang w:val="en-US" w:eastAsia="zh-CN"/>
        </w:rPr>
        <w:t>审</w:t>
      </w:r>
      <w:r>
        <w:rPr>
          <w:rFonts w:hint="eastAsia" w:ascii="Times New Roman" w:hAnsi="Times New Roman" w:eastAsiaTheme="minorEastAsia"/>
          <w:color w:val="auto"/>
          <w:sz w:val="21"/>
          <w:szCs w:val="24"/>
          <w:highlight w:val="yellow"/>
          <w:lang w:eastAsia="zh-CN"/>
        </w:rPr>
        <w:t>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2"/>
        <w:numPr>
          <w:ilvl w:val="0"/>
          <w:numId w:val="0"/>
        </w:numPr>
        <w:spacing w:before="312" w:after="312"/>
        <w:ind w:leftChars="0"/>
        <w:jc w:val="center"/>
        <w:rPr>
          <w:rFonts w:ascii="Times New Roman" w:hAnsi="Times New Roman" w:eastAsia="宋体" w:cs="Times New Roman"/>
          <w:color w:val="auto"/>
          <w:highlight w:val="none"/>
        </w:rPr>
      </w:pPr>
      <w:bookmarkStart w:id="63" w:name="_Toc6156"/>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8"/>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color w:val="auto"/>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0554ABED">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1.产品全部供货到现场经甲方指定验收人验收合格并办理完成结算手续后，甲方向乙方支付至结算价的97%。</w:t>
      </w:r>
    </w:p>
    <w:p w14:paraId="41B93CA0">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2.剩余3%作为质保金，在缺陷责任期结束后，无质量问题一次性无息支付。</w:t>
      </w:r>
    </w:p>
    <w:p w14:paraId="593239E6">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3.成交公示后，在合同签订前，乙方需向甲方支付合同总价2%的履约保证金或提供合同总价5%的银行保函。</w:t>
      </w:r>
    </w:p>
    <w:p w14:paraId="6EE82BA2">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2CCBA88F">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5.乙方应当向甲方提供符合甲方财务要求的国家税务局13%增值税专用发票，发票需要做到“三流一致”，也即“货物、劳务及应税服务流”、“资金流”、“发票流”必须都是同一受票方。</w:t>
      </w:r>
    </w:p>
    <w:p w14:paraId="1F3E2EDF">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双方特别约定：遵循“先开票、后付款”的原则，甲方付款前，乙方应按双方确认的应付金额向甲方提供增值税专用发票，并于发票开具后7日内提交给甲方。甲方收到乙方发票后，按合同约定向乙方付款，否则甲方有权迟延付款。</w:t>
      </w:r>
    </w:p>
    <w:p w14:paraId="58C23EC4">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7.如甲方出现资金困难，乙方同意给予1个月的付款宽限期，在此宽限期间内不视为甲方违约且不计息，乙方不得以此为由中断本项目的货物供应和安装。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8"/>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8"/>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8"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8"/>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8"/>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color w:val="auto"/>
          <w:highlight w:val="none"/>
          <w:lang w:val="en-US" w:eastAsia="zh-CN"/>
        </w:rPr>
      </w:pPr>
    </w:p>
    <w:p w14:paraId="13E2C6B5">
      <w:pPr>
        <w:pStyle w:val="8"/>
        <w:bidi w:val="0"/>
        <w:rPr>
          <w:rFonts w:hint="eastAsia"/>
          <w:color w:val="auto"/>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9"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8"/>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color w:val="auto"/>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9"/>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8"/>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0"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0"/>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1" w:edGrp="everyone"/>
      <w:r>
        <w:rPr>
          <w:rFonts w:hint="eastAsia" w:ascii="仿宋_GB2312" w:hAnsi="仿宋_GB2312" w:eastAsia="仿宋_GB2312" w:cs="仿宋_GB2312"/>
          <w:color w:val="auto"/>
          <w:sz w:val="28"/>
          <w:szCs w:val="28"/>
          <w:highlight w:val="none"/>
          <w:u w:val="single"/>
          <w:lang w:val="en-US" w:eastAsia="zh-CN"/>
        </w:rPr>
        <w:t xml:space="preserve">               </w:t>
      </w:r>
      <w:permEnd w:id="11"/>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2"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2"/>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8"/>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4"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4"/>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8"/>
        <w:widowControl w:val="0"/>
        <w:numPr>
          <w:ilvl w:val="0"/>
          <w:numId w:val="0"/>
        </w:numPr>
        <w:spacing w:after="120"/>
        <w:jc w:val="both"/>
        <w:rPr>
          <w:rFonts w:hint="eastAsia"/>
          <w:color w:val="auto"/>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328B4BB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ermStart w:id="16" w:edGrp="everyone"/>
    </w:p>
    <w:p w14:paraId="3D58C033">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4C45271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p>
    <w:p w14:paraId="0AF30D25">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r>
        <w:rPr>
          <w:rFonts w:hint="eastAsia"/>
          <w:color w:val="auto"/>
          <w:highlight w:val="none"/>
          <w:lang w:val="en-US" w:eastAsia="zh-CN"/>
        </w:rPr>
        <w:t xml:space="preserve">     </w:t>
      </w:r>
    </w:p>
    <w:permEnd w:id="16"/>
    <w:p w14:paraId="61702EFC">
      <w:pPr>
        <w:rPr>
          <w:color w:val="auto"/>
        </w:rPr>
      </w:pPr>
    </w:p>
    <w:p w14:paraId="1A2DB473">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11"/>
        <w:bidi w:val="0"/>
        <w:rPr>
          <w:rFonts w:hint="eastAsia"/>
          <w:color w:val="auto"/>
          <w:highlight w:val="none"/>
        </w:rPr>
      </w:pPr>
    </w:p>
    <w:p w14:paraId="2A3C4900">
      <w:pPr>
        <w:pStyle w:val="33"/>
        <w:jc w:val="center"/>
        <w:rPr>
          <w:rFonts w:hint="eastAsia" w:ascii="宋体" w:hAnsi="宋体" w:eastAsia="宋体" w:cs="宋体"/>
          <w:b/>
          <w:bCs/>
          <w:color w:val="auto"/>
          <w:sz w:val="28"/>
          <w:szCs w:val="28"/>
          <w:highlight w:val="none"/>
          <w:lang w:val="en-US" w:eastAsia="zh-CN"/>
        </w:rPr>
      </w:pPr>
    </w:p>
    <w:p w14:paraId="1759D57E">
      <w:pPr>
        <w:pStyle w:val="33"/>
        <w:jc w:val="center"/>
        <w:rPr>
          <w:rFonts w:hint="eastAsia" w:ascii="宋体" w:hAnsi="宋体" w:eastAsia="宋体" w:cs="宋体"/>
          <w:b/>
          <w:bCs/>
          <w:color w:val="auto"/>
          <w:sz w:val="28"/>
          <w:szCs w:val="28"/>
          <w:highlight w:val="none"/>
          <w:lang w:val="en-US" w:eastAsia="zh-CN"/>
        </w:rPr>
      </w:pPr>
    </w:p>
    <w:p w14:paraId="4C149A90">
      <w:pPr>
        <w:pStyle w:val="33"/>
        <w:jc w:val="center"/>
        <w:rPr>
          <w:rFonts w:hint="eastAsia" w:ascii="宋体" w:hAnsi="宋体" w:eastAsia="宋体" w:cs="宋体"/>
          <w:b/>
          <w:bCs/>
          <w:color w:val="auto"/>
          <w:sz w:val="28"/>
          <w:szCs w:val="28"/>
          <w:highlight w:val="none"/>
          <w:lang w:val="en-US" w:eastAsia="zh-CN"/>
        </w:rPr>
      </w:pPr>
    </w:p>
    <w:p w14:paraId="1CB452E7">
      <w:pPr>
        <w:pStyle w:val="33"/>
        <w:jc w:val="center"/>
        <w:rPr>
          <w:rFonts w:hint="eastAsia" w:ascii="宋体" w:hAnsi="宋体" w:eastAsia="宋体" w:cs="宋体"/>
          <w:b/>
          <w:bCs/>
          <w:color w:val="auto"/>
          <w:sz w:val="28"/>
          <w:szCs w:val="28"/>
          <w:highlight w:val="none"/>
          <w:lang w:val="en-US" w:eastAsia="zh-CN"/>
        </w:rPr>
      </w:pPr>
    </w:p>
    <w:p w14:paraId="563846A0">
      <w:pPr>
        <w:pStyle w:val="33"/>
        <w:jc w:val="center"/>
        <w:rPr>
          <w:rFonts w:hint="eastAsia" w:ascii="宋体" w:hAnsi="宋体" w:eastAsia="宋体" w:cs="宋体"/>
          <w:b/>
          <w:bCs/>
          <w:color w:val="auto"/>
          <w:sz w:val="28"/>
          <w:szCs w:val="28"/>
          <w:highlight w:val="none"/>
          <w:lang w:val="en-US" w:eastAsia="zh-CN"/>
        </w:rPr>
      </w:pPr>
    </w:p>
    <w:p w14:paraId="22ED5897">
      <w:pPr>
        <w:pStyle w:val="33"/>
        <w:jc w:val="center"/>
        <w:rPr>
          <w:rFonts w:hint="eastAsia" w:ascii="宋体" w:hAnsi="宋体" w:eastAsia="宋体" w:cs="宋体"/>
          <w:b/>
          <w:bCs/>
          <w:color w:val="auto"/>
          <w:sz w:val="28"/>
          <w:szCs w:val="28"/>
          <w:highlight w:val="none"/>
          <w:lang w:val="en-US" w:eastAsia="zh-CN"/>
        </w:rPr>
      </w:pPr>
    </w:p>
    <w:p w14:paraId="118749DD">
      <w:pPr>
        <w:pStyle w:val="33"/>
        <w:jc w:val="center"/>
        <w:rPr>
          <w:rFonts w:hint="eastAsia" w:ascii="宋体" w:hAnsi="宋体" w:eastAsia="宋体" w:cs="宋体"/>
          <w:b/>
          <w:bCs/>
          <w:color w:val="auto"/>
          <w:sz w:val="28"/>
          <w:szCs w:val="28"/>
          <w:highlight w:val="none"/>
          <w:lang w:val="en-US" w:eastAsia="zh-CN"/>
        </w:rPr>
      </w:pPr>
    </w:p>
    <w:p w14:paraId="608E972F">
      <w:pPr>
        <w:pStyle w:val="33"/>
        <w:jc w:val="center"/>
        <w:rPr>
          <w:rFonts w:hint="eastAsia" w:ascii="宋体" w:hAnsi="宋体" w:eastAsia="宋体" w:cs="宋体"/>
          <w:b/>
          <w:bCs/>
          <w:color w:val="auto"/>
          <w:sz w:val="28"/>
          <w:szCs w:val="28"/>
          <w:highlight w:val="none"/>
          <w:lang w:val="en-US" w:eastAsia="zh-CN"/>
        </w:rPr>
      </w:pPr>
    </w:p>
    <w:p w14:paraId="3F970EF5">
      <w:pPr>
        <w:pStyle w:val="33"/>
        <w:jc w:val="center"/>
        <w:rPr>
          <w:rFonts w:hint="eastAsia" w:ascii="宋体" w:hAnsi="宋体" w:eastAsia="宋体" w:cs="宋体"/>
          <w:b/>
          <w:bCs/>
          <w:color w:val="auto"/>
          <w:sz w:val="28"/>
          <w:szCs w:val="28"/>
          <w:highlight w:val="none"/>
          <w:lang w:val="en-US" w:eastAsia="zh-CN"/>
        </w:rPr>
      </w:pPr>
    </w:p>
    <w:p w14:paraId="57B018B5">
      <w:pPr>
        <w:pStyle w:val="33"/>
        <w:jc w:val="center"/>
        <w:rPr>
          <w:rFonts w:hint="eastAsia" w:ascii="宋体" w:hAnsi="宋体" w:eastAsia="宋体" w:cs="宋体"/>
          <w:b/>
          <w:bCs/>
          <w:color w:val="auto"/>
          <w:sz w:val="28"/>
          <w:szCs w:val="28"/>
          <w:highlight w:val="none"/>
          <w:lang w:val="en-US" w:eastAsia="zh-CN"/>
        </w:rPr>
      </w:pPr>
    </w:p>
    <w:p w14:paraId="65A8F7E8">
      <w:pPr>
        <w:pStyle w:val="33"/>
        <w:jc w:val="center"/>
        <w:rPr>
          <w:rFonts w:hint="eastAsia" w:ascii="宋体" w:hAnsi="宋体" w:eastAsia="宋体" w:cs="宋体"/>
          <w:b/>
          <w:bCs/>
          <w:color w:val="auto"/>
          <w:sz w:val="28"/>
          <w:szCs w:val="28"/>
          <w:highlight w:val="none"/>
          <w:lang w:val="en-US" w:eastAsia="zh-CN"/>
        </w:rPr>
      </w:pPr>
    </w:p>
    <w:p w14:paraId="0E8C267E">
      <w:pPr>
        <w:pStyle w:val="33"/>
        <w:jc w:val="center"/>
        <w:rPr>
          <w:rFonts w:hint="eastAsia" w:ascii="宋体" w:hAnsi="宋体" w:eastAsia="宋体" w:cs="宋体"/>
          <w:b/>
          <w:bCs/>
          <w:color w:val="auto"/>
          <w:sz w:val="28"/>
          <w:szCs w:val="28"/>
          <w:highlight w:val="none"/>
          <w:lang w:val="en-US" w:eastAsia="zh-CN"/>
        </w:rPr>
      </w:pPr>
    </w:p>
    <w:p w14:paraId="297C38F8">
      <w:pPr>
        <w:pStyle w:val="2"/>
        <w:numPr>
          <w:ilvl w:val="255"/>
          <w:numId w:val="0"/>
        </w:numPr>
        <w:spacing w:before="312" w:after="312"/>
        <w:ind w:left="402"/>
        <w:rPr>
          <w:rFonts w:ascii="Times New Roman" w:hAnsi="Times New Roman" w:eastAsia="宋体" w:cs="Times New Roman"/>
          <w:color w:val="auto"/>
          <w:highlight w:val="none"/>
        </w:rPr>
      </w:pPr>
      <w:bookmarkStart w:id="64" w:name="_Toc32569"/>
      <w:r>
        <w:rPr>
          <w:rFonts w:hint="eastAsia" w:ascii="Times New Roman" w:hAnsi="Times New Roman" w:eastAsia="宋体" w:cs="Times New Roman"/>
          <w:color w:val="auto"/>
          <w:highlight w:val="none"/>
          <w:lang w:val="en-US" w:eastAsia="zh-CN"/>
        </w:rPr>
        <w:t xml:space="preserve">第五章 </w:t>
      </w:r>
      <w:bookmarkStart w:id="65" w:name="_Toc25485"/>
      <w:bookmarkStart w:id="66" w:name="_Toc31285"/>
      <w:r>
        <w:rPr>
          <w:rFonts w:hint="eastAsia" w:ascii="Times New Roman" w:hAnsi="Times New Roman" w:eastAsia="宋体" w:cs="Times New Roman"/>
          <w:color w:val="auto"/>
          <w:highlight w:val="none"/>
          <w:lang w:val="en-US" w:eastAsia="zh-CN"/>
        </w:rPr>
        <w:t>采购需求及清单</w:t>
      </w:r>
      <w:bookmarkEnd w:id="64"/>
      <w:bookmarkEnd w:id="65"/>
      <w:bookmarkEnd w:id="66"/>
    </w:p>
    <w:p w14:paraId="59E52AAF">
      <w:pPr>
        <w:pStyle w:val="19"/>
        <w:numPr>
          <w:ilvl w:val="0"/>
          <w:numId w:val="0"/>
        </w:numPr>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一、供货要求</w:t>
      </w:r>
    </w:p>
    <w:p w14:paraId="1DF11D0E">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中标人应严格按照技术要求和国家、部(专业)有关标准生产和检验，确保产品质量。并且完全符合合同规定的质量、规格和性能的要求，并保证产品是全新的、未使用的。</w:t>
      </w:r>
    </w:p>
    <w:p w14:paraId="18A367B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中标人保证产品的性能和质量，并在其使用寿命内应具有满意的性能。</w:t>
      </w:r>
    </w:p>
    <w:p w14:paraId="043ED4D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中标人对产品的质量应按国家和部(专业)颁布的质量标准或验收规范进行验收。</w:t>
      </w:r>
    </w:p>
    <w:p w14:paraId="7D0A205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在产品使用期内，如因招标人使用不当和保管不善造成的问题，中标人应配合解决，但费用由招标人负担。</w:t>
      </w:r>
    </w:p>
    <w:p w14:paraId="739111B3">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质量保证期内如发生由于制造、工艺或材料缺陷而造成的质量问题，中标人在接到招标人书面通知 1日内(以发出日期为准)给予答复，如果中标人对招标人提出的索赔负有责任，中标人应负责修理、更换 或退货，并承担由此发生的一切损失和费用。如逾期不予答复和处理，则视为上述索赔已被接受，中标 人应承担由此发生的一切损失和费用。</w:t>
      </w:r>
    </w:p>
    <w:p w14:paraId="6EC98043">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售后服务要求：</w:t>
      </w:r>
    </w:p>
    <w:p w14:paraId="72B40E94">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 卖方负责对招标人操作人员进行免费的培训(培训费均已包含在合同总价中);</w:t>
      </w:r>
    </w:p>
    <w:p w14:paraId="301CCB0D">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在质保期内，卖方对合同约定的质量标准、技术标准负责，在此期间非买方原因出现的货物问题，卖方对货物问题及时提供服务，免费维修、更换损坏部件，并承担由此产生的一切损失；出现问题，服务必须做到24小时服务，省内有维保点的6小时内赶到现场，省内无维保点的12小时内赶到现 场，并连续进行直至修复。在上述时限内卖方未赶到，买方可采取必要的补救措施，但其风险和费用由卖方全额承担，买方按合同规定，对卖方行使的其他权利不受影响在质保期外使用寿命内(请注明使用寿命)供方对设备提供终身服务，且对设备的维修只收取材料成本费。</w:t>
      </w:r>
    </w:p>
    <w:p w14:paraId="09FE0037">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中标人提交一份有关质保及售后服务承诺书，至少包括下列内容：</w:t>
      </w:r>
    </w:p>
    <w:p w14:paraId="644C8AE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(1)详细列明供应的货物保修、保养服务的内容、方法和提供的优惠条件。</w:t>
      </w:r>
    </w:p>
    <w:p w14:paraId="3B985E9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设备材料规格及具体质量要求</w:t>
      </w:r>
    </w:p>
    <w:p w14:paraId="6336658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详见采购及安装项目清单中材质、规格、尺寸等相关要求。</w:t>
      </w:r>
    </w:p>
    <w:p w14:paraId="39BB92CB">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投标人必须对招标文件中所提要求逐项做出实质性应答，任何差异必须列表说明。招标人只接受等同于或优于本技术规格书规定的技术指标和所使用的标准。</w:t>
      </w:r>
    </w:p>
    <w:p w14:paraId="215F556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提供的货物须包括以下工作服务但不仅限于以下内容：</w:t>
      </w:r>
    </w:p>
    <w:p w14:paraId="3F1183F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中标人按需方的需要完成货物的生产和细化及深化设计(制作详图)。供方须委派有三年以上专业经验的家具制作设计师，负责与室内设计师及供方进行协商。对细节及装配图作出深化和确定，深化设计(制作详图)需由需方和室内设计师签字确认；供方按需方和室内设计师签字确认的深化设计 (制造详图)生产前，所有家具的尺寸必须到现场复核，如现场尺寸、数量有较大变化时以现场实地测量为准，若供方未根据现场情况调整复核的尺寸造成的损失，责任由供方负责：深化设计图(制作详 图)经需方和室内设计师签字认可后，方可进行生产。</w:t>
      </w:r>
    </w:p>
    <w:p w14:paraId="6C134DF2">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方须积极配合需方在所有家具正式生产前的样品打样工作，打样的货物由需方和室内设计师进行验收确认，如打样的货物不能满足需方要求或验收不合格，供方应重新打样，直至满足需方的要求为止，一切费用由供方负责。通过验收的打样样品作为最终验收的依据。</w:t>
      </w:r>
    </w:p>
    <w:p w14:paraId="383339DA">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(3)按需方认可的方案进行货物的</w:t>
      </w:r>
      <w:r>
        <w:rPr>
          <w:rFonts w:hint="eastAsia" w:ascii="宋体" w:hAnsi="宋体" w:cs="宋体"/>
          <w:color w:val="auto"/>
          <w:sz w:val="24"/>
          <w:szCs w:val="24"/>
          <w:highlight w:val="none"/>
          <w:lang w:val="en-US" w:eastAsia="zh-CN"/>
        </w:rPr>
        <w:t>打包</w:t>
      </w:r>
      <w:r>
        <w:rPr>
          <w:rFonts w:hint="eastAsia" w:ascii="宋体" w:hAnsi="宋体" w:cs="宋体"/>
          <w:color w:val="auto"/>
          <w:sz w:val="24"/>
          <w:szCs w:val="24"/>
          <w:highlight w:val="none"/>
        </w:rPr>
        <w:t>，运输</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到货就位</w:t>
      </w:r>
      <w:r>
        <w:rPr>
          <w:rFonts w:hint="eastAsia" w:ascii="宋体" w:hAnsi="宋体" w:cs="宋体"/>
          <w:color w:val="auto"/>
          <w:sz w:val="24"/>
          <w:szCs w:val="24"/>
          <w:highlight w:val="none"/>
        </w:rPr>
        <w:t>。</w:t>
      </w:r>
    </w:p>
    <w:p w14:paraId="611D8A02">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(4)运输：货物运输并卸至需方指定地点。</w:t>
      </w:r>
    </w:p>
    <w:p w14:paraId="27AD098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(5)按采购人指定位置和要求完成安装就位(安装所需的设备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工具、脚手架、水电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总包配合费等所有与完成采购有关的费用应包含在投标报价中)。</w:t>
      </w:r>
    </w:p>
    <w:p w14:paraId="70A3B95E">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(6)在货物就位、</w:t>
      </w:r>
      <w:r>
        <w:rPr>
          <w:rFonts w:hint="eastAsia" w:ascii="宋体" w:hAnsi="宋体" w:cs="宋体"/>
          <w:color w:val="auto"/>
          <w:sz w:val="24"/>
          <w:szCs w:val="24"/>
          <w:highlight w:val="none"/>
          <w:lang w:val="en-US" w:eastAsia="zh-CN"/>
        </w:rPr>
        <w:t>安装</w:t>
      </w:r>
      <w:r>
        <w:rPr>
          <w:rFonts w:hint="eastAsia" w:ascii="宋体" w:hAnsi="宋体" w:cs="宋体"/>
          <w:color w:val="auto"/>
          <w:sz w:val="24"/>
          <w:szCs w:val="24"/>
          <w:highlight w:val="none"/>
        </w:rPr>
        <w:t>之前须提供详细的构造图</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使用操作说明书。</w:t>
      </w:r>
    </w:p>
    <w:p w14:paraId="249B8555">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中标后，供方提供深化设计方案时明确具体的款式及材质等，并经需方认可，按需方认可的设计方案供费，根据家具生产要求的物料清单，在采购前向需方及室内设计师呈相关样品并得到认可后，确保在材料上达到设计的意图及效果，且必须按照设计的要求选用材质及配件进行生产，但中标单价不予调整，此风险投标人在投标报价中自行考虑。</w:t>
      </w:r>
    </w:p>
    <w:p w14:paraId="75C27A2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(8)所供货物通过有关部门的检验和试验。并承担所需费用。</w:t>
      </w:r>
    </w:p>
    <w:p w14:paraId="685AF079">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(9)需方如需做第三方检测，检测合格检测费由需方负责，但检测材料须由供方免费提供；如检测不合格，一切费用由供方负责。</w:t>
      </w:r>
    </w:p>
    <w:p w14:paraId="28F8D25C">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(10)供方必须负责所提供的产品通过相关部门组织的验收，直至取得验收证书。验收费用包含在投标总价中。</w:t>
      </w:r>
    </w:p>
    <w:p w14:paraId="3B5196A1">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上述标准、规范及规程仅是本工程的最基本依据，并未包括实施中所涉及的所有标准、规范和规程，且这些标准、规范和规程均应为合同签订之日为止时的最新版本，不限制投标人使用国家现行有效 的其他与本次比选货物有关的制造、安装的标准及规范。</w:t>
      </w:r>
    </w:p>
    <w:p w14:paraId="63886908">
      <w:pPr>
        <w:pStyle w:val="19"/>
        <w:numPr>
          <w:ilvl w:val="0"/>
          <w:numId w:val="0"/>
        </w:numPr>
        <w:jc w:val="both"/>
        <w:rPr>
          <w:rFonts w:hint="eastAsia" w:ascii="宋体" w:hAnsi="宋体" w:cs="宋体"/>
          <w:b/>
          <w:color w:val="auto"/>
          <w:sz w:val="21"/>
          <w:szCs w:val="21"/>
          <w:highlight w:val="none"/>
        </w:rPr>
      </w:pPr>
    </w:p>
    <w:p w14:paraId="5950F1CE">
      <w:pPr>
        <w:pStyle w:val="19"/>
        <w:numPr>
          <w:ilvl w:val="0"/>
          <w:numId w:val="0"/>
        </w:numPr>
        <w:jc w:val="both"/>
        <w:rPr>
          <w:rFonts w:hint="eastAsia" w:ascii="宋体" w:hAnsi="宋体" w:cs="宋体"/>
          <w:b/>
          <w:color w:val="auto"/>
          <w:sz w:val="21"/>
          <w:szCs w:val="21"/>
          <w:highlight w:val="none"/>
        </w:rPr>
      </w:pPr>
      <w:bookmarkStart w:id="237" w:name="_GoBack"/>
      <w:bookmarkEnd w:id="237"/>
    </w:p>
    <w:p w14:paraId="4FA5350D">
      <w:pPr>
        <w:pStyle w:val="19"/>
        <w:numPr>
          <w:ilvl w:val="0"/>
          <w:numId w:val="0"/>
        </w:numPr>
        <w:jc w:val="both"/>
        <w:rPr>
          <w:rFonts w:hint="eastAsia" w:ascii="宋体" w:hAnsi="宋体" w:cs="宋体"/>
          <w:b/>
          <w:color w:val="auto"/>
          <w:sz w:val="21"/>
          <w:szCs w:val="21"/>
          <w:highlight w:val="none"/>
        </w:rPr>
      </w:pPr>
    </w:p>
    <w:p w14:paraId="45C5A6E3">
      <w:pPr>
        <w:pStyle w:val="19"/>
        <w:numPr>
          <w:ilvl w:val="0"/>
          <w:numId w:val="0"/>
        </w:numPr>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8"/>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75C3E3C7">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3861E4F0">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4C3D331D">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442FF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41DC54C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68190187">
      <w:pPr>
        <w:snapToGrid w:val="0"/>
        <w:spacing w:line="400" w:lineRule="exact"/>
        <w:ind w:firstLine="480" w:firstLineChars="200"/>
        <w:jc w:val="left"/>
        <w:rPr>
          <w:rFonts w:hint="eastAsia" w:ascii="宋体" w:hAnsi="宋体" w:cs="宋体"/>
          <w:color w:val="auto"/>
          <w:sz w:val="24"/>
          <w:szCs w:val="24"/>
          <w:highlight w:val="none"/>
        </w:rPr>
      </w:pP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5898F86C">
      <w:pPr>
        <w:bidi w:val="0"/>
        <w:rPr>
          <w:rFonts w:hint="eastAsia"/>
          <w:color w:val="auto"/>
          <w:highlight w:val="none"/>
          <w:lang w:val="en-US" w:eastAsia="zh-CN"/>
        </w:rPr>
      </w:pPr>
    </w:p>
    <w:p w14:paraId="32051DD8">
      <w:pPr>
        <w:bidi w:val="0"/>
        <w:rPr>
          <w:rFonts w:hint="eastAsia"/>
          <w:color w:val="auto"/>
          <w:highlight w:val="none"/>
          <w:lang w:val="en-US" w:eastAsia="zh-CN"/>
        </w:rPr>
      </w:pPr>
    </w:p>
    <w:p w14:paraId="0BD193AB">
      <w:pPr>
        <w:bidi w:val="0"/>
        <w:rPr>
          <w:rFonts w:hint="eastAsia"/>
          <w:color w:val="auto"/>
          <w:highlight w:val="none"/>
          <w:lang w:val="en-US" w:eastAsia="zh-CN"/>
        </w:rPr>
      </w:pPr>
    </w:p>
    <w:p w14:paraId="742ABFA5">
      <w:pPr>
        <w:bidi w:val="0"/>
        <w:rPr>
          <w:rFonts w:hint="eastAsia"/>
          <w:color w:val="auto"/>
          <w:highlight w:val="none"/>
          <w:lang w:val="en-US" w:eastAsia="zh-CN"/>
        </w:rPr>
      </w:pPr>
    </w:p>
    <w:p w14:paraId="7AF7D8EF">
      <w:pPr>
        <w:bidi w:val="0"/>
        <w:rPr>
          <w:rFonts w:hint="eastAsia"/>
          <w:color w:val="auto"/>
          <w:highlight w:val="none"/>
          <w:lang w:val="en-US" w:eastAsia="zh-CN"/>
        </w:rPr>
      </w:pPr>
    </w:p>
    <w:p w14:paraId="44FBDAEB">
      <w:pPr>
        <w:bidi w:val="0"/>
        <w:rPr>
          <w:rFonts w:hint="eastAsia"/>
          <w:color w:val="auto"/>
          <w:highlight w:val="none"/>
          <w:lang w:val="en-US" w:eastAsia="zh-CN"/>
        </w:rPr>
      </w:pPr>
    </w:p>
    <w:p w14:paraId="32999A66">
      <w:pPr>
        <w:bidi w:val="0"/>
        <w:rPr>
          <w:rFonts w:hint="eastAsia"/>
          <w:color w:val="auto"/>
          <w:highlight w:val="none"/>
          <w:lang w:val="en-US" w:eastAsia="zh-CN"/>
        </w:rPr>
      </w:pPr>
    </w:p>
    <w:p w14:paraId="79600E89">
      <w:pPr>
        <w:pStyle w:val="2"/>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7" w:name="_Toc21767"/>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7"/>
    </w:p>
    <w:p w14:paraId="09D6E9D9">
      <w:pPr>
        <w:pStyle w:val="4"/>
        <w:rPr>
          <w:rFonts w:hint="eastAsia" w:ascii="方正小标宋简体" w:hAnsi="方正小标宋简体" w:eastAsia="方正小标宋简体" w:cs="方正小标宋简体"/>
          <w:color w:val="auto"/>
          <w:kern w:val="2"/>
          <w:sz w:val="44"/>
          <w:szCs w:val="44"/>
          <w:highlight w:val="none"/>
          <w:u w:val="single"/>
        </w:rPr>
      </w:pPr>
      <w:bookmarkStart w:id="68"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8"/>
        <w:rPr>
          <w:rFonts w:hint="eastAsia" w:ascii="方正小标宋简体" w:hAnsi="方正小标宋简体" w:eastAsia="方正小标宋简体" w:cs="方正小标宋简体"/>
          <w:color w:val="auto"/>
          <w:kern w:val="2"/>
          <w:sz w:val="44"/>
          <w:szCs w:val="44"/>
          <w:highlight w:val="none"/>
          <w:u w:val="single"/>
        </w:rPr>
      </w:pPr>
    </w:p>
    <w:p w14:paraId="3514E7CF">
      <w:pPr>
        <w:pStyle w:val="9"/>
        <w:rPr>
          <w:rFonts w:hint="eastAsia" w:ascii="方正小标宋简体" w:hAnsi="方正小标宋简体" w:eastAsia="方正小标宋简体" w:cs="方正小标宋简体"/>
          <w:color w:val="auto"/>
          <w:kern w:val="2"/>
          <w:sz w:val="44"/>
          <w:szCs w:val="44"/>
          <w:highlight w:val="none"/>
          <w:u w:val="single"/>
        </w:rPr>
      </w:pPr>
    </w:p>
    <w:p w14:paraId="367D7D36">
      <w:pPr>
        <w:pStyle w:val="10"/>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8"/>
        <w:rPr>
          <w:rFonts w:hint="eastAsia" w:ascii="方正小标宋简体" w:hAnsi="方正小标宋简体" w:eastAsia="方正小标宋简体" w:cs="方正小标宋简体"/>
          <w:color w:val="auto"/>
          <w:kern w:val="2"/>
          <w:sz w:val="44"/>
          <w:szCs w:val="44"/>
          <w:highlight w:val="none"/>
          <w:u w:val="single"/>
        </w:rPr>
      </w:pPr>
    </w:p>
    <w:p w14:paraId="01B234F1">
      <w:pPr>
        <w:pStyle w:val="9"/>
        <w:rPr>
          <w:rFonts w:hint="eastAsia" w:ascii="方正小标宋简体" w:hAnsi="方正小标宋简体" w:eastAsia="方正小标宋简体" w:cs="方正小标宋简体"/>
          <w:color w:val="auto"/>
          <w:kern w:val="2"/>
          <w:sz w:val="44"/>
          <w:szCs w:val="44"/>
          <w:highlight w:val="none"/>
          <w:u w:val="single"/>
        </w:rPr>
      </w:pPr>
    </w:p>
    <w:p w14:paraId="7646EDF7">
      <w:pPr>
        <w:pStyle w:val="10"/>
        <w:rPr>
          <w:rFonts w:hint="eastAsia" w:ascii="方正小标宋简体" w:hAnsi="方正小标宋简体" w:eastAsia="方正小标宋简体" w:cs="方正小标宋简体"/>
          <w:color w:val="auto"/>
          <w:kern w:val="2"/>
          <w:sz w:val="44"/>
          <w:szCs w:val="44"/>
          <w:highlight w:val="none"/>
          <w:u w:val="single"/>
        </w:rPr>
      </w:pPr>
    </w:p>
    <w:p w14:paraId="678919D1">
      <w:pPr>
        <w:jc w:val="both"/>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7083712D">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安徽省交通控股集团有限公司2025年度</w:t>
      </w:r>
    </w:p>
    <w:p w14:paraId="2477EB13">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新建改建路段服务区交安设施</w:t>
      </w:r>
    </w:p>
    <w:p w14:paraId="6FD6637F">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采购及安装项目</w:t>
      </w:r>
    </w:p>
    <w:p w14:paraId="1E6F5305">
      <w:pPr>
        <w:jc w:val="center"/>
        <w:outlineLvl w:val="9"/>
        <w:rPr>
          <w:rFonts w:ascii="Times New Roman" w:hAnsi="Times New Roman" w:eastAsia="黑体" w:cs="Times New Roman"/>
          <w:color w:val="auto"/>
          <w:sz w:val="50"/>
          <w:szCs w:val="50"/>
          <w:highlight w:val="none"/>
        </w:rPr>
      </w:pPr>
    </w:p>
    <w:p w14:paraId="17C23FA6">
      <w:pPr>
        <w:jc w:val="center"/>
        <w:outlineLvl w:val="0"/>
        <w:rPr>
          <w:rFonts w:ascii="Times New Roman" w:hAnsi="Times New Roman" w:eastAsia="黑体" w:cs="Times New Roman"/>
          <w:color w:val="auto"/>
          <w:sz w:val="50"/>
          <w:szCs w:val="50"/>
          <w:highlight w:val="none"/>
        </w:rPr>
      </w:pPr>
      <w:bookmarkStart w:id="69" w:name="_Toc20091"/>
      <w:bookmarkStart w:id="70" w:name="_Toc9444"/>
      <w:bookmarkStart w:id="71" w:name="_Toc29898"/>
      <w:bookmarkStart w:id="72" w:name="_Toc6480"/>
      <w:bookmarkStart w:id="73" w:name="_Toc15601"/>
      <w:bookmarkStart w:id="74" w:name="_Toc26098"/>
      <w:bookmarkStart w:id="75" w:name="_Toc10074"/>
      <w:bookmarkStart w:id="76" w:name="_Toc2527"/>
      <w:bookmarkStart w:id="77" w:name="_Toc11988"/>
      <w:bookmarkStart w:id="78" w:name="_Toc11846"/>
      <w:r>
        <w:rPr>
          <w:rFonts w:ascii="Times New Roman" w:hAnsi="Times New Roman" w:eastAsia="黑体" w:cs="Times New Roman"/>
          <w:color w:val="auto"/>
          <w:sz w:val="50"/>
          <w:szCs w:val="50"/>
          <w:highlight w:val="none"/>
        </w:rPr>
        <w:t>响  应  文  件</w:t>
      </w:r>
      <w:bookmarkEnd w:id="69"/>
      <w:bookmarkEnd w:id="70"/>
      <w:bookmarkEnd w:id="71"/>
      <w:bookmarkEnd w:id="72"/>
      <w:bookmarkEnd w:id="73"/>
      <w:bookmarkEnd w:id="74"/>
      <w:bookmarkEnd w:id="75"/>
      <w:bookmarkEnd w:id="76"/>
      <w:bookmarkEnd w:id="77"/>
      <w:bookmarkEnd w:id="78"/>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9" w:name="_Toc25232_WPSOffice_Level2"/>
      <w:bookmarkStart w:id="80" w:name="_Toc5520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9"/>
      <w:bookmarkEnd w:id="80"/>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81" w:name="_Toc20076_WPSOffice_Level2"/>
      <w:bookmarkStart w:id="82"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81"/>
      <w:bookmarkEnd w:id="82"/>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2"/>
        <w:numPr>
          <w:ilvl w:val="0"/>
          <w:numId w:val="0"/>
        </w:numPr>
        <w:rPr>
          <w:rFonts w:hint="eastAsia" w:ascii="黑体" w:hAnsi="黑体" w:eastAsia="黑体" w:cs="黑体"/>
          <w:b/>
          <w:bCs/>
          <w:color w:val="auto"/>
          <w:sz w:val="28"/>
          <w:szCs w:val="28"/>
          <w:highlight w:val="none"/>
        </w:rPr>
      </w:pPr>
      <w:bookmarkStart w:id="83" w:name="_Toc2795"/>
      <w:bookmarkStart w:id="84" w:name="_Toc888"/>
      <w:bookmarkStart w:id="85" w:name="_Toc24654"/>
      <w:bookmarkStart w:id="86" w:name="_Toc752"/>
      <w:bookmarkStart w:id="87" w:name="_Toc1219"/>
      <w:bookmarkStart w:id="88" w:name="_Toc32504"/>
      <w:bookmarkStart w:id="89" w:name="_Toc25724"/>
      <w:bookmarkStart w:id="90" w:name="_Toc11330"/>
      <w:bookmarkStart w:id="91" w:name="_Toc10352"/>
      <w:bookmarkStart w:id="92" w:name="_Toc21704"/>
      <w:r>
        <w:rPr>
          <w:rFonts w:hint="eastAsia" w:ascii="黑体" w:hAnsi="黑体" w:eastAsia="黑体" w:cs="黑体"/>
          <w:b/>
          <w:bCs/>
          <w:color w:val="auto"/>
          <w:sz w:val="28"/>
          <w:szCs w:val="28"/>
          <w:highlight w:val="none"/>
        </w:rPr>
        <w:t>一、响应函（不含报价）</w:t>
      </w:r>
      <w:bookmarkEnd w:id="68"/>
      <w:bookmarkEnd w:id="83"/>
      <w:bookmarkEnd w:id="84"/>
      <w:bookmarkEnd w:id="85"/>
      <w:bookmarkEnd w:id="86"/>
      <w:bookmarkEnd w:id="87"/>
      <w:bookmarkEnd w:id="88"/>
      <w:bookmarkEnd w:id="89"/>
      <w:bookmarkEnd w:id="90"/>
      <w:bookmarkEnd w:id="91"/>
      <w:bookmarkEnd w:id="92"/>
    </w:p>
    <w:p w14:paraId="49B3464C">
      <w:pPr>
        <w:pStyle w:val="8"/>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安徽省交通控股集团有限公司2025年度新建改建路段服务区</w:t>
      </w:r>
      <w:r>
        <w:rPr>
          <w:rFonts w:hint="eastAsia" w:ascii="宋体" w:hAnsi="宋体" w:cs="宋体"/>
          <w:color w:val="auto"/>
          <w:sz w:val="24"/>
          <w:szCs w:val="24"/>
          <w:highlight w:val="none"/>
          <w:u w:val="single"/>
          <w:lang w:eastAsia="zh-CN"/>
        </w:rPr>
        <w:t>交安设施</w:t>
      </w:r>
      <w:r>
        <w:rPr>
          <w:rFonts w:hint="eastAsia" w:ascii="宋体" w:hAnsi="宋体" w:cs="宋体"/>
          <w:color w:val="auto"/>
          <w:sz w:val="24"/>
          <w:szCs w:val="24"/>
          <w:highlight w:val="none"/>
          <w:u w:val="single"/>
        </w:rPr>
        <w:t>采购及安装项目</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val="en-US"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24B7FA17">
      <w:pPr>
        <w:rPr>
          <w:rFonts w:hint="eastAsia"/>
          <w:color w:val="auto"/>
          <w:highlight w:val="none"/>
        </w:rPr>
      </w:pPr>
    </w:p>
    <w:p w14:paraId="76B08196">
      <w:pPr>
        <w:pStyle w:val="8"/>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93" w:name="_Hlk122530524"/>
      <w:r>
        <w:rPr>
          <w:rFonts w:hint="eastAsia" w:ascii="宋体" w:hAnsi="宋体" w:cs="宋体"/>
          <w:color w:val="auto"/>
          <w:sz w:val="24"/>
          <w:szCs w:val="24"/>
          <w:highlight w:val="none"/>
          <w:u w:val="single"/>
        </w:rPr>
        <w:t xml:space="preserve">                         </w:t>
      </w:r>
      <w:bookmarkEnd w:id="93"/>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8"/>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8"/>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9"/>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2"/>
        <w:numPr>
          <w:ilvl w:val="0"/>
          <w:numId w:val="0"/>
        </w:numPr>
        <w:rPr>
          <w:rFonts w:hint="default" w:ascii="黑体" w:hAnsi="黑体" w:eastAsia="黑体" w:cs="黑体"/>
          <w:b w:val="0"/>
          <w:bCs w:val="0"/>
          <w:color w:val="auto"/>
          <w:sz w:val="28"/>
          <w:szCs w:val="28"/>
          <w:highlight w:val="none"/>
        </w:rPr>
      </w:pPr>
      <w:bookmarkStart w:id="94" w:name="_Toc12640"/>
      <w:bookmarkStart w:id="95" w:name="_Toc28522"/>
      <w:bookmarkStart w:id="96" w:name="_Toc10497"/>
      <w:bookmarkStart w:id="97" w:name="_Toc28024"/>
      <w:bookmarkStart w:id="98" w:name="_Toc21398"/>
      <w:bookmarkStart w:id="99" w:name="_Toc5068"/>
      <w:bookmarkStart w:id="100" w:name="_Toc23378"/>
      <w:bookmarkStart w:id="101" w:name="_Toc16965"/>
      <w:bookmarkStart w:id="102" w:name="_Toc1844"/>
      <w:bookmarkStart w:id="103" w:name="_Toc23511"/>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94"/>
      <w:bookmarkEnd w:id="95"/>
      <w:bookmarkEnd w:id="96"/>
      <w:bookmarkEnd w:id="97"/>
      <w:bookmarkEnd w:id="98"/>
      <w:bookmarkEnd w:id="99"/>
      <w:bookmarkEnd w:id="100"/>
      <w:bookmarkEnd w:id="101"/>
      <w:bookmarkEnd w:id="102"/>
      <w:bookmarkEnd w:id="103"/>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安徽省交通控股集团有限公司2025年度新建改建路段服务区</w:t>
      </w:r>
      <w:r>
        <w:rPr>
          <w:rFonts w:hint="eastAsia" w:ascii="Times New Roman" w:hAnsi="Times New Roman" w:eastAsia="宋体" w:cs="Times New Roman"/>
          <w:color w:val="auto"/>
          <w:kern w:val="2"/>
          <w:sz w:val="24"/>
          <w:szCs w:val="24"/>
          <w:highlight w:val="none"/>
          <w:u w:val="single"/>
          <w:lang w:val="en-US" w:eastAsia="zh-CN" w:bidi="ar"/>
        </w:rPr>
        <w:t>交安设施</w:t>
      </w:r>
      <w:r>
        <w:rPr>
          <w:rFonts w:hint="default" w:ascii="Times New Roman" w:hAnsi="Times New Roman" w:eastAsia="宋体" w:cs="Times New Roman"/>
          <w:color w:val="auto"/>
          <w:kern w:val="2"/>
          <w:sz w:val="24"/>
          <w:szCs w:val="24"/>
          <w:highlight w:val="none"/>
          <w:u w:val="single"/>
          <w:lang w:val="en-US" w:eastAsia="zh-CN" w:bidi="ar"/>
        </w:rPr>
        <w:t>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04" w:name="_Toc23112"/>
      <w:bookmarkStart w:id="105" w:name="_Toc2224"/>
      <w:bookmarkStart w:id="106" w:name="_Toc21721"/>
      <w:bookmarkStart w:id="107" w:name="_Toc30116"/>
      <w:bookmarkStart w:id="108" w:name="_Toc28296"/>
      <w:bookmarkStart w:id="109" w:name="_Toc23593"/>
      <w:bookmarkStart w:id="110" w:name="_Toc19890"/>
      <w:bookmarkStart w:id="111" w:name="_Toc16245"/>
      <w:bookmarkStart w:id="112" w:name="_Toc24785"/>
      <w:bookmarkStart w:id="113" w:name="_Toc26457"/>
      <w:bookmarkStart w:id="114" w:name="_Toc12833"/>
      <w:r>
        <w:rPr>
          <w:rFonts w:hint="eastAsia" w:ascii="黑体" w:hAnsi="宋体" w:eastAsia="黑体" w:cs="黑体"/>
          <w:color w:val="auto"/>
          <w:kern w:val="2"/>
          <w:sz w:val="28"/>
          <w:szCs w:val="28"/>
          <w:highlight w:val="none"/>
          <w:lang w:val="en-US" w:eastAsia="zh-CN" w:bidi="ar"/>
        </w:rPr>
        <w:t>三、供应商基本情况</w:t>
      </w:r>
      <w:bookmarkEnd w:id="104"/>
      <w:bookmarkEnd w:id="105"/>
      <w:bookmarkEnd w:id="106"/>
      <w:bookmarkEnd w:id="107"/>
      <w:bookmarkEnd w:id="108"/>
      <w:bookmarkEnd w:id="109"/>
      <w:bookmarkEnd w:id="110"/>
      <w:bookmarkEnd w:id="111"/>
      <w:bookmarkEnd w:id="112"/>
      <w:bookmarkEnd w:id="113"/>
      <w:bookmarkEnd w:id="114"/>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115" w:name="_Toc17884"/>
      <w:bookmarkStart w:id="116" w:name="_Toc9989"/>
      <w:bookmarkStart w:id="117" w:name="_Toc4449"/>
      <w:bookmarkStart w:id="118" w:name="_Toc22364"/>
      <w:bookmarkStart w:id="119" w:name="_Toc28901"/>
      <w:bookmarkStart w:id="120" w:name="_Toc22190"/>
      <w:bookmarkStart w:id="121" w:name="_Toc5395"/>
      <w:bookmarkStart w:id="122" w:name="_Toc31962"/>
      <w:bookmarkStart w:id="123" w:name="_Toc29118"/>
      <w:bookmarkStart w:id="124" w:name="_Toc7483"/>
      <w:bookmarkStart w:id="125" w:name="_Toc12834"/>
      <w:r>
        <w:rPr>
          <w:rFonts w:hint="eastAsia" w:ascii="黑体" w:hAnsi="宋体" w:eastAsia="黑体" w:cs="黑体"/>
          <w:color w:val="auto"/>
          <w:kern w:val="2"/>
          <w:sz w:val="28"/>
          <w:szCs w:val="28"/>
          <w:highlight w:val="none"/>
          <w:lang w:val="en-US" w:eastAsia="zh-CN" w:bidi="ar"/>
        </w:rPr>
        <w:t>四、近年类似业绩情况</w:t>
      </w:r>
      <w:bookmarkEnd w:id="115"/>
      <w:bookmarkEnd w:id="116"/>
      <w:bookmarkEnd w:id="117"/>
      <w:bookmarkEnd w:id="118"/>
      <w:bookmarkEnd w:id="119"/>
      <w:bookmarkEnd w:id="120"/>
      <w:bookmarkEnd w:id="121"/>
      <w:bookmarkEnd w:id="122"/>
      <w:bookmarkEnd w:id="123"/>
      <w:bookmarkEnd w:id="124"/>
      <w:bookmarkEnd w:id="125"/>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26" w:name="_Toc24647"/>
      <w:bookmarkStart w:id="127" w:name="_Toc165"/>
      <w:bookmarkStart w:id="128" w:name="_Toc32249"/>
      <w:bookmarkStart w:id="129" w:name="_Toc29607"/>
      <w:bookmarkStart w:id="130" w:name="_Toc32401"/>
      <w:bookmarkStart w:id="131" w:name="_Toc14517"/>
      <w:bookmarkStart w:id="132" w:name="_Toc6439"/>
      <w:bookmarkStart w:id="133" w:name="_Toc27124"/>
      <w:bookmarkStart w:id="134" w:name="_Toc21498"/>
      <w:bookmarkStart w:id="135" w:name="_Toc23165"/>
      <w:bookmarkStart w:id="136" w:name="_Toc22722"/>
      <w:r>
        <w:rPr>
          <w:rFonts w:hint="eastAsia" w:ascii="黑体" w:hAnsi="宋体" w:eastAsia="黑体" w:cs="黑体"/>
          <w:color w:val="auto"/>
          <w:kern w:val="2"/>
          <w:sz w:val="28"/>
          <w:szCs w:val="28"/>
          <w:highlight w:val="none"/>
          <w:lang w:val="en-US" w:eastAsia="zh-CN" w:bidi="ar"/>
        </w:rPr>
        <w:t>五、信誉情况</w:t>
      </w:r>
      <w:bookmarkEnd w:id="126"/>
      <w:bookmarkEnd w:id="127"/>
      <w:bookmarkEnd w:id="128"/>
      <w:bookmarkEnd w:id="129"/>
      <w:bookmarkEnd w:id="130"/>
      <w:bookmarkEnd w:id="131"/>
      <w:bookmarkEnd w:id="132"/>
      <w:bookmarkEnd w:id="133"/>
      <w:bookmarkEnd w:id="134"/>
      <w:bookmarkEnd w:id="135"/>
      <w:bookmarkEnd w:id="136"/>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37" w:name="_Toc22954"/>
      <w:bookmarkStart w:id="138" w:name="_Toc324"/>
      <w:bookmarkStart w:id="139" w:name="_Toc11349"/>
      <w:bookmarkStart w:id="140" w:name="_Toc29972"/>
      <w:bookmarkStart w:id="141" w:name="_Toc15048"/>
      <w:bookmarkStart w:id="142" w:name="_Toc22047"/>
      <w:bookmarkStart w:id="143" w:name="_Toc22999"/>
      <w:bookmarkStart w:id="144" w:name="_Toc24578"/>
      <w:bookmarkStart w:id="145" w:name="_Toc28465"/>
      <w:bookmarkStart w:id="146" w:name="_Toc10389"/>
      <w:bookmarkStart w:id="147" w:name="_Toc1569"/>
      <w:r>
        <w:rPr>
          <w:rFonts w:hint="eastAsia" w:ascii="黑体" w:hAnsi="宋体" w:eastAsia="黑体" w:cs="黑体"/>
          <w:color w:val="auto"/>
          <w:kern w:val="2"/>
          <w:sz w:val="28"/>
          <w:szCs w:val="28"/>
          <w:highlight w:val="none"/>
          <w:lang w:val="en-US" w:eastAsia="zh-CN" w:bidi="ar"/>
        </w:rPr>
        <w:t>六、企业实力</w:t>
      </w:r>
      <w:bookmarkEnd w:id="137"/>
      <w:bookmarkEnd w:id="138"/>
      <w:bookmarkEnd w:id="139"/>
      <w:bookmarkEnd w:id="140"/>
      <w:bookmarkEnd w:id="141"/>
      <w:bookmarkEnd w:id="142"/>
      <w:bookmarkEnd w:id="143"/>
      <w:bookmarkEnd w:id="144"/>
      <w:bookmarkEnd w:id="145"/>
      <w:bookmarkEnd w:id="146"/>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.厂区规模情况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53E1E6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auto"/>
        <w:ind w:left="0" w:right="0" w:firstLine="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须提供响应产品生产加工厂的相关资料，包括但不限于工厂具体定位（百度地图定位截图）、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.机械</w:t>
      </w:r>
      <w:r>
        <w:rPr>
          <w:rFonts w:hint="eastAsia" w:asciiTheme="minorEastAsia" w:hAnsiTheme="minorEastAsia" w:eastAsiaTheme="minorEastAsia" w:cstheme="minorEastAsia"/>
          <w:b/>
          <w:bCs w:val="0"/>
          <w:color w:val="auto"/>
          <w:kern w:val="0"/>
          <w:sz w:val="21"/>
          <w:szCs w:val="21"/>
          <w:highlight w:val="none"/>
          <w:lang w:bidi="ar"/>
        </w:rPr>
        <w:t>设备情况</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8"/>
        <w:rPr>
          <w:rFonts w:hint="eastAsia" w:ascii="黑体" w:hAnsi="宋体" w:eastAsia="黑体" w:cs="黑体"/>
          <w:color w:val="auto"/>
          <w:kern w:val="2"/>
          <w:sz w:val="28"/>
          <w:szCs w:val="28"/>
          <w:highlight w:val="none"/>
          <w:lang w:val="en-US" w:eastAsia="zh-CN" w:bidi="ar"/>
        </w:rPr>
      </w:pPr>
    </w:p>
    <w:p w14:paraId="6FF13152">
      <w:pPr>
        <w:pStyle w:val="9"/>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3FC4EDE">
      <w:pPr>
        <w:pStyle w:val="8"/>
        <w:rPr>
          <w:rFonts w:hint="eastAsia"/>
          <w:color w:val="auto"/>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bookmarkEnd w:id="147"/>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r>
        <w:rPr>
          <w:rFonts w:hint="default" w:ascii="Times New Roman" w:hAnsi="Times New Roman" w:eastAsia="黑体" w:cs="Times New Roman"/>
          <w:color w:val="auto"/>
          <w:kern w:val="2"/>
          <w:sz w:val="28"/>
          <w:szCs w:val="28"/>
          <w:highlight w:val="none"/>
          <w:lang w:val="en-US" w:eastAsia="zh-CN" w:bidi="ar"/>
        </w:rPr>
        <w:t xml:space="preserve"> </w:t>
      </w:r>
      <w:bookmarkStart w:id="148" w:name="_Toc31378"/>
      <w:bookmarkStart w:id="149" w:name="_Toc3549"/>
      <w:bookmarkStart w:id="150" w:name="_Toc27742"/>
      <w:bookmarkStart w:id="151" w:name="_Toc16215"/>
      <w:bookmarkStart w:id="152" w:name="_Toc17045"/>
      <w:bookmarkStart w:id="153" w:name="_Toc32620"/>
      <w:bookmarkStart w:id="154" w:name="_Toc22943"/>
      <w:bookmarkStart w:id="155" w:name="_Toc24378"/>
      <w:bookmarkStart w:id="156" w:name="_Toc28805"/>
      <w:bookmarkStart w:id="157" w:name="_Toc5689"/>
      <w:bookmarkStart w:id="158" w:name="_Toc7941"/>
      <w:r>
        <w:rPr>
          <w:rFonts w:hint="eastAsia" w:ascii="Times New Roman" w:hAnsi="Times New Roman" w:eastAsia="黑体"/>
          <w:color w:val="auto"/>
          <w:sz w:val="28"/>
          <w:szCs w:val="28"/>
          <w:highlight w:val="none"/>
          <w:lang w:val="en-US" w:eastAsia="zh-CN"/>
        </w:rPr>
        <w:t>七</w:t>
      </w:r>
      <w:r>
        <w:rPr>
          <w:rFonts w:hint="eastAsia" w:ascii="Times New Roman" w:hAnsi="Times New Roman" w:eastAsia="黑体"/>
          <w:color w:val="auto"/>
          <w:sz w:val="28"/>
          <w:szCs w:val="28"/>
          <w:highlight w:val="none"/>
        </w:rPr>
        <w:t>、</w:t>
      </w:r>
      <w:bookmarkEnd w:id="148"/>
      <w:r>
        <w:rPr>
          <w:rFonts w:hint="eastAsia" w:ascii="Times New Roman" w:hAnsi="Times New Roman" w:eastAsia="黑体"/>
          <w:color w:val="auto"/>
          <w:sz w:val="28"/>
          <w:szCs w:val="28"/>
          <w:highlight w:val="none"/>
          <w:lang w:val="en-US" w:eastAsia="zh-CN"/>
        </w:rPr>
        <w:t>供货方案</w:t>
      </w:r>
      <w:bookmarkEnd w:id="149"/>
      <w:bookmarkEnd w:id="150"/>
      <w:bookmarkEnd w:id="151"/>
      <w:bookmarkEnd w:id="152"/>
      <w:bookmarkEnd w:id="153"/>
      <w:bookmarkEnd w:id="154"/>
      <w:bookmarkEnd w:id="155"/>
      <w:bookmarkEnd w:id="156"/>
      <w:bookmarkEnd w:id="157"/>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59" w:name="_Toc4217"/>
      <w:bookmarkStart w:id="160" w:name="_Toc3565"/>
      <w:bookmarkStart w:id="161" w:name="_Toc16936"/>
      <w:bookmarkStart w:id="162" w:name="_Toc19021"/>
      <w:bookmarkStart w:id="163" w:name="_Toc7901"/>
      <w:bookmarkStart w:id="164" w:name="_Toc5012"/>
      <w:bookmarkStart w:id="165" w:name="_Toc10923"/>
      <w:bookmarkStart w:id="166" w:name="_Toc6951"/>
      <w:bookmarkStart w:id="167" w:name="_Toc15543"/>
      <w:bookmarkStart w:id="168" w:name="_Toc18620"/>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供货方案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59"/>
      <w:bookmarkEnd w:id="160"/>
      <w:bookmarkEnd w:id="161"/>
      <w:bookmarkEnd w:id="162"/>
      <w:bookmarkEnd w:id="163"/>
      <w:bookmarkEnd w:id="164"/>
      <w:bookmarkEnd w:id="165"/>
      <w:bookmarkEnd w:id="166"/>
      <w:bookmarkEnd w:id="167"/>
      <w:bookmarkEnd w:id="168"/>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8"/>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58"/>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69"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70" w:name="_Toc8048"/>
      <w:bookmarkStart w:id="171" w:name="_Toc4132"/>
      <w:bookmarkStart w:id="172" w:name="_Toc9218"/>
      <w:bookmarkStart w:id="173" w:name="_Toc28647"/>
      <w:bookmarkStart w:id="174" w:name="_Toc11806"/>
      <w:bookmarkStart w:id="175" w:name="_Toc26159"/>
      <w:bookmarkStart w:id="176" w:name="_Toc31164"/>
      <w:bookmarkStart w:id="177" w:name="_Toc15049"/>
      <w:bookmarkStart w:id="178" w:name="_Toc3896"/>
      <w:bookmarkStart w:id="179" w:name="_Toc1229"/>
      <w:r>
        <w:rPr>
          <w:rFonts w:hint="eastAsia" w:ascii="Times New Roman" w:hAnsi="Times New Roman" w:eastAsia="黑体" w:cs="Times New Roman"/>
          <w:color w:val="auto"/>
          <w:kern w:val="2"/>
          <w:sz w:val="28"/>
          <w:szCs w:val="28"/>
          <w:highlight w:val="none"/>
          <w:lang w:val="en-US" w:eastAsia="zh-CN" w:bidi="ar"/>
        </w:rPr>
        <w:t>八</w:t>
      </w:r>
      <w:r>
        <w:rPr>
          <w:rFonts w:hint="eastAsia" w:ascii="Times New Roman" w:hAnsi="Times New Roman" w:eastAsia="黑体"/>
          <w:color w:val="auto"/>
          <w:sz w:val="28"/>
          <w:szCs w:val="28"/>
          <w:highlight w:val="none"/>
        </w:rPr>
        <w:t>、</w:t>
      </w:r>
      <w:bookmarkEnd w:id="170"/>
      <w:r>
        <w:rPr>
          <w:rFonts w:hint="eastAsia" w:ascii="Times New Roman" w:hAnsi="Times New Roman" w:eastAsia="黑体"/>
          <w:color w:val="auto"/>
          <w:sz w:val="28"/>
          <w:szCs w:val="28"/>
          <w:highlight w:val="none"/>
          <w:lang w:val="en-US" w:eastAsia="zh-CN"/>
        </w:rPr>
        <w:t>售后服务方案</w:t>
      </w:r>
      <w:bookmarkEnd w:id="171"/>
      <w:bookmarkEnd w:id="172"/>
      <w:bookmarkEnd w:id="173"/>
      <w:bookmarkEnd w:id="174"/>
      <w:bookmarkEnd w:id="175"/>
      <w:bookmarkEnd w:id="176"/>
      <w:bookmarkEnd w:id="177"/>
      <w:bookmarkEnd w:id="178"/>
      <w:bookmarkEnd w:id="179"/>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80" w:name="_Toc9931"/>
      <w:bookmarkStart w:id="181" w:name="_Toc6095"/>
      <w:bookmarkStart w:id="182" w:name="_Toc7980"/>
      <w:bookmarkStart w:id="183" w:name="_Toc7405"/>
      <w:bookmarkStart w:id="184" w:name="_Toc22991"/>
      <w:bookmarkStart w:id="185" w:name="_Toc11461"/>
      <w:bookmarkStart w:id="186" w:name="_Toc29460"/>
      <w:bookmarkStart w:id="187" w:name="_Toc30922"/>
      <w:bookmarkStart w:id="188" w:name="_Toc25621"/>
      <w:bookmarkStart w:id="189" w:name="_Toc17614"/>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售后服务方案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80"/>
      <w:bookmarkEnd w:id="181"/>
      <w:bookmarkEnd w:id="182"/>
      <w:bookmarkEnd w:id="183"/>
      <w:bookmarkEnd w:id="184"/>
      <w:bookmarkEnd w:id="185"/>
      <w:bookmarkEnd w:id="186"/>
      <w:bookmarkEnd w:id="187"/>
      <w:bookmarkEnd w:id="188"/>
      <w:bookmarkEnd w:id="189"/>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90" w:name="_Toc1949"/>
      <w:bookmarkStart w:id="191" w:name="_Toc11900"/>
      <w:bookmarkStart w:id="192" w:name="_Toc22621"/>
      <w:bookmarkStart w:id="193" w:name="_Toc31636"/>
      <w:bookmarkStart w:id="194" w:name="_Toc9781"/>
      <w:bookmarkStart w:id="195" w:name="_Toc16480"/>
      <w:bookmarkStart w:id="196" w:name="_Toc29067"/>
      <w:bookmarkStart w:id="197" w:name="_Toc14186"/>
      <w:bookmarkStart w:id="198" w:name="_Toc15284"/>
      <w:bookmarkStart w:id="199" w:name="_Toc24671"/>
      <w:r>
        <w:rPr>
          <w:rFonts w:hint="eastAsia" w:ascii="黑体" w:hAnsi="宋体" w:eastAsia="黑体" w:cs="黑体"/>
          <w:color w:val="auto"/>
          <w:kern w:val="2"/>
          <w:sz w:val="28"/>
          <w:szCs w:val="28"/>
          <w:highlight w:val="none"/>
          <w:lang w:val="en-US" w:eastAsia="zh-CN" w:bidi="ar"/>
        </w:rPr>
        <w:t>九、承诺书</w:t>
      </w:r>
      <w:bookmarkEnd w:id="169"/>
      <w:bookmarkEnd w:id="190"/>
      <w:bookmarkEnd w:id="191"/>
      <w:bookmarkEnd w:id="192"/>
      <w:bookmarkEnd w:id="193"/>
      <w:bookmarkEnd w:id="194"/>
      <w:bookmarkEnd w:id="195"/>
      <w:bookmarkEnd w:id="196"/>
      <w:bookmarkEnd w:id="197"/>
      <w:bookmarkEnd w:id="198"/>
      <w:bookmarkEnd w:id="199"/>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安徽省交通控股集团有限公司2025年度新建改建路段服务区交安设施采购及安装项目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8B1C37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6AE90DF3">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（5）按照响应文件第六章企业实力中提到的具体加工厂生产产品，合同执行期间无条件接受你方检查，如未经你方同意擅自在其他地方生产的，你方有权取消合同。</w:t>
      </w:r>
      <w:r>
        <w:rPr>
          <w:rFonts w:hint="eastAsia" w:ascii="Times New Roman" w:hAnsi="Times New Roman" w:eastAsia="宋体" w:cs="Times New Roman"/>
          <w:b/>
          <w:bCs/>
          <w:color w:val="auto"/>
          <w:kern w:val="2"/>
          <w:sz w:val="24"/>
          <w:szCs w:val="24"/>
          <w:highlight w:val="none"/>
          <w:lang w:val="en-US" w:eastAsia="zh-CN" w:bidi="ar"/>
        </w:rPr>
        <w:t xml:space="preserve"> </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200" w:name="_Toc5105"/>
      <w:bookmarkStart w:id="201" w:name="_Toc18523"/>
      <w:bookmarkStart w:id="202" w:name="_Toc31058"/>
      <w:bookmarkStart w:id="203" w:name="_Toc11711"/>
      <w:bookmarkStart w:id="204" w:name="_Toc27706"/>
      <w:bookmarkStart w:id="205" w:name="_Toc3055"/>
      <w:bookmarkStart w:id="206" w:name="_Toc30427"/>
      <w:bookmarkStart w:id="207" w:name="_Toc30685"/>
      <w:bookmarkStart w:id="208" w:name="_Toc2975"/>
      <w:bookmarkStart w:id="209" w:name="_Toc10955"/>
      <w:bookmarkStart w:id="210" w:name="_Toc10121"/>
      <w:r>
        <w:rPr>
          <w:rFonts w:hint="eastAsia" w:ascii="黑体" w:hAnsi="宋体" w:eastAsia="黑体" w:cs="黑体"/>
          <w:color w:val="auto"/>
          <w:kern w:val="2"/>
          <w:sz w:val="28"/>
          <w:szCs w:val="28"/>
          <w:highlight w:val="none"/>
          <w:lang w:val="en-US" w:eastAsia="zh-CN" w:bidi="ar"/>
        </w:rPr>
        <w:t>十、其他材料</w:t>
      </w:r>
      <w:bookmarkEnd w:id="200"/>
      <w:bookmarkEnd w:id="201"/>
      <w:bookmarkEnd w:id="202"/>
      <w:bookmarkEnd w:id="203"/>
      <w:bookmarkEnd w:id="204"/>
      <w:bookmarkEnd w:id="205"/>
      <w:bookmarkEnd w:id="206"/>
      <w:bookmarkEnd w:id="207"/>
      <w:bookmarkEnd w:id="208"/>
      <w:bookmarkEnd w:id="209"/>
      <w:bookmarkEnd w:id="210"/>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50B1A2A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kern w:val="2"/>
          <w:sz w:val="44"/>
          <w:szCs w:val="44"/>
          <w:highlight w:val="none"/>
          <w:u w:val="single"/>
          <w:lang w:val="en-US" w:eastAsia="zh-CN" w:bidi="ar"/>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安徽省交通控股集团有限公司2025年度</w:t>
      </w:r>
    </w:p>
    <w:p w14:paraId="2DF83A6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kern w:val="2"/>
          <w:sz w:val="44"/>
          <w:szCs w:val="44"/>
          <w:highlight w:val="none"/>
          <w:u w:val="single"/>
          <w:lang w:val="en-US" w:eastAsia="zh-CN" w:bidi="ar"/>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新建改建路段服务区交安设施</w:t>
      </w:r>
    </w:p>
    <w:p w14:paraId="1C48DF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采购及安装项目</w:t>
      </w:r>
    </w:p>
    <w:p w14:paraId="14CF78B8">
      <w:pPr>
        <w:jc w:val="both"/>
        <w:outlineLvl w:val="9"/>
        <w:rPr>
          <w:rFonts w:ascii="Times New Roman" w:hAnsi="Times New Roman" w:eastAsia="黑体" w:cs="Times New Roman"/>
          <w:color w:val="auto"/>
          <w:sz w:val="50"/>
          <w:szCs w:val="50"/>
          <w:highlight w:val="none"/>
        </w:rPr>
      </w:pP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211" w:name="_Toc29285"/>
      <w:bookmarkStart w:id="212" w:name="_Toc2296"/>
      <w:bookmarkStart w:id="213" w:name="_Toc23972"/>
      <w:bookmarkStart w:id="214" w:name="_Toc2786"/>
      <w:bookmarkStart w:id="215" w:name="_Toc4837"/>
      <w:bookmarkStart w:id="216" w:name="_Toc21076"/>
      <w:bookmarkStart w:id="217" w:name="_Toc10608"/>
      <w:bookmarkStart w:id="218" w:name="_Toc24213"/>
      <w:bookmarkStart w:id="219" w:name="_Toc28949"/>
      <w:bookmarkStart w:id="220" w:name="_Toc977"/>
      <w:bookmarkStart w:id="221" w:name="_Toc10029"/>
      <w:r>
        <w:rPr>
          <w:rFonts w:ascii="Times New Roman" w:hAnsi="Times New Roman" w:eastAsia="黑体" w:cs="Times New Roman"/>
          <w:color w:val="auto"/>
          <w:sz w:val="50"/>
          <w:szCs w:val="50"/>
          <w:highlight w:val="none"/>
        </w:rPr>
        <w:t>响  应  文  件</w:t>
      </w:r>
      <w:bookmarkEnd w:id="211"/>
      <w:bookmarkEnd w:id="212"/>
      <w:bookmarkEnd w:id="213"/>
      <w:bookmarkEnd w:id="214"/>
      <w:bookmarkEnd w:id="215"/>
      <w:bookmarkEnd w:id="216"/>
      <w:bookmarkEnd w:id="217"/>
      <w:bookmarkEnd w:id="218"/>
      <w:bookmarkEnd w:id="219"/>
      <w:bookmarkEnd w:id="220"/>
      <w:bookmarkEnd w:id="221"/>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222" w:name="_Toc15092"/>
      <w:bookmarkStart w:id="223" w:name="_Toc23583"/>
      <w:bookmarkStart w:id="224" w:name="_Toc8703"/>
      <w:bookmarkStart w:id="225" w:name="_Toc18312_WPSOffice_Level1"/>
      <w:bookmarkStart w:id="226" w:name="_Toc11805_WPSOffice_Level1"/>
      <w:bookmarkStart w:id="227" w:name="_Toc1924"/>
      <w:bookmarkStart w:id="228" w:name="_Toc24269_WPSOffice_Level1"/>
      <w:bookmarkStart w:id="229" w:name="_Toc30031_WPSOffice_Level1"/>
      <w:bookmarkStart w:id="230" w:name="_Toc2765_WPSOffice_Level1"/>
      <w:bookmarkStart w:id="231" w:name="_Toc1687_WPSOffice_Level1"/>
      <w:bookmarkStart w:id="232" w:name="_Toc29968"/>
      <w:bookmarkStart w:id="233" w:name="_Toc29399_WPSOffice_Level1"/>
      <w:r>
        <w:rPr>
          <w:rFonts w:hint="eastAsia" w:ascii="黑体" w:hAnsi="黑体" w:eastAsia="黑体" w:cs="黑体"/>
          <w:b w:val="0"/>
          <w:bCs/>
          <w:color w:val="auto"/>
          <w:sz w:val="28"/>
          <w:szCs w:val="28"/>
          <w:highlight w:val="none"/>
        </w:rPr>
        <w:t>一、</w:t>
      </w:r>
      <w:bookmarkEnd w:id="222"/>
      <w:bookmarkEnd w:id="223"/>
      <w:bookmarkEnd w:id="224"/>
      <w:bookmarkEnd w:id="225"/>
      <w:bookmarkEnd w:id="226"/>
      <w:bookmarkEnd w:id="227"/>
      <w:bookmarkEnd w:id="228"/>
      <w:bookmarkEnd w:id="229"/>
      <w:bookmarkEnd w:id="230"/>
      <w:bookmarkEnd w:id="231"/>
      <w:bookmarkEnd w:id="232"/>
      <w:bookmarkEnd w:id="233"/>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8"/>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rPr>
        <w:t>安徽省交通控股集团有限公司2025年度新建改建路段服务区</w:t>
      </w:r>
      <w:r>
        <w:rPr>
          <w:rFonts w:hint="eastAsia" w:ascii="Times New Roman" w:hAnsi="Times New Roman" w:cs="Times New Roman"/>
          <w:color w:val="auto"/>
          <w:sz w:val="24"/>
          <w:highlight w:val="none"/>
          <w:u w:val="single"/>
          <w:lang w:eastAsia="zh-CN"/>
        </w:rPr>
        <w:t>交安设施</w:t>
      </w:r>
      <w:r>
        <w:rPr>
          <w:rFonts w:hint="eastAsia" w:ascii="Times New Roman" w:hAnsi="Times New Roman" w:cs="Times New Roman"/>
          <w:color w:val="auto"/>
          <w:sz w:val="24"/>
          <w:highlight w:val="none"/>
          <w:u w:val="single"/>
        </w:rPr>
        <w:t>采购及安装项目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8"/>
        <w:rPr>
          <w:rFonts w:hint="eastAsia" w:ascii="Times New Roman" w:hAnsi="Times New Roman" w:cs="Times New Roman"/>
          <w:color w:val="auto"/>
          <w:sz w:val="24"/>
          <w:highlight w:val="none"/>
        </w:rPr>
      </w:pPr>
    </w:p>
    <w:p w14:paraId="2564B337">
      <w:pPr>
        <w:pStyle w:val="33"/>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8"/>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9"/>
        <w:rPr>
          <w:color w:val="auto"/>
          <w:highlight w:val="none"/>
        </w:rPr>
      </w:pPr>
    </w:p>
    <w:p w14:paraId="3659ED9B">
      <w:pPr>
        <w:pStyle w:val="20"/>
        <w:rPr>
          <w:rFonts w:ascii="Times New Roman" w:hAnsi="Times New Roman" w:cs="Times New Roman"/>
          <w:color w:val="auto"/>
          <w:sz w:val="24"/>
          <w:highlight w:val="none"/>
        </w:rPr>
      </w:pPr>
    </w:p>
    <w:p w14:paraId="0B9FD6BB">
      <w:pPr>
        <w:adjustRightInd w:val="0"/>
        <w:snapToGrid w:val="0"/>
        <w:jc w:val="center"/>
        <w:outlineLvl w:val="1"/>
        <w:rPr>
          <w:rFonts w:hint="eastAsia" w:ascii="黑体" w:hAnsi="黑体" w:eastAsia="黑体" w:cs="黑体"/>
          <w:b w:val="0"/>
          <w:bCs/>
          <w:color w:val="auto"/>
          <w:sz w:val="28"/>
          <w:szCs w:val="28"/>
          <w:highlight w:val="none"/>
        </w:rPr>
      </w:pPr>
      <w:bookmarkStart w:id="234" w:name="_Toc162490440"/>
      <w:bookmarkStart w:id="235" w:name="_Toc153421230"/>
      <w:bookmarkStart w:id="236" w:name="_Toc272486050"/>
      <w:r>
        <w:rPr>
          <w:rFonts w:hint="eastAsia" w:ascii="黑体" w:hAnsi="黑体" w:eastAsia="黑体" w:cs="黑体"/>
          <w:b w:val="0"/>
          <w:bCs/>
          <w:color w:val="auto"/>
          <w:sz w:val="28"/>
          <w:szCs w:val="28"/>
          <w:highlight w:val="none"/>
        </w:rPr>
        <w:t>二、</w:t>
      </w:r>
      <w:bookmarkEnd w:id="234"/>
      <w:bookmarkEnd w:id="235"/>
      <w:bookmarkEnd w:id="236"/>
      <w:r>
        <w:rPr>
          <w:rFonts w:hint="eastAsia" w:ascii="黑体" w:hAnsi="黑体" w:eastAsia="黑体" w:cs="黑体"/>
          <w:b w:val="0"/>
          <w:bCs/>
          <w:color w:val="auto"/>
          <w:sz w:val="28"/>
          <w:szCs w:val="28"/>
          <w:highlight w:val="none"/>
        </w:rPr>
        <w:t>已标价的报价清单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38DB0F0C">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6167DF29">
      <w:pPr>
        <w:bidi w:val="0"/>
        <w:rPr>
          <w:rFonts w:hint="eastAsia" w:ascii="Times New Roman" w:hAnsi="Times New Roman" w:eastAsia="黑体" w:cs="Times New Roman"/>
          <w:color w:val="auto"/>
          <w:sz w:val="24"/>
          <w:highlight w:val="yellow"/>
          <w:lang w:val="en-US" w:eastAsia="zh-CN"/>
        </w:rPr>
      </w:pPr>
    </w:p>
    <w:p w14:paraId="001C9084">
      <w:pPr>
        <w:bidi w:val="0"/>
        <w:rPr>
          <w:rFonts w:hint="eastAsia" w:ascii="Times New Roman" w:hAnsi="Times New Roman" w:eastAsia="黑体" w:cs="Times New Roman"/>
          <w:color w:val="auto"/>
          <w:sz w:val="24"/>
          <w:highlight w:val="yellow"/>
          <w:lang w:val="en-US" w:eastAsia="zh-CN"/>
        </w:rPr>
      </w:pPr>
    </w:p>
    <w:p w14:paraId="4ADEDE55">
      <w:pPr>
        <w:bidi w:val="0"/>
        <w:rPr>
          <w:rFonts w:hint="eastAsia" w:ascii="Times New Roman" w:hAnsi="Times New Roman" w:eastAsia="黑体" w:cs="Times New Roman"/>
          <w:color w:val="auto"/>
          <w:sz w:val="24"/>
          <w:highlight w:val="yellow"/>
          <w:lang w:val="en-US" w:eastAsia="zh-CN"/>
        </w:rPr>
      </w:pPr>
    </w:p>
    <w:p w14:paraId="417CB128">
      <w:pPr>
        <w:bidi w:val="0"/>
        <w:rPr>
          <w:rFonts w:hint="eastAsia" w:ascii="Times New Roman" w:hAnsi="Times New Roman" w:eastAsia="黑体" w:cs="Times New Roman"/>
          <w:color w:val="auto"/>
          <w:sz w:val="24"/>
          <w:highlight w:val="yellow"/>
          <w:lang w:val="en-US" w:eastAsia="zh-CN"/>
        </w:rPr>
      </w:pPr>
    </w:p>
    <w:p w14:paraId="3259370D">
      <w:pPr>
        <w:bidi w:val="0"/>
        <w:rPr>
          <w:rFonts w:hint="eastAsia" w:ascii="Times New Roman" w:hAnsi="Times New Roman" w:eastAsia="黑体" w:cs="Times New Roman"/>
          <w:color w:val="auto"/>
          <w:sz w:val="24"/>
          <w:highlight w:val="yellow"/>
          <w:lang w:val="en-US" w:eastAsia="zh-CN"/>
        </w:rPr>
      </w:pPr>
    </w:p>
    <w:p w14:paraId="57FB9718">
      <w:pPr>
        <w:bidi w:val="0"/>
        <w:rPr>
          <w:rFonts w:hint="eastAsia" w:ascii="Times New Roman" w:hAnsi="Times New Roman" w:eastAsia="黑体" w:cs="Times New Roman"/>
          <w:color w:val="auto"/>
          <w:sz w:val="24"/>
          <w:highlight w:val="yellow"/>
          <w:lang w:val="en-US" w:eastAsia="zh-CN"/>
        </w:rPr>
      </w:pPr>
    </w:p>
    <w:p w14:paraId="41AE9BAD">
      <w:pPr>
        <w:bidi w:val="0"/>
        <w:rPr>
          <w:rFonts w:hint="eastAsia" w:ascii="Times New Roman" w:hAnsi="Times New Roman" w:eastAsia="黑体" w:cs="Times New Roman"/>
          <w:color w:val="auto"/>
          <w:sz w:val="24"/>
          <w:highlight w:val="yellow"/>
          <w:lang w:val="en-US" w:eastAsia="zh-CN"/>
        </w:rPr>
      </w:pPr>
    </w:p>
    <w:p w14:paraId="55E7578A">
      <w:pPr>
        <w:bidi w:val="0"/>
        <w:rPr>
          <w:rFonts w:hint="eastAsia" w:ascii="Times New Roman" w:hAnsi="Times New Roman" w:eastAsia="黑体" w:cs="Times New Roman"/>
          <w:color w:val="auto"/>
          <w:sz w:val="24"/>
          <w:highlight w:val="yellow"/>
          <w:lang w:val="en-US" w:eastAsia="zh-CN"/>
        </w:rPr>
      </w:pPr>
    </w:p>
    <w:p w14:paraId="62ABFC2B">
      <w:pPr>
        <w:bidi w:val="0"/>
        <w:rPr>
          <w:rFonts w:hint="eastAsia" w:ascii="Times New Roman" w:hAnsi="Times New Roman" w:eastAsia="黑体" w:cs="Times New Roman"/>
          <w:color w:val="auto"/>
          <w:sz w:val="24"/>
          <w:highlight w:val="yellow"/>
          <w:lang w:val="en-US" w:eastAsia="zh-CN"/>
        </w:rPr>
      </w:pPr>
    </w:p>
    <w:p w14:paraId="630DA9A8">
      <w:pPr>
        <w:bidi w:val="0"/>
        <w:rPr>
          <w:rFonts w:hint="eastAsia" w:ascii="Times New Roman" w:hAnsi="Times New Roman" w:eastAsia="黑体" w:cs="Times New Roman"/>
          <w:color w:val="auto"/>
          <w:sz w:val="24"/>
          <w:highlight w:val="yellow"/>
          <w:lang w:val="en-US" w:eastAsia="zh-CN"/>
        </w:rPr>
      </w:pPr>
    </w:p>
    <w:p w14:paraId="627AB260">
      <w:pPr>
        <w:bidi w:val="0"/>
        <w:rPr>
          <w:rFonts w:hint="eastAsia" w:ascii="Times New Roman" w:hAnsi="Times New Roman" w:eastAsia="黑体" w:cs="Times New Roman"/>
          <w:color w:val="auto"/>
          <w:sz w:val="24"/>
          <w:highlight w:val="yellow"/>
          <w:lang w:val="en-US" w:eastAsia="zh-CN"/>
        </w:rPr>
      </w:pPr>
    </w:p>
    <w:p w14:paraId="67A8CD68">
      <w:pPr>
        <w:bidi w:val="0"/>
        <w:rPr>
          <w:rFonts w:hint="eastAsia" w:ascii="Times New Roman" w:hAnsi="Times New Roman" w:eastAsia="黑体" w:cs="Times New Roman"/>
          <w:color w:val="auto"/>
          <w:sz w:val="24"/>
          <w:highlight w:val="yellow"/>
          <w:lang w:val="en-US" w:eastAsia="zh-CN"/>
        </w:rPr>
      </w:pPr>
    </w:p>
    <w:p w14:paraId="4B092C77">
      <w:pPr>
        <w:bidi w:val="0"/>
        <w:rPr>
          <w:rFonts w:hint="eastAsia" w:ascii="Times New Roman" w:hAnsi="Times New Roman" w:eastAsia="黑体" w:cs="Times New Roman"/>
          <w:color w:val="auto"/>
          <w:sz w:val="24"/>
          <w:highlight w:val="yellow"/>
          <w:lang w:val="en-US" w:eastAsia="zh-CN"/>
        </w:rPr>
      </w:pPr>
    </w:p>
    <w:p w14:paraId="0FFC77CE">
      <w:pPr>
        <w:bidi w:val="0"/>
        <w:rPr>
          <w:rFonts w:hint="eastAsia" w:ascii="Times New Roman" w:hAnsi="Times New Roman" w:eastAsia="黑体" w:cs="Times New Roman"/>
          <w:color w:val="auto"/>
          <w:sz w:val="24"/>
          <w:highlight w:val="yellow"/>
          <w:lang w:val="en-US" w:eastAsia="zh-CN"/>
        </w:rPr>
      </w:pPr>
    </w:p>
    <w:p w14:paraId="020F4018">
      <w:pPr>
        <w:bidi w:val="0"/>
        <w:rPr>
          <w:rFonts w:hint="eastAsia" w:ascii="Times New Roman" w:hAnsi="Times New Roman" w:eastAsia="黑体" w:cs="Times New Roman"/>
          <w:color w:val="auto"/>
          <w:sz w:val="24"/>
          <w:highlight w:val="yellow"/>
          <w:lang w:val="en-US" w:eastAsia="zh-CN"/>
        </w:rPr>
      </w:pPr>
    </w:p>
    <w:p w14:paraId="176FAC70">
      <w:pPr>
        <w:bidi w:val="0"/>
        <w:rPr>
          <w:rFonts w:hint="eastAsia" w:ascii="Times New Roman" w:hAnsi="Times New Roman" w:eastAsia="黑体" w:cs="Times New Roman"/>
          <w:color w:val="auto"/>
          <w:sz w:val="24"/>
          <w:highlight w:val="yellow"/>
          <w:lang w:val="en-US" w:eastAsia="zh-CN"/>
        </w:rPr>
      </w:pPr>
    </w:p>
    <w:p w14:paraId="362C1DBB">
      <w:pPr>
        <w:bidi w:val="0"/>
        <w:rPr>
          <w:rFonts w:hint="eastAsia" w:ascii="Times New Roman" w:hAnsi="Times New Roman" w:eastAsia="黑体" w:cs="Times New Roman"/>
          <w:color w:val="auto"/>
          <w:sz w:val="24"/>
          <w:highlight w:val="yellow"/>
          <w:lang w:val="en-US" w:eastAsia="zh-CN"/>
        </w:rPr>
      </w:pPr>
    </w:p>
    <w:p w14:paraId="247F55D1">
      <w:pPr>
        <w:bidi w:val="0"/>
        <w:rPr>
          <w:rFonts w:hint="eastAsia" w:ascii="Times New Roman" w:hAnsi="Times New Roman" w:eastAsia="黑体" w:cs="Times New Roman"/>
          <w:color w:val="auto"/>
          <w:sz w:val="24"/>
          <w:highlight w:val="yellow"/>
          <w:lang w:val="en-US" w:eastAsia="zh-CN"/>
        </w:rPr>
      </w:pPr>
    </w:p>
    <w:p w14:paraId="16DE5610">
      <w:pPr>
        <w:bidi w:val="0"/>
        <w:rPr>
          <w:rFonts w:hint="eastAsia" w:ascii="Times New Roman" w:hAnsi="Times New Roman" w:eastAsia="黑体" w:cs="Times New Roman"/>
          <w:color w:val="auto"/>
          <w:sz w:val="24"/>
          <w:highlight w:val="yellow"/>
          <w:lang w:val="en-US" w:eastAsia="zh-CN"/>
        </w:rPr>
      </w:pPr>
    </w:p>
    <w:p w14:paraId="080E8F1D">
      <w:pPr>
        <w:bidi w:val="0"/>
        <w:rPr>
          <w:rFonts w:hint="eastAsia" w:ascii="Times New Roman" w:hAnsi="Times New Roman" w:eastAsia="黑体" w:cs="Times New Roman"/>
          <w:color w:val="auto"/>
          <w:sz w:val="24"/>
          <w:highlight w:val="yellow"/>
          <w:lang w:val="en-US" w:eastAsia="zh-CN"/>
        </w:rPr>
      </w:pPr>
    </w:p>
    <w:p w14:paraId="09C69505">
      <w:pPr>
        <w:bidi w:val="0"/>
        <w:rPr>
          <w:rFonts w:hint="eastAsia" w:ascii="Times New Roman" w:hAnsi="Times New Roman" w:eastAsia="黑体" w:cs="Times New Roman"/>
          <w:color w:val="auto"/>
          <w:sz w:val="24"/>
          <w:highlight w:val="yellow"/>
          <w:lang w:val="en-US" w:eastAsia="zh-CN"/>
        </w:rPr>
      </w:pPr>
    </w:p>
    <w:p w14:paraId="721FFC8A">
      <w:pPr>
        <w:bidi w:val="0"/>
        <w:rPr>
          <w:rFonts w:hint="eastAsia" w:ascii="Times New Roman" w:hAnsi="Times New Roman" w:eastAsia="黑体" w:cs="Times New Roman"/>
          <w:color w:val="auto"/>
          <w:sz w:val="24"/>
          <w:highlight w:val="yellow"/>
          <w:lang w:val="en-US" w:eastAsia="zh-CN"/>
        </w:rPr>
      </w:pPr>
    </w:p>
    <w:p w14:paraId="138F5558">
      <w:pPr>
        <w:bidi w:val="0"/>
        <w:rPr>
          <w:rFonts w:hint="eastAsia" w:ascii="Times New Roman" w:hAnsi="Times New Roman" w:eastAsia="黑体" w:cs="Times New Roman"/>
          <w:color w:val="auto"/>
          <w:sz w:val="24"/>
          <w:highlight w:val="yellow"/>
          <w:lang w:val="en-US" w:eastAsia="zh-CN"/>
        </w:rPr>
      </w:pPr>
    </w:p>
    <w:p w14:paraId="6B0DDA0E">
      <w:pPr>
        <w:bidi w:val="0"/>
        <w:rPr>
          <w:rFonts w:hint="eastAsia" w:ascii="Times New Roman" w:hAnsi="Times New Roman" w:eastAsia="黑体" w:cs="Times New Roman"/>
          <w:color w:val="auto"/>
          <w:sz w:val="24"/>
          <w:highlight w:val="yellow"/>
          <w:lang w:val="en-US" w:eastAsia="zh-CN"/>
        </w:rPr>
      </w:pPr>
    </w:p>
    <w:p w14:paraId="3C782188">
      <w:pPr>
        <w:bidi w:val="0"/>
        <w:rPr>
          <w:rFonts w:hint="eastAsia" w:ascii="Times New Roman" w:hAnsi="Times New Roman" w:eastAsia="黑体" w:cs="Times New Roman"/>
          <w:color w:val="auto"/>
          <w:sz w:val="24"/>
          <w:highlight w:val="yellow"/>
          <w:lang w:val="en-US" w:eastAsia="zh-CN"/>
        </w:rPr>
      </w:pPr>
    </w:p>
    <w:p w14:paraId="4E0E5850">
      <w:pPr>
        <w:bidi w:val="0"/>
        <w:rPr>
          <w:rFonts w:hint="eastAsia" w:ascii="Times New Roman" w:hAnsi="Times New Roman" w:eastAsia="黑体" w:cs="Times New Roman"/>
          <w:color w:val="auto"/>
          <w:sz w:val="24"/>
          <w:highlight w:val="yellow"/>
          <w:lang w:val="en-US" w:eastAsia="zh-CN"/>
        </w:rPr>
      </w:pPr>
    </w:p>
    <w:p w14:paraId="6253B43B">
      <w:pPr>
        <w:bidi w:val="0"/>
        <w:rPr>
          <w:rFonts w:hint="eastAsia" w:ascii="Times New Roman" w:hAnsi="Times New Roman" w:eastAsia="黑体" w:cs="Times New Roman"/>
          <w:color w:val="auto"/>
          <w:sz w:val="24"/>
          <w:highlight w:val="yellow"/>
          <w:lang w:val="en-US" w:eastAsia="zh-CN"/>
        </w:rPr>
      </w:pPr>
    </w:p>
    <w:p w14:paraId="6D266686">
      <w:pPr>
        <w:bidi w:val="0"/>
        <w:rPr>
          <w:rFonts w:hint="eastAsia" w:ascii="Times New Roman" w:hAnsi="Times New Roman" w:eastAsia="黑体" w:cs="Times New Roman"/>
          <w:color w:val="auto"/>
          <w:sz w:val="24"/>
          <w:highlight w:val="yellow"/>
          <w:lang w:val="en-US" w:eastAsia="zh-CN"/>
        </w:rPr>
      </w:pPr>
    </w:p>
    <w:p w14:paraId="1A66EF40">
      <w:pPr>
        <w:bidi w:val="0"/>
        <w:rPr>
          <w:rFonts w:hint="eastAsia" w:ascii="Times New Roman" w:hAnsi="Times New Roman" w:eastAsia="黑体" w:cs="Times New Roman"/>
          <w:color w:val="auto"/>
          <w:sz w:val="24"/>
          <w:highlight w:val="yellow"/>
          <w:lang w:val="en-US" w:eastAsia="zh-CN"/>
        </w:rPr>
      </w:pPr>
    </w:p>
    <w:p w14:paraId="43601863">
      <w:pPr>
        <w:bidi w:val="0"/>
        <w:rPr>
          <w:rFonts w:hint="eastAsia" w:ascii="Times New Roman" w:hAnsi="Times New Roman" w:eastAsia="黑体" w:cs="Times New Roman"/>
          <w:color w:val="auto"/>
          <w:sz w:val="24"/>
          <w:highlight w:val="yellow"/>
          <w:lang w:val="en-US" w:eastAsia="zh-CN"/>
        </w:rPr>
      </w:pPr>
    </w:p>
    <w:p w14:paraId="506FE7FB">
      <w:pPr>
        <w:bidi w:val="0"/>
        <w:rPr>
          <w:rFonts w:hint="eastAsia" w:ascii="Times New Roman" w:hAnsi="Times New Roman" w:eastAsia="黑体" w:cs="Times New Roman"/>
          <w:color w:val="auto"/>
          <w:sz w:val="24"/>
          <w:highlight w:val="yellow"/>
          <w:lang w:val="en-US" w:eastAsia="zh-CN"/>
        </w:rPr>
      </w:pPr>
    </w:p>
    <w:p w14:paraId="529EA371">
      <w:pPr>
        <w:bidi w:val="0"/>
        <w:rPr>
          <w:rFonts w:hint="eastAsia" w:ascii="Times New Roman" w:hAnsi="Times New Roman" w:eastAsia="黑体" w:cs="Times New Roman"/>
          <w:color w:val="auto"/>
          <w:sz w:val="24"/>
          <w:highlight w:val="yellow"/>
          <w:lang w:val="en-US" w:eastAsia="zh-CN"/>
        </w:rPr>
      </w:pPr>
    </w:p>
    <w:p w14:paraId="59E68C42">
      <w:pPr>
        <w:bidi w:val="0"/>
        <w:rPr>
          <w:rFonts w:hint="eastAsia" w:ascii="Times New Roman" w:hAnsi="Times New Roman" w:eastAsia="黑体" w:cs="Times New Roman"/>
          <w:color w:val="auto"/>
          <w:sz w:val="24"/>
          <w:highlight w:val="yellow"/>
          <w:lang w:val="en-US" w:eastAsia="zh-CN"/>
        </w:rPr>
      </w:pPr>
    </w:p>
    <w:p w14:paraId="292AEBC8">
      <w:pPr>
        <w:bidi w:val="0"/>
        <w:rPr>
          <w:rFonts w:hint="eastAsia" w:ascii="Times New Roman" w:hAnsi="Times New Roman" w:eastAsia="黑体" w:cs="Times New Roman"/>
          <w:color w:val="auto"/>
          <w:sz w:val="24"/>
          <w:highlight w:val="yellow"/>
          <w:lang w:val="en-US" w:eastAsia="zh-CN"/>
        </w:rPr>
      </w:pPr>
    </w:p>
    <w:p w14:paraId="26BE700A">
      <w:pPr>
        <w:pStyle w:val="8"/>
        <w:rPr>
          <w:rFonts w:hint="eastAsia"/>
          <w:color w:val="auto"/>
          <w:lang w:val="en-US" w:eastAsia="zh-CN"/>
        </w:rPr>
      </w:pPr>
    </w:p>
    <w:p w14:paraId="43ACF3C3">
      <w:pPr>
        <w:bidi w:val="0"/>
        <w:rPr>
          <w:rFonts w:hint="eastAsia" w:ascii="Times New Roman" w:hAnsi="Times New Roman" w:eastAsia="黑体" w:cs="Times New Roman"/>
          <w:color w:val="auto"/>
          <w:sz w:val="24"/>
          <w:highlight w:val="yellow"/>
          <w:lang w:val="en-US" w:eastAsia="zh-CN"/>
        </w:rPr>
      </w:pPr>
    </w:p>
    <w:p w14:paraId="27F76004">
      <w:pPr>
        <w:bidi w:val="0"/>
        <w:rPr>
          <w:rFonts w:hint="eastAsia" w:ascii="Times New Roman" w:hAnsi="Times New Roman" w:eastAsia="黑体" w:cs="Times New Roman"/>
          <w:color w:val="auto"/>
          <w:sz w:val="24"/>
          <w:highlight w:val="yellow"/>
          <w:lang w:val="en-US" w:eastAsia="zh-CN"/>
        </w:rPr>
      </w:pPr>
    </w:p>
    <w:p w14:paraId="7F42CF63">
      <w:pPr>
        <w:bidi w:val="0"/>
        <w:rPr>
          <w:rFonts w:hint="default" w:ascii="Times New Roman" w:hAnsi="Times New Roman" w:eastAsia="黑体" w:cs="Times New Roman"/>
          <w:color w:val="auto"/>
          <w:sz w:val="24"/>
          <w:highlight w:val="yellow"/>
          <w:lang w:val="en-US" w:eastAsia="zh-CN"/>
        </w:rPr>
      </w:pPr>
    </w:p>
    <w:p w14:paraId="31AB784D">
      <w:pPr>
        <w:bidi w:val="0"/>
        <w:rPr>
          <w:rFonts w:hint="eastAsia"/>
          <w:color w:val="auto"/>
          <w:highlight w:val="none"/>
          <w:lang w:val="en-US" w:eastAsia="zh-CN"/>
        </w:r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11"/>
        <w:gridCol w:w="3672"/>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311"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3672"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311"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3672"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092"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5791"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71D1A16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6579A0A6">
      <w:pPr>
        <w:pStyle w:val="19"/>
        <w:rPr>
          <w:rFonts w:hint="eastAsia"/>
          <w:color w:val="auto"/>
          <w:highlight w:val="none"/>
          <w:lang w:val="en-US" w:eastAsia="zh-CN"/>
        </w:rPr>
      </w:pPr>
    </w:p>
    <w:p w14:paraId="39FF482F">
      <w:pPr>
        <w:pStyle w:val="19"/>
        <w:rPr>
          <w:rFonts w:hint="eastAsia"/>
          <w:color w:val="auto"/>
          <w:highlight w:val="none"/>
          <w:lang w:val="en-US" w:eastAsia="zh-CN"/>
        </w:rPr>
      </w:pPr>
    </w:p>
    <w:p w14:paraId="1222E17D">
      <w:pPr>
        <w:pStyle w:val="19"/>
        <w:rPr>
          <w:rFonts w:hint="eastAsia"/>
          <w:color w:val="auto"/>
          <w:highlight w:val="none"/>
          <w:lang w:val="en-US" w:eastAsia="zh-CN"/>
        </w:rPr>
      </w:pPr>
    </w:p>
    <w:p w14:paraId="36C08017">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1.上述费用包括货物的原材料、生产、包装、运输、安装、保险、卸货叉车费（如有）、人工费、卸车费、利润、税费等相关费用。</w:t>
      </w:r>
    </w:p>
    <w:p w14:paraId="033682D5">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3BCEB11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7FCF4E6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07511D3A">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6B55C20">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成交人对提供的供应货物质量负总责，材料进场应按程序履行报验、交接手续；因供应货物质量问题，将视作违约，成交人须赔偿由此造成返工的全部工程建设费用及其他一切损失，同时由采购人追究成交人的违约责任，情节严重的，依法追究相关责任。</w:t>
      </w:r>
    </w:p>
    <w:p w14:paraId="4D6E4DEF">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3"/>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ECE35D6-4D63-47F4-9573-EDBC84AF008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7388824-5304-40CD-B423-C48B2EAD16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F50F7D4-1BFA-4D05-A085-E7CB2551A52B}"/>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6A9B8879-1822-4DA9-9287-4E15B0254BD2}"/>
  </w:font>
  <w:font w:name="方正小标宋简体">
    <w:panose1 w:val="02000000000000000000"/>
    <w:charset w:val="86"/>
    <w:family w:val="auto"/>
    <w:pitch w:val="default"/>
    <w:sig w:usb0="00000001" w:usb1="08000000" w:usb2="00000000" w:usb3="00000000" w:csb0="00040000" w:csb1="00000000"/>
    <w:embedRegular r:id="rId5" w:fontKey="{95FA4A5B-36F7-4799-BDAA-B398B04C4190}"/>
  </w:font>
  <w:font w:name="Wingdings 2">
    <w:panose1 w:val="05020102010507070707"/>
    <w:charset w:val="02"/>
    <w:family w:val="roman"/>
    <w:pitch w:val="default"/>
    <w:sig w:usb0="00000000" w:usb1="00000000" w:usb2="00000000" w:usb3="00000000" w:csb0="80000000" w:csb1="00000000"/>
    <w:embedRegular r:id="rId6" w:fontKey="{E6E3B34D-EEE9-4629-81F8-7F6BED9767C7}"/>
  </w:font>
  <w:font w:name="华文楷体">
    <w:panose1 w:val="02010600040101010101"/>
    <w:charset w:val="86"/>
    <w:family w:val="auto"/>
    <w:pitch w:val="default"/>
    <w:sig w:usb0="00000287" w:usb1="080F0000" w:usb2="00000000" w:usb3="00000000" w:csb0="0004009F" w:csb1="DFD70000"/>
    <w:embedRegular r:id="rId7" w:fontKey="{FF424E9F-5DAD-4498-9C94-D07F17E1C10B}"/>
  </w:font>
  <w:font w:name="仿宋_GB2312">
    <w:altName w:val="仿宋"/>
    <w:panose1 w:val="02010609030101010101"/>
    <w:charset w:val="86"/>
    <w:family w:val="modern"/>
    <w:pitch w:val="default"/>
    <w:sig w:usb0="00000000" w:usb1="00000000" w:usb2="00000000" w:usb3="00000000" w:csb0="00040000" w:csb1="00000000"/>
    <w:embedRegular r:id="rId8" w:fontKey="{18EBBD60-D0AC-4532-9672-C006A39F4252}"/>
  </w:font>
  <w:font w:name="仿宋">
    <w:panose1 w:val="02010609060101010101"/>
    <w:charset w:val="86"/>
    <w:family w:val="auto"/>
    <w:pitch w:val="default"/>
    <w:sig w:usb0="800002BF" w:usb1="38CF7CFA" w:usb2="00000016" w:usb3="00000000" w:csb0="00040001" w:csb1="00000000"/>
    <w:embedRegular r:id="rId9" w:fontKey="{C45E5D11-C15F-4C25-912A-0ABB14045AC8}"/>
  </w:font>
  <w:font w:name="楷体">
    <w:panose1 w:val="02010609060101010101"/>
    <w:charset w:val="86"/>
    <w:family w:val="auto"/>
    <w:pitch w:val="default"/>
    <w:sig w:usb0="800002BF" w:usb1="38CF7CFA" w:usb2="00000016" w:usb3="00000000" w:csb0="00040001" w:csb1="00000000"/>
    <w:embedRegular r:id="rId10" w:fontKey="{C72B9FAB-2ABA-4BD7-B486-259B1BBC893D}"/>
  </w:font>
  <w:font w:name="华文中宋">
    <w:panose1 w:val="02010600040101010101"/>
    <w:charset w:val="50"/>
    <w:family w:val="auto"/>
    <w:pitch w:val="default"/>
    <w:sig w:usb0="00000287" w:usb1="080F0000" w:usb2="00000000" w:usb3="00000000" w:csb0="0004009F" w:csb1="DFD70000"/>
    <w:embedRegular r:id="rId11" w:fontKey="{65C53A62-D624-4FC0-9158-6F7979C1C9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9"/>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9"/>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9"/>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1D905B1"/>
    <w:rsid w:val="01FD42EF"/>
    <w:rsid w:val="0211370D"/>
    <w:rsid w:val="0215764D"/>
    <w:rsid w:val="022655F4"/>
    <w:rsid w:val="023E3C6A"/>
    <w:rsid w:val="02777BFD"/>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230E30"/>
    <w:rsid w:val="042516B9"/>
    <w:rsid w:val="042F2C67"/>
    <w:rsid w:val="04461F7D"/>
    <w:rsid w:val="045E338A"/>
    <w:rsid w:val="046E6DDE"/>
    <w:rsid w:val="047010F6"/>
    <w:rsid w:val="04701D1E"/>
    <w:rsid w:val="047A1C27"/>
    <w:rsid w:val="049D76C3"/>
    <w:rsid w:val="04C16A73"/>
    <w:rsid w:val="04E034BC"/>
    <w:rsid w:val="05085F79"/>
    <w:rsid w:val="051C4A8C"/>
    <w:rsid w:val="052851DF"/>
    <w:rsid w:val="0535195E"/>
    <w:rsid w:val="054416D2"/>
    <w:rsid w:val="05AF29EE"/>
    <w:rsid w:val="05D2339D"/>
    <w:rsid w:val="05F62696"/>
    <w:rsid w:val="05F94BA8"/>
    <w:rsid w:val="060774EA"/>
    <w:rsid w:val="061816F7"/>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187C60"/>
    <w:rsid w:val="091A5787"/>
    <w:rsid w:val="091A677A"/>
    <w:rsid w:val="09210464"/>
    <w:rsid w:val="095E1B17"/>
    <w:rsid w:val="096867B1"/>
    <w:rsid w:val="09B13FF7"/>
    <w:rsid w:val="09FE454A"/>
    <w:rsid w:val="0A2E7496"/>
    <w:rsid w:val="0A407D2C"/>
    <w:rsid w:val="0A466107"/>
    <w:rsid w:val="0A64315D"/>
    <w:rsid w:val="0A8235E3"/>
    <w:rsid w:val="0A941F2B"/>
    <w:rsid w:val="0AAD73BC"/>
    <w:rsid w:val="0AB84C95"/>
    <w:rsid w:val="0AED0915"/>
    <w:rsid w:val="0AF3003D"/>
    <w:rsid w:val="0B286939"/>
    <w:rsid w:val="0B2E4625"/>
    <w:rsid w:val="0B416FFB"/>
    <w:rsid w:val="0B7F3FC7"/>
    <w:rsid w:val="0BA10DDD"/>
    <w:rsid w:val="0BB2614A"/>
    <w:rsid w:val="0BC86369"/>
    <w:rsid w:val="0BCC3D77"/>
    <w:rsid w:val="0BDD422F"/>
    <w:rsid w:val="0C024903"/>
    <w:rsid w:val="0C0B7829"/>
    <w:rsid w:val="0C126BE9"/>
    <w:rsid w:val="0C252478"/>
    <w:rsid w:val="0C425774"/>
    <w:rsid w:val="0C433DD8"/>
    <w:rsid w:val="0C5C5FF7"/>
    <w:rsid w:val="0CA57A5D"/>
    <w:rsid w:val="0CA667B4"/>
    <w:rsid w:val="0CB62B1E"/>
    <w:rsid w:val="0CD81BE1"/>
    <w:rsid w:val="0D604989"/>
    <w:rsid w:val="0D676CED"/>
    <w:rsid w:val="0DBD0BDC"/>
    <w:rsid w:val="0DC42165"/>
    <w:rsid w:val="0DD26630"/>
    <w:rsid w:val="0DE02F17"/>
    <w:rsid w:val="0E1E3623"/>
    <w:rsid w:val="0E436CA2"/>
    <w:rsid w:val="0E541DD8"/>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0FFD54BA"/>
    <w:rsid w:val="101902A4"/>
    <w:rsid w:val="101A751A"/>
    <w:rsid w:val="103E486A"/>
    <w:rsid w:val="106D5B52"/>
    <w:rsid w:val="1090350E"/>
    <w:rsid w:val="10944070"/>
    <w:rsid w:val="10A6372F"/>
    <w:rsid w:val="10A97373"/>
    <w:rsid w:val="10CF32FA"/>
    <w:rsid w:val="10DA535D"/>
    <w:rsid w:val="10F20D97"/>
    <w:rsid w:val="10F863AD"/>
    <w:rsid w:val="110D2AFF"/>
    <w:rsid w:val="112131E2"/>
    <w:rsid w:val="11681ED6"/>
    <w:rsid w:val="119C482A"/>
    <w:rsid w:val="11B06C88"/>
    <w:rsid w:val="11C6025A"/>
    <w:rsid w:val="11DF30C9"/>
    <w:rsid w:val="11E46EAE"/>
    <w:rsid w:val="11F528ED"/>
    <w:rsid w:val="11FD4CD5"/>
    <w:rsid w:val="122B7BD8"/>
    <w:rsid w:val="129325F3"/>
    <w:rsid w:val="12983425"/>
    <w:rsid w:val="129A3494"/>
    <w:rsid w:val="12BD1492"/>
    <w:rsid w:val="12FA3B2F"/>
    <w:rsid w:val="1300779B"/>
    <w:rsid w:val="13054DB2"/>
    <w:rsid w:val="131B45D5"/>
    <w:rsid w:val="13431F92"/>
    <w:rsid w:val="13955E86"/>
    <w:rsid w:val="13C13BEB"/>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832749"/>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3A2998"/>
    <w:rsid w:val="1B416BA3"/>
    <w:rsid w:val="1B610FF3"/>
    <w:rsid w:val="1B87260E"/>
    <w:rsid w:val="1B9916E8"/>
    <w:rsid w:val="1BF956CF"/>
    <w:rsid w:val="1BFD0D5D"/>
    <w:rsid w:val="1C0C5403"/>
    <w:rsid w:val="1C0E117B"/>
    <w:rsid w:val="1C511068"/>
    <w:rsid w:val="1C7D1E5D"/>
    <w:rsid w:val="1C9D0478"/>
    <w:rsid w:val="1CA464D8"/>
    <w:rsid w:val="1CB03FE0"/>
    <w:rsid w:val="1CB20DCC"/>
    <w:rsid w:val="1CB304A3"/>
    <w:rsid w:val="1CCE26B8"/>
    <w:rsid w:val="1CD07137"/>
    <w:rsid w:val="1CE76D4F"/>
    <w:rsid w:val="1CF12CD2"/>
    <w:rsid w:val="1D3320C5"/>
    <w:rsid w:val="1D3772E3"/>
    <w:rsid w:val="1D3F5364"/>
    <w:rsid w:val="1D990F18"/>
    <w:rsid w:val="1D9C6C71"/>
    <w:rsid w:val="1DBF4066"/>
    <w:rsid w:val="1DC0096E"/>
    <w:rsid w:val="1DD02C25"/>
    <w:rsid w:val="1DFB32CC"/>
    <w:rsid w:val="1E085F02"/>
    <w:rsid w:val="1E2F53D8"/>
    <w:rsid w:val="1E304C77"/>
    <w:rsid w:val="1E605592"/>
    <w:rsid w:val="1E764DB5"/>
    <w:rsid w:val="1E7E7378"/>
    <w:rsid w:val="1EEE0DF0"/>
    <w:rsid w:val="1F026649"/>
    <w:rsid w:val="1F0529C7"/>
    <w:rsid w:val="1F091FF2"/>
    <w:rsid w:val="1F172B9E"/>
    <w:rsid w:val="1F291E28"/>
    <w:rsid w:val="1F6B68E4"/>
    <w:rsid w:val="1F8615BF"/>
    <w:rsid w:val="1F93095F"/>
    <w:rsid w:val="1FB449F5"/>
    <w:rsid w:val="1FC01B05"/>
    <w:rsid w:val="1FC658C9"/>
    <w:rsid w:val="1FD06747"/>
    <w:rsid w:val="1FE64151"/>
    <w:rsid w:val="1FEA7927"/>
    <w:rsid w:val="1FFE5062"/>
    <w:rsid w:val="201C373B"/>
    <w:rsid w:val="20220D88"/>
    <w:rsid w:val="202D724A"/>
    <w:rsid w:val="20432E03"/>
    <w:rsid w:val="20556493"/>
    <w:rsid w:val="20703AC9"/>
    <w:rsid w:val="20A774A8"/>
    <w:rsid w:val="20CE5700"/>
    <w:rsid w:val="20CE712B"/>
    <w:rsid w:val="20E701EC"/>
    <w:rsid w:val="21366A7E"/>
    <w:rsid w:val="216C51F8"/>
    <w:rsid w:val="21705735"/>
    <w:rsid w:val="218872DA"/>
    <w:rsid w:val="21A659B2"/>
    <w:rsid w:val="21EC1864"/>
    <w:rsid w:val="21F52495"/>
    <w:rsid w:val="2211172D"/>
    <w:rsid w:val="222F5C4D"/>
    <w:rsid w:val="22456F98"/>
    <w:rsid w:val="22694276"/>
    <w:rsid w:val="22853AE2"/>
    <w:rsid w:val="22870E4F"/>
    <w:rsid w:val="22886585"/>
    <w:rsid w:val="22A243CB"/>
    <w:rsid w:val="233E4325"/>
    <w:rsid w:val="23610B8C"/>
    <w:rsid w:val="23623B5A"/>
    <w:rsid w:val="23767E36"/>
    <w:rsid w:val="23DC390D"/>
    <w:rsid w:val="23DC56BB"/>
    <w:rsid w:val="23E812A0"/>
    <w:rsid w:val="241155A9"/>
    <w:rsid w:val="241D716E"/>
    <w:rsid w:val="244412FB"/>
    <w:rsid w:val="2472524B"/>
    <w:rsid w:val="24822706"/>
    <w:rsid w:val="24AD2EBF"/>
    <w:rsid w:val="24BB5C18"/>
    <w:rsid w:val="253902A6"/>
    <w:rsid w:val="253F05F7"/>
    <w:rsid w:val="25494FD2"/>
    <w:rsid w:val="254A0D4A"/>
    <w:rsid w:val="254B358D"/>
    <w:rsid w:val="25517C49"/>
    <w:rsid w:val="256E6DFD"/>
    <w:rsid w:val="257F09F3"/>
    <w:rsid w:val="25891872"/>
    <w:rsid w:val="25A641D2"/>
    <w:rsid w:val="25B60EA7"/>
    <w:rsid w:val="25B678EC"/>
    <w:rsid w:val="25B736EC"/>
    <w:rsid w:val="25CC7C14"/>
    <w:rsid w:val="25F767DC"/>
    <w:rsid w:val="25F80363"/>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823738"/>
    <w:rsid w:val="279E7B84"/>
    <w:rsid w:val="27B103DE"/>
    <w:rsid w:val="27CE17BE"/>
    <w:rsid w:val="27DC4161"/>
    <w:rsid w:val="28302479"/>
    <w:rsid w:val="285445B2"/>
    <w:rsid w:val="286A6C87"/>
    <w:rsid w:val="28D24D9C"/>
    <w:rsid w:val="28F25980"/>
    <w:rsid w:val="28FE7045"/>
    <w:rsid w:val="2941798C"/>
    <w:rsid w:val="294C5129"/>
    <w:rsid w:val="295C70D0"/>
    <w:rsid w:val="295E4EA3"/>
    <w:rsid w:val="296E3259"/>
    <w:rsid w:val="296F6FD1"/>
    <w:rsid w:val="29C70BBB"/>
    <w:rsid w:val="29CD4E78"/>
    <w:rsid w:val="29E4351B"/>
    <w:rsid w:val="2A1A0CEB"/>
    <w:rsid w:val="2A24600D"/>
    <w:rsid w:val="2A305480"/>
    <w:rsid w:val="2A331DAD"/>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D141CF6"/>
    <w:rsid w:val="2D502872"/>
    <w:rsid w:val="2D764930"/>
    <w:rsid w:val="2D984126"/>
    <w:rsid w:val="2DB31BE6"/>
    <w:rsid w:val="2DBB0516"/>
    <w:rsid w:val="2DBE22D5"/>
    <w:rsid w:val="2E0A4375"/>
    <w:rsid w:val="2E0C3040"/>
    <w:rsid w:val="2E0D52BF"/>
    <w:rsid w:val="2E35623B"/>
    <w:rsid w:val="2E4E3659"/>
    <w:rsid w:val="2E505623"/>
    <w:rsid w:val="2E6740D2"/>
    <w:rsid w:val="2E6A7D67"/>
    <w:rsid w:val="2E754C17"/>
    <w:rsid w:val="2E960B5C"/>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342FDA"/>
    <w:rsid w:val="313C59EB"/>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895977"/>
    <w:rsid w:val="339A2E9C"/>
    <w:rsid w:val="33A51F6D"/>
    <w:rsid w:val="33C26030"/>
    <w:rsid w:val="33C547A5"/>
    <w:rsid w:val="33FB393B"/>
    <w:rsid w:val="34526CBA"/>
    <w:rsid w:val="345A580A"/>
    <w:rsid w:val="34B22DB1"/>
    <w:rsid w:val="34CC52D7"/>
    <w:rsid w:val="34E42564"/>
    <w:rsid w:val="34EA61B8"/>
    <w:rsid w:val="34F12F90"/>
    <w:rsid w:val="34F82570"/>
    <w:rsid w:val="3518676F"/>
    <w:rsid w:val="35201A23"/>
    <w:rsid w:val="352E500F"/>
    <w:rsid w:val="355434F9"/>
    <w:rsid w:val="35690D78"/>
    <w:rsid w:val="35727A6C"/>
    <w:rsid w:val="35843E04"/>
    <w:rsid w:val="35B540D6"/>
    <w:rsid w:val="35BE0BED"/>
    <w:rsid w:val="35C66E2C"/>
    <w:rsid w:val="35CA2312"/>
    <w:rsid w:val="35F76384"/>
    <w:rsid w:val="360F1920"/>
    <w:rsid w:val="361938E0"/>
    <w:rsid w:val="362F5E73"/>
    <w:rsid w:val="36413AA3"/>
    <w:rsid w:val="364C6C07"/>
    <w:rsid w:val="366A124C"/>
    <w:rsid w:val="366A4DA8"/>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20CFA"/>
    <w:rsid w:val="3B3377A5"/>
    <w:rsid w:val="3B361C73"/>
    <w:rsid w:val="3B414529"/>
    <w:rsid w:val="3B47240E"/>
    <w:rsid w:val="3B5A188F"/>
    <w:rsid w:val="3B7C2F21"/>
    <w:rsid w:val="3B895CD0"/>
    <w:rsid w:val="3B8A41D3"/>
    <w:rsid w:val="3BC00DC4"/>
    <w:rsid w:val="3BD57167"/>
    <w:rsid w:val="3BE72071"/>
    <w:rsid w:val="3C243C4B"/>
    <w:rsid w:val="3C4D6CFE"/>
    <w:rsid w:val="3C651D50"/>
    <w:rsid w:val="3C8666FD"/>
    <w:rsid w:val="3CA523B3"/>
    <w:rsid w:val="3CAF79B9"/>
    <w:rsid w:val="3CF7310E"/>
    <w:rsid w:val="3CFD709B"/>
    <w:rsid w:val="3D0870C9"/>
    <w:rsid w:val="3D3103CE"/>
    <w:rsid w:val="3D4041F2"/>
    <w:rsid w:val="3D5A25B5"/>
    <w:rsid w:val="3D6F7148"/>
    <w:rsid w:val="3D734E8A"/>
    <w:rsid w:val="3D805368"/>
    <w:rsid w:val="3D820C29"/>
    <w:rsid w:val="3DB57993"/>
    <w:rsid w:val="3DF132CA"/>
    <w:rsid w:val="3E103B9E"/>
    <w:rsid w:val="3E192CB5"/>
    <w:rsid w:val="3E2829E9"/>
    <w:rsid w:val="3E3C527C"/>
    <w:rsid w:val="3E412892"/>
    <w:rsid w:val="3E5113D8"/>
    <w:rsid w:val="3E832EAB"/>
    <w:rsid w:val="3EBE76C5"/>
    <w:rsid w:val="3ECC22A5"/>
    <w:rsid w:val="3EDB2CE7"/>
    <w:rsid w:val="3F1E0E25"/>
    <w:rsid w:val="3F324E7C"/>
    <w:rsid w:val="3F3917BB"/>
    <w:rsid w:val="3F3E1D92"/>
    <w:rsid w:val="3F3E3276"/>
    <w:rsid w:val="3F4E7C4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8C2076"/>
    <w:rsid w:val="41A41AB6"/>
    <w:rsid w:val="41B0748D"/>
    <w:rsid w:val="41B873F1"/>
    <w:rsid w:val="41BB6E00"/>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E414A5"/>
    <w:rsid w:val="42ED38B0"/>
    <w:rsid w:val="430239C6"/>
    <w:rsid w:val="430C466C"/>
    <w:rsid w:val="434D77D9"/>
    <w:rsid w:val="435F025C"/>
    <w:rsid w:val="43676230"/>
    <w:rsid w:val="442716E3"/>
    <w:rsid w:val="442A3DC9"/>
    <w:rsid w:val="44316131"/>
    <w:rsid w:val="443A04B0"/>
    <w:rsid w:val="445B0426"/>
    <w:rsid w:val="44623B29"/>
    <w:rsid w:val="448259B3"/>
    <w:rsid w:val="44AC6153"/>
    <w:rsid w:val="44C24001"/>
    <w:rsid w:val="44CB7E92"/>
    <w:rsid w:val="44D37FBC"/>
    <w:rsid w:val="44D53D34"/>
    <w:rsid w:val="44D81267"/>
    <w:rsid w:val="44DD1721"/>
    <w:rsid w:val="44FA19ED"/>
    <w:rsid w:val="45014B29"/>
    <w:rsid w:val="45260A34"/>
    <w:rsid w:val="452D3B70"/>
    <w:rsid w:val="45303661"/>
    <w:rsid w:val="4551727C"/>
    <w:rsid w:val="45653B06"/>
    <w:rsid w:val="45675307"/>
    <w:rsid w:val="4574425A"/>
    <w:rsid w:val="457C0654"/>
    <w:rsid w:val="458B0897"/>
    <w:rsid w:val="458D6DA1"/>
    <w:rsid w:val="458F2670"/>
    <w:rsid w:val="45B002FD"/>
    <w:rsid w:val="45E82159"/>
    <w:rsid w:val="45ED0F61"/>
    <w:rsid w:val="45FB77CB"/>
    <w:rsid w:val="460C19D8"/>
    <w:rsid w:val="465A0995"/>
    <w:rsid w:val="46767799"/>
    <w:rsid w:val="46B5206F"/>
    <w:rsid w:val="46CA0775"/>
    <w:rsid w:val="46D53D73"/>
    <w:rsid w:val="471825FE"/>
    <w:rsid w:val="4727514F"/>
    <w:rsid w:val="47451645"/>
    <w:rsid w:val="475036EC"/>
    <w:rsid w:val="476304E5"/>
    <w:rsid w:val="48221986"/>
    <w:rsid w:val="482E0AEB"/>
    <w:rsid w:val="483D1893"/>
    <w:rsid w:val="4840005F"/>
    <w:rsid w:val="48407E8B"/>
    <w:rsid w:val="48492B5E"/>
    <w:rsid w:val="485633DE"/>
    <w:rsid w:val="486A70F8"/>
    <w:rsid w:val="48941C0A"/>
    <w:rsid w:val="48D016B1"/>
    <w:rsid w:val="48EB621C"/>
    <w:rsid w:val="48EF63BC"/>
    <w:rsid w:val="48F03833"/>
    <w:rsid w:val="49143FE3"/>
    <w:rsid w:val="493A2D00"/>
    <w:rsid w:val="49410045"/>
    <w:rsid w:val="497B5EAF"/>
    <w:rsid w:val="49BB5BEF"/>
    <w:rsid w:val="49E550B8"/>
    <w:rsid w:val="4A0F1D6B"/>
    <w:rsid w:val="4A304D72"/>
    <w:rsid w:val="4ABD50B2"/>
    <w:rsid w:val="4ADA08DD"/>
    <w:rsid w:val="4AEE5B50"/>
    <w:rsid w:val="4AF53CDA"/>
    <w:rsid w:val="4AF7005D"/>
    <w:rsid w:val="4B302190"/>
    <w:rsid w:val="4B316AE7"/>
    <w:rsid w:val="4B4B4D50"/>
    <w:rsid w:val="4B8D7117"/>
    <w:rsid w:val="4B920BD1"/>
    <w:rsid w:val="4BC863A1"/>
    <w:rsid w:val="4BCD1E1A"/>
    <w:rsid w:val="4C0D05F0"/>
    <w:rsid w:val="4C23663D"/>
    <w:rsid w:val="4C2F01CE"/>
    <w:rsid w:val="4C327CBE"/>
    <w:rsid w:val="4C336232"/>
    <w:rsid w:val="4C4D68A6"/>
    <w:rsid w:val="4C5440D8"/>
    <w:rsid w:val="4C5B1CC0"/>
    <w:rsid w:val="4C6063F0"/>
    <w:rsid w:val="4CDE25B8"/>
    <w:rsid w:val="4D031C9B"/>
    <w:rsid w:val="4D237C5B"/>
    <w:rsid w:val="4D245859"/>
    <w:rsid w:val="4D4C4DB0"/>
    <w:rsid w:val="4D567F0A"/>
    <w:rsid w:val="4D6B792C"/>
    <w:rsid w:val="4D6E195B"/>
    <w:rsid w:val="4D882C83"/>
    <w:rsid w:val="4DB33731"/>
    <w:rsid w:val="4DB34E9F"/>
    <w:rsid w:val="4DD45985"/>
    <w:rsid w:val="4DDE57A5"/>
    <w:rsid w:val="4DE4323A"/>
    <w:rsid w:val="4DED5CE9"/>
    <w:rsid w:val="4E015B9A"/>
    <w:rsid w:val="4E040F77"/>
    <w:rsid w:val="4E0D2791"/>
    <w:rsid w:val="4E2528C4"/>
    <w:rsid w:val="4E323FA5"/>
    <w:rsid w:val="4E381FE7"/>
    <w:rsid w:val="4E3E294A"/>
    <w:rsid w:val="4E4361B3"/>
    <w:rsid w:val="4E7D3760"/>
    <w:rsid w:val="4E8263F6"/>
    <w:rsid w:val="4EF15C0F"/>
    <w:rsid w:val="4F0478A8"/>
    <w:rsid w:val="4F0E4A13"/>
    <w:rsid w:val="4F245FE4"/>
    <w:rsid w:val="4F5616DF"/>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A0CCA"/>
    <w:rsid w:val="508D7BB9"/>
    <w:rsid w:val="50932863"/>
    <w:rsid w:val="50A92418"/>
    <w:rsid w:val="50C64757"/>
    <w:rsid w:val="50E04186"/>
    <w:rsid w:val="50FD6AED"/>
    <w:rsid w:val="51145BE4"/>
    <w:rsid w:val="511A7AB0"/>
    <w:rsid w:val="512E2388"/>
    <w:rsid w:val="516C77CE"/>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210CEF"/>
    <w:rsid w:val="552E67F6"/>
    <w:rsid w:val="557F5C64"/>
    <w:rsid w:val="55BD4A9D"/>
    <w:rsid w:val="55CE5FAF"/>
    <w:rsid w:val="55D65B5E"/>
    <w:rsid w:val="55FF50B5"/>
    <w:rsid w:val="56026953"/>
    <w:rsid w:val="561641AD"/>
    <w:rsid w:val="563E671E"/>
    <w:rsid w:val="5647080A"/>
    <w:rsid w:val="56695122"/>
    <w:rsid w:val="566B44F9"/>
    <w:rsid w:val="567C6706"/>
    <w:rsid w:val="568D4A8B"/>
    <w:rsid w:val="568E01E7"/>
    <w:rsid w:val="56AD68BF"/>
    <w:rsid w:val="56E322E1"/>
    <w:rsid w:val="56F72C39"/>
    <w:rsid w:val="57265724"/>
    <w:rsid w:val="572A7F8A"/>
    <w:rsid w:val="5741059C"/>
    <w:rsid w:val="57821C5F"/>
    <w:rsid w:val="5787376C"/>
    <w:rsid w:val="57A1017F"/>
    <w:rsid w:val="57AF445C"/>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736D06"/>
    <w:rsid w:val="5A821E11"/>
    <w:rsid w:val="5AB0697E"/>
    <w:rsid w:val="5AB51CCA"/>
    <w:rsid w:val="5AB57322"/>
    <w:rsid w:val="5AB86B82"/>
    <w:rsid w:val="5ABC62B9"/>
    <w:rsid w:val="5ADF7263"/>
    <w:rsid w:val="5AED4C1B"/>
    <w:rsid w:val="5B2D4472"/>
    <w:rsid w:val="5B922527"/>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CF36FF6"/>
    <w:rsid w:val="5D047455"/>
    <w:rsid w:val="5D656145"/>
    <w:rsid w:val="5D804893"/>
    <w:rsid w:val="5DA53F1B"/>
    <w:rsid w:val="5DA54794"/>
    <w:rsid w:val="5DC63FF9"/>
    <w:rsid w:val="5E96232F"/>
    <w:rsid w:val="5EFC5106"/>
    <w:rsid w:val="5F13397F"/>
    <w:rsid w:val="5F4571B2"/>
    <w:rsid w:val="5F4F2373"/>
    <w:rsid w:val="5F6A078D"/>
    <w:rsid w:val="5F93061C"/>
    <w:rsid w:val="5F9A7BFD"/>
    <w:rsid w:val="5FA23A48"/>
    <w:rsid w:val="5FB36CBE"/>
    <w:rsid w:val="5FC627A0"/>
    <w:rsid w:val="5FD076A0"/>
    <w:rsid w:val="5FD07ABA"/>
    <w:rsid w:val="5FDE7373"/>
    <w:rsid w:val="5FED36FB"/>
    <w:rsid w:val="60561D75"/>
    <w:rsid w:val="606F72DB"/>
    <w:rsid w:val="60873932"/>
    <w:rsid w:val="60A32AE1"/>
    <w:rsid w:val="60B834A6"/>
    <w:rsid w:val="60BC5E8F"/>
    <w:rsid w:val="60C170FF"/>
    <w:rsid w:val="60CC0666"/>
    <w:rsid w:val="60E17F6F"/>
    <w:rsid w:val="610E27AB"/>
    <w:rsid w:val="611511C3"/>
    <w:rsid w:val="61393910"/>
    <w:rsid w:val="614F1476"/>
    <w:rsid w:val="61710A64"/>
    <w:rsid w:val="61750921"/>
    <w:rsid w:val="61A15272"/>
    <w:rsid w:val="61C111BB"/>
    <w:rsid w:val="61D84352"/>
    <w:rsid w:val="61DA4AD9"/>
    <w:rsid w:val="61F335F4"/>
    <w:rsid w:val="62031A89"/>
    <w:rsid w:val="622F0AD0"/>
    <w:rsid w:val="623D3E1F"/>
    <w:rsid w:val="62626313"/>
    <w:rsid w:val="629D4803"/>
    <w:rsid w:val="62AE498D"/>
    <w:rsid w:val="62ED1A72"/>
    <w:rsid w:val="633F4D43"/>
    <w:rsid w:val="637F5A87"/>
    <w:rsid w:val="638048A2"/>
    <w:rsid w:val="638A2399"/>
    <w:rsid w:val="63C86BF3"/>
    <w:rsid w:val="63D57455"/>
    <w:rsid w:val="63E84212"/>
    <w:rsid w:val="63EF2CB1"/>
    <w:rsid w:val="63EF49BB"/>
    <w:rsid w:val="63F74842"/>
    <w:rsid w:val="63FF44D2"/>
    <w:rsid w:val="64077840"/>
    <w:rsid w:val="641504F8"/>
    <w:rsid w:val="64601415"/>
    <w:rsid w:val="64774677"/>
    <w:rsid w:val="64AB0CD1"/>
    <w:rsid w:val="64B4350F"/>
    <w:rsid w:val="64C96613"/>
    <w:rsid w:val="64D84E1A"/>
    <w:rsid w:val="65312DB1"/>
    <w:rsid w:val="6548252F"/>
    <w:rsid w:val="6558033E"/>
    <w:rsid w:val="656606E0"/>
    <w:rsid w:val="65675ED4"/>
    <w:rsid w:val="657C03FE"/>
    <w:rsid w:val="65831F0E"/>
    <w:rsid w:val="658C2053"/>
    <w:rsid w:val="65EB11B2"/>
    <w:rsid w:val="65F75DA9"/>
    <w:rsid w:val="66576847"/>
    <w:rsid w:val="66672543"/>
    <w:rsid w:val="6683497C"/>
    <w:rsid w:val="669B2BD8"/>
    <w:rsid w:val="66B21CD0"/>
    <w:rsid w:val="66CD13E8"/>
    <w:rsid w:val="66D734E4"/>
    <w:rsid w:val="66E872A7"/>
    <w:rsid w:val="676E5CC7"/>
    <w:rsid w:val="67E14BAB"/>
    <w:rsid w:val="67EE0AE5"/>
    <w:rsid w:val="67F71E56"/>
    <w:rsid w:val="683A3D2B"/>
    <w:rsid w:val="684C44B3"/>
    <w:rsid w:val="68506E3A"/>
    <w:rsid w:val="686A0AB4"/>
    <w:rsid w:val="68880F3A"/>
    <w:rsid w:val="690F1726"/>
    <w:rsid w:val="691922CA"/>
    <w:rsid w:val="693C3AD3"/>
    <w:rsid w:val="6942765C"/>
    <w:rsid w:val="696E0130"/>
    <w:rsid w:val="69D8608D"/>
    <w:rsid w:val="69EC54F9"/>
    <w:rsid w:val="6A260A0B"/>
    <w:rsid w:val="6A2D5CB0"/>
    <w:rsid w:val="6A4D2110"/>
    <w:rsid w:val="6A663992"/>
    <w:rsid w:val="6A7D0A56"/>
    <w:rsid w:val="6A922385"/>
    <w:rsid w:val="6AB10CF8"/>
    <w:rsid w:val="6ABA6C3B"/>
    <w:rsid w:val="6ABE50E7"/>
    <w:rsid w:val="6AFC5C0F"/>
    <w:rsid w:val="6B1A27DD"/>
    <w:rsid w:val="6B4078AA"/>
    <w:rsid w:val="6B4663C9"/>
    <w:rsid w:val="6B576FDB"/>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C12D11"/>
    <w:rsid w:val="6CFE27E3"/>
    <w:rsid w:val="6D274D94"/>
    <w:rsid w:val="6D6655C2"/>
    <w:rsid w:val="6D7B2E1B"/>
    <w:rsid w:val="6D8C026B"/>
    <w:rsid w:val="6D955447"/>
    <w:rsid w:val="6D9E0D2D"/>
    <w:rsid w:val="6D9E2EF6"/>
    <w:rsid w:val="6DA87988"/>
    <w:rsid w:val="6DAD3879"/>
    <w:rsid w:val="6DD01AB0"/>
    <w:rsid w:val="6DD16EDF"/>
    <w:rsid w:val="6DD857F0"/>
    <w:rsid w:val="6DE5298B"/>
    <w:rsid w:val="6DE94229"/>
    <w:rsid w:val="6DEB139F"/>
    <w:rsid w:val="6DF350A8"/>
    <w:rsid w:val="6E160D96"/>
    <w:rsid w:val="6E494CC8"/>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4F630E"/>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0EC5DDE"/>
    <w:rsid w:val="710377E1"/>
    <w:rsid w:val="711F61B4"/>
    <w:rsid w:val="713117D3"/>
    <w:rsid w:val="713F23B2"/>
    <w:rsid w:val="71557A45"/>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DA4614"/>
    <w:rsid w:val="73F118A1"/>
    <w:rsid w:val="74024296"/>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3B7903"/>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8B7A9C"/>
    <w:rsid w:val="7BBC6B0F"/>
    <w:rsid w:val="7BEC1388"/>
    <w:rsid w:val="7BF00E78"/>
    <w:rsid w:val="7BF1357F"/>
    <w:rsid w:val="7C4A2065"/>
    <w:rsid w:val="7C6610BD"/>
    <w:rsid w:val="7C796F1F"/>
    <w:rsid w:val="7C855349"/>
    <w:rsid w:val="7CAA6238"/>
    <w:rsid w:val="7CFE65CC"/>
    <w:rsid w:val="7D085F7C"/>
    <w:rsid w:val="7D0C3A90"/>
    <w:rsid w:val="7D2D6627"/>
    <w:rsid w:val="7D404FB3"/>
    <w:rsid w:val="7D4A7FD6"/>
    <w:rsid w:val="7D8C349D"/>
    <w:rsid w:val="7D8C697F"/>
    <w:rsid w:val="7DA02855"/>
    <w:rsid w:val="7DC73E5B"/>
    <w:rsid w:val="7DC73F51"/>
    <w:rsid w:val="7DE70059"/>
    <w:rsid w:val="7DF32EA2"/>
    <w:rsid w:val="7E0B1DFF"/>
    <w:rsid w:val="7E134C71"/>
    <w:rsid w:val="7E2352CD"/>
    <w:rsid w:val="7E2A3C98"/>
    <w:rsid w:val="7E4E1E86"/>
    <w:rsid w:val="7E5043EB"/>
    <w:rsid w:val="7E604231"/>
    <w:rsid w:val="7EA61CC2"/>
    <w:rsid w:val="7EB34E00"/>
    <w:rsid w:val="7ECB34D7"/>
    <w:rsid w:val="7EE23E9C"/>
    <w:rsid w:val="7EF2571C"/>
    <w:rsid w:val="7F107F87"/>
    <w:rsid w:val="7F210F90"/>
    <w:rsid w:val="7F3405C5"/>
    <w:rsid w:val="7F361298"/>
    <w:rsid w:val="7F511C2E"/>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3473</Words>
  <Characters>3765</Characters>
  <Lines>1</Lines>
  <Paragraphs>1</Paragraphs>
  <TotalTime>1</TotalTime>
  <ScaleCrop>false</ScaleCrop>
  <LinksUpToDate>false</LinksUpToDate>
  <CharactersWithSpaces>3946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2025-07-29T09:12:00Z</cp:lastPrinted>
  <dcterms:modified xsi:type="dcterms:W3CDTF">2025-10-23T09:54:17Z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84301ADF2A4D46D8B96C1B734FC5EAA5_13</vt:lpwstr>
  </property>
  <property fmtid="{D5CDD505-2E9C-101B-9397-08002B2CF9AE}" pid="4" name="KSOTemplateDocerSaveRecord">
    <vt:lpwstr>eyJoZGlkIjoiNGRiN2FjM2IwNjUxZWRiZTZhMTg1YTdmYzFhZWExNzgiLCJ1c2VySWQiOiI0MDU4NDYwODgifQ==</vt:lpwstr>
  </property>
</Properties>
</file>